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中共石家庄市委党校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中共石家庄市委党校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中共石家庄市委党校为独立财务核算单位，财政预算一级拨款单位，单位设置22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个内设机构，即办公室、人事科、机关党委、教务科、科研科、学员科、财务科、后勤科、教研保障科、保卫科、图书馆、对外交流中心、校刊编辑部、信息中心、马克思理论教研部、党史党建教研部、公务员能力建设教研部、经济学教研部、管理学教研部、法学教研部、统战理论和文史教研部、事情研究所。我单位2023年全额事业编制名额为198人，年末在职人员180人，退休人员152人，离休人员2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56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根据《中共石家庄市委党校职能配置、内设机构和人员编制规定》，中共石家庄市委党校的主要职责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包括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轮训各级党员领导干部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培训中青年党员领导干部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培训意识形态部门的领导干部和理论骨干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协同组织人事部门，对学员在校期间进行考核考察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围绕国际国内出现的新情况、新问题，开展科学研究，及时将研究成果应用于教学和社会实践，并提供党委决策参考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宣传马克思主义、毛泽东思想、宣传邓小平理论和党的路线、方针、政策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加强自身建设，努力把党校办成轮训和培训党员领导干部，培养党的理论队伍，学习、研究马克思主义、毛泽东思想、邓小平理论的重要阵地，成为干部增强党性锻炼的熔炉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在办好主体班次的前提下，利用多种形式对干部进行学历教育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负责对各县市区委党校和市直部门党校的联系和业务指导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完成市委交办的各项任务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仿宋" w:eastAsia="仿宋_GB2312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  <w:highlight w:val="none"/>
        </w:rPr>
        <w:t>20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23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年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度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年初预算安排收入为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6932.35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万元，年初预算安排支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出6932.35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2023年度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决算收入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6836.82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其中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人员经费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4307.44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万元，占总收入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63%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正常公用经费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675.35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万元，占总收入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9.88%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项目支出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1854.03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万元，占总收入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27.12%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决算支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出6836.82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其中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工资和福利支出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3415.52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万元，占总支出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49.96%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商品和服务支出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2464.99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万元，占总支出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36.05%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对个人和家庭补助支出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891.92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万元，占总支出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13.05%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其他资本性支出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64.39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万元，占总支出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0.94%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2023年度部门预算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三公经费预算总支出为19.6万元。其中公务车运行维护费为19.6万元，因公出国出境0万元，公务接待费0万元。决算总支出19.47万元。其中其中公务车运行维护费为19.47万元，因公出国出境0万元，公务接待费0万元。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我校2023年度整体支出绩效目标为：</w:t>
      </w:r>
      <w:r>
        <w:rPr>
          <w:rFonts w:hint="eastAsia" w:ascii="仿宋" w:hAnsi="仿宋" w:eastAsia="仿宋" w:cs="仿宋"/>
          <w:sz w:val="32"/>
          <w:szCs w:val="32"/>
        </w:rPr>
        <w:t>以习近平新时代中国特色社会主义思想为指导，全面贯彻落实《中国共产党党校（行政学院）工作条例》和中央、省委、市委关于加强和改进新形势下党校工作的意见及一系列指示精神，发挥干部教育培训主渠道作用，按照全市干部教育培训重点班次安排计划，以及各分校培训安排，科学组织各类培训班，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培训学员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10413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人次；</w:t>
      </w:r>
      <w:r>
        <w:rPr>
          <w:rFonts w:hint="eastAsia" w:ascii="仿宋" w:hAnsi="仿宋" w:eastAsia="仿宋" w:cs="仿宋"/>
          <w:sz w:val="32"/>
          <w:szCs w:val="32"/>
        </w:rPr>
        <w:t>围绕教师政治素质与业务能力提升组织师资培训班；通过严格的行政后勤管理，为学员培训和教学科研活动创造良好的硬件环境和后勤保障；开展重大理论问题和现实问题研究，承担市委、市政府决策咨询服务，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全年各类科研项目立项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项，报送决策咨询报告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篇；对全市县（</w:t>
      </w:r>
      <w:r>
        <w:rPr>
          <w:rFonts w:hint="eastAsia" w:ascii="仿宋" w:hAnsi="仿宋" w:eastAsia="仿宋" w:cs="仿宋"/>
          <w:sz w:val="32"/>
          <w:szCs w:val="32"/>
        </w:rPr>
        <w:t>区）党校办学情况进行调研指导。持续提高党校在经济强市、美丽石家庄建设大局中的贡献率。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lang w:val="en-US" w:eastAsia="zh-CN"/>
        </w:rPr>
      </w:pPr>
      <w:r>
        <w:rPr>
          <w:rFonts w:hint="eastAsia" w:ascii="仿宋" w:hAnsi="仿宋" w:eastAsia="仿宋"/>
          <w:sz w:val="32"/>
          <w:lang w:val="en-US" w:eastAsia="zh-CN"/>
        </w:rPr>
        <w:t>分项绩效目标及指标如下：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）培训教育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绩效目标：通过专家学者授课，开拓学员思路；通过现场教学、情景教学、案例教学、西柏坡特色教学，有效提高培训质量，提高学员解决实际问题的能力。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绩效指标：全年培训人数达到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10413</w:t>
      </w:r>
      <w:r>
        <w:rPr>
          <w:rFonts w:hint="eastAsia" w:ascii="仿宋" w:hAnsi="仿宋" w:eastAsia="仿宋" w:cs="仿宋"/>
          <w:sz w:val="32"/>
          <w:szCs w:val="32"/>
        </w:rPr>
        <w:t>人次，培训工作完成率达到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%以上、学员报到率平均达到90%，主体班学员受训人均成本达到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300</w:t>
      </w:r>
      <w:r>
        <w:rPr>
          <w:rFonts w:hint="eastAsia" w:ascii="仿宋" w:hAnsi="仿宋" w:eastAsia="仿宋" w:cs="仿宋"/>
          <w:sz w:val="32"/>
          <w:szCs w:val="32"/>
        </w:rPr>
        <w:t>元/天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</w:rPr>
        <w:t>人次。教学质量平均评优率达到8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%以上，受益单位覆盖全市各县（区）及85%以上市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直部门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）理论研究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绩效目标：立项一批高质量科研课题；发表一批高质量理论研究成果。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绩效指标：做好课题申报组织工作，提高申报质量，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年度立项各类科研项目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项，并按立项要求做好课题研究工作。全年在省级以上报刊发表研究成果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38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篇，发挥思想引领和理论建设</w:t>
      </w:r>
      <w:r>
        <w:rPr>
          <w:rFonts w:hint="eastAsia" w:ascii="仿宋" w:hAnsi="仿宋" w:eastAsia="仿宋" w:cs="仿宋"/>
          <w:sz w:val="32"/>
          <w:szCs w:val="32"/>
        </w:rPr>
        <w:t>作用。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）决策咨询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绩效目标：向市委市政府报送一批高质量决策咨询报告。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</w:rPr>
        <w:t>绩效指标：围绕市委市政府中心工作开展决策咨询研究，组织决策服务课题立项，高质量完成研究任务。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全年向市委市政府报送咨询报告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篇，切实发挥决策咨询和智库作用。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）开展业务指导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绩效目标：对全市各级党校（行政学院）开展业务指导并对办学能力和水平进行调研。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绩效指标：通过对全市县（区）党校（行政学院、行政学校）办学治校方针政策的情况进行调研检查，提出指导性意见。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）师资培训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绩效目标：加强师资培训。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教师专题培训比率稳定在10%以上，培训出勤率在90%以上，参训人员满意度在90%以上。培训涵盖党校（行政学院）马克思主义理论、党史党建、经济学、管理学、政治法律等各专业领域教师。学习新思想新理念新方法，进一步更新知识结构、提升教研水平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）教学事务管理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绩效目标：通过严格的行政后勤管理，为学员培训和教学科研活动创造良好的硬件环境和后勤保障。</w:t>
      </w:r>
    </w:p>
    <w:p>
      <w:pPr>
        <w:pStyle w:val="6"/>
        <w:rPr>
          <w:rFonts w:hint="eastAsia" w:ascii="仿宋" w:hAnsi="仿宋" w:eastAsia="仿宋"/>
          <w:sz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指标：作好后勤、保障和设备维护，包括水、电、暖、燃气、中央空调机组、校园内建筑物维修维护；后勤保障事务完成率不低于90%；设备维护按计划完成率不低于90%；用餐满意度不低于90%，受益人员覆盖全市各级党政领导干部、公务员、国有企业领导人员、事业单位领导人员、年轻干部、理论宣传骨干、高层次人才、基层干部、党员，同时开展党校（行政学院）系统师资培训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360" w:lineRule="auto"/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年初，我校根据本项目特点，成立了自评工作组，工作组组长由主管财务的副校长董杰担任，成员包括办公室、财务处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及各业务相关处室负责人</w:t>
      </w:r>
      <w:r>
        <w:rPr>
          <w:rFonts w:hint="eastAsia" w:ascii="仿宋_GB2312" w:eastAsia="仿宋_GB2312"/>
          <w:sz w:val="32"/>
          <w:szCs w:val="32"/>
        </w:rPr>
        <w:t>员。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按</w:t>
      </w: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绩效目标及具体的绩效评价指标收集、整理和监督各业务责任科室的自评结果。</w:t>
      </w:r>
    </w:p>
    <w:p>
      <w:pPr>
        <w:spacing w:line="360" w:lineRule="auto"/>
        <w:ind w:firstLine="645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评价政策依据及数据资料：《中国共产党党校工作条例》、《中共石家庄市委关于贯彻</w:t>
      </w:r>
      <w:bookmarkStart w:id="0" w:name="_Hlk42523443"/>
      <w:r>
        <w:rPr>
          <w:rFonts w:hint="eastAsia" w:ascii="仿宋_GB2312" w:eastAsia="仿宋_GB2312"/>
          <w:sz w:val="32"/>
          <w:szCs w:val="32"/>
        </w:rPr>
        <w:t>《中国共产党党校工作条例》</w:t>
      </w:r>
      <w:bookmarkEnd w:id="0"/>
      <w:r>
        <w:rPr>
          <w:rFonts w:hint="eastAsia" w:ascii="仿宋_GB2312" w:eastAsia="仿宋_GB2312"/>
          <w:sz w:val="32"/>
          <w:szCs w:val="32"/>
        </w:rPr>
        <w:t>的实施意见》。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numPr>
          <w:ilvl w:val="0"/>
          <w:numId w:val="3"/>
        </w:num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按照文件要求确定绩效自评对象及范围。</w:t>
      </w:r>
    </w:p>
    <w:p>
      <w:pPr>
        <w:spacing w:line="360" w:lineRule="auto"/>
        <w:ind w:firstLine="66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2.准备《202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 xml:space="preserve">年度预算项目绩效自评表》模板和《处室绩效自评工作报告》模板等相关资料供评价人员参考。 </w:t>
      </w:r>
    </w:p>
    <w:p>
      <w:pPr>
        <w:spacing w:line="360" w:lineRule="auto"/>
        <w:ind w:firstLine="66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3.组织绩效自评相关处室人员进行绩效自评工作培训。     </w:t>
      </w:r>
    </w:p>
    <w:p>
      <w:pPr>
        <w:spacing w:line="360" w:lineRule="auto"/>
        <w:ind w:firstLine="66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、组织收集、系统整理预算项目绩效完成信息，确认绩效指标实际完成值和实现程度。将预算项目各绩效指标实际完成值（实现程度）与年初设定的预期值相比较，逐项评定每项指标得分，汇总形成预算项目自评最终得分。</w:t>
      </w:r>
    </w:p>
    <w:p>
      <w:pPr>
        <w:spacing w:line="360" w:lineRule="auto"/>
        <w:ind w:firstLine="66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5、填报《202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年度预算项目绩效自评表》。按照市财政局要求以及预算项目绩效情况，撰写《项目绩效自评报告》，并在规定时限内上报</w:t>
      </w:r>
      <w:r>
        <w:rPr>
          <w:rFonts w:hint="eastAsia" w:ascii="仿宋_GB2312" w:hAnsi="楷体_GB2312" w:eastAsia="仿宋_GB2312" w:cs="楷体_GB2312"/>
          <w:b/>
          <w:bCs/>
          <w:sz w:val="32"/>
          <w:szCs w:val="32"/>
        </w:rPr>
        <w:t>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lang w:val="en-US" w:eastAsia="zh-CN"/>
        </w:rPr>
        <w:t>我校</w:t>
      </w:r>
      <w:r>
        <w:rPr>
          <w:rFonts w:ascii="仿宋" w:hAnsi="仿宋" w:eastAsia="仿宋"/>
          <w:sz w:val="32"/>
        </w:rPr>
        <w:t>全面贯彻落实《中国共产党党校（行政学院）工作条例》和中央、省、市委关于加强和改进新形势下党校工作的意见及一系列指示精神，发挥干部教育培训主渠道作用，科学组织各类培训班，</w:t>
      </w:r>
      <w:r>
        <w:rPr>
          <w:rFonts w:hint="eastAsia" w:ascii="仿宋" w:hAnsi="仿宋" w:eastAsia="仿宋"/>
          <w:sz w:val="32"/>
          <w:lang w:eastAsia="zh-CN"/>
        </w:rPr>
        <w:t>在疫情影响严重的情况下，依然把握住有限的开办时间，合理安排规划，</w:t>
      </w:r>
      <w:r>
        <w:rPr>
          <w:rFonts w:ascii="仿宋" w:hAnsi="仿宋" w:eastAsia="仿宋"/>
          <w:sz w:val="32"/>
          <w:highlight w:val="none"/>
        </w:rPr>
        <w:t>完成培训主体班学员</w:t>
      </w:r>
      <w:r>
        <w:rPr>
          <w:rFonts w:hint="eastAsia" w:ascii="仿宋" w:hAnsi="仿宋" w:eastAsia="仿宋"/>
          <w:color w:val="auto"/>
          <w:sz w:val="32"/>
          <w:highlight w:val="none"/>
          <w:lang w:val="en-US" w:eastAsia="zh-CN"/>
        </w:rPr>
        <w:t>5657</w:t>
      </w:r>
      <w:r>
        <w:rPr>
          <w:rFonts w:ascii="仿宋" w:hAnsi="仿宋" w:eastAsia="仿宋"/>
          <w:sz w:val="32"/>
          <w:highlight w:val="none"/>
        </w:rPr>
        <w:t>人；</w:t>
      </w:r>
      <w:r>
        <w:rPr>
          <w:rFonts w:ascii="仿宋" w:hAnsi="仿宋" w:eastAsia="仿宋"/>
          <w:sz w:val="32"/>
        </w:rPr>
        <w:t>开展重大理论问题和现实问题研究，承担市委、市政府决策咨询服务，</w:t>
      </w:r>
      <w:r>
        <w:rPr>
          <w:rFonts w:hint="eastAsia" w:ascii="仿宋" w:hAnsi="仿宋" w:eastAsia="仿宋"/>
          <w:sz w:val="32"/>
          <w:highlight w:val="none"/>
          <w:lang w:eastAsia="zh-CN"/>
        </w:rPr>
        <w:t>全年共计发表学术论文、专著共计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62篇，其中核心期刊6篇，专著3本，三类以上报刊54篇。</w:t>
      </w:r>
      <w:r>
        <w:rPr>
          <w:rFonts w:ascii="仿宋" w:hAnsi="仿宋" w:eastAsia="仿宋"/>
          <w:sz w:val="32"/>
          <w:highlight w:val="none"/>
        </w:rPr>
        <w:t>全年各类科研项目立项</w:t>
      </w:r>
      <w:r>
        <w:rPr>
          <w:rFonts w:hint="eastAsia" w:ascii="仿宋" w:hAnsi="仿宋" w:eastAsia="仿宋"/>
          <w:color w:val="auto"/>
          <w:sz w:val="32"/>
          <w:highlight w:val="none"/>
          <w:lang w:val="en-US" w:eastAsia="zh-CN"/>
        </w:rPr>
        <w:t>42</w:t>
      </w:r>
      <w:r>
        <w:rPr>
          <w:rFonts w:ascii="仿宋" w:hAnsi="仿宋" w:eastAsia="仿宋"/>
          <w:sz w:val="32"/>
          <w:highlight w:val="none"/>
        </w:rPr>
        <w:t>项，报送决策咨询报告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3</w:t>
      </w:r>
      <w:r>
        <w:rPr>
          <w:rFonts w:ascii="仿宋" w:hAnsi="仿宋" w:eastAsia="仿宋"/>
          <w:sz w:val="32"/>
          <w:highlight w:val="none"/>
        </w:rPr>
        <w:t>篇。</w:t>
      </w:r>
      <w:r>
        <w:rPr>
          <w:rFonts w:ascii="仿宋" w:hAnsi="仿宋" w:eastAsia="仿宋"/>
          <w:sz w:val="32"/>
          <w:highlight w:val="none"/>
        </w:rPr>
        <w:t>持续提高党校在现代省会、经济强市建设大局中的</w:t>
      </w:r>
      <w:r>
        <w:rPr>
          <w:rFonts w:ascii="仿宋" w:hAnsi="仿宋" w:eastAsia="仿宋"/>
          <w:sz w:val="32"/>
        </w:rPr>
        <w:t>贡献率</w:t>
      </w:r>
      <w:r>
        <w:rPr>
          <w:rFonts w:hint="eastAsia" w:ascii="仿宋" w:hAnsi="仿宋" w:eastAsia="仿宋"/>
          <w:sz w:val="32"/>
          <w:lang w:eastAsia="zh-CN"/>
        </w:rPr>
        <w:t>，</w:t>
      </w:r>
      <w:r>
        <w:rPr>
          <w:rFonts w:hint="eastAsia" w:ascii="仿宋" w:hAnsi="仿宋" w:eastAsia="仿宋"/>
          <w:sz w:val="32"/>
          <w:lang w:val="en-US" w:eastAsia="zh-CN"/>
        </w:rPr>
        <w:t>较为良好的完成了全年度总体绩效目标。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80" w:lineRule="exact"/>
        <w:ind w:firstLine="630"/>
        <w:rPr>
          <w:rFonts w:ascii="仿宋" w:hAnsi="仿宋" w:eastAsia="仿宋"/>
          <w:b/>
          <w:sz w:val="32"/>
        </w:rPr>
      </w:pPr>
      <w:r>
        <w:rPr>
          <w:rFonts w:hint="eastAsia" w:ascii="仿宋" w:hAnsi="仿宋" w:eastAsia="仿宋"/>
          <w:sz w:val="32"/>
          <w:lang w:val="en-US" w:eastAsia="zh-CN"/>
        </w:rPr>
        <w:t>在培训教育工作方面，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全年主体班培训人数5657人，</w:t>
      </w:r>
      <w:r>
        <w:rPr>
          <w:rFonts w:ascii="仿宋" w:hAnsi="仿宋" w:eastAsia="仿宋"/>
          <w:sz w:val="32"/>
        </w:rPr>
        <w:t>培训工作完成率达到9</w:t>
      </w:r>
      <w:r>
        <w:rPr>
          <w:rFonts w:hint="eastAsia" w:ascii="仿宋" w:hAnsi="仿宋" w:eastAsia="仿宋"/>
          <w:sz w:val="32"/>
          <w:lang w:val="en-US" w:eastAsia="zh-CN"/>
        </w:rPr>
        <w:t>5</w:t>
      </w:r>
      <w:r>
        <w:rPr>
          <w:rFonts w:ascii="仿宋" w:hAnsi="仿宋" w:eastAsia="仿宋"/>
          <w:sz w:val="32"/>
        </w:rPr>
        <w:t>%以上、学员报到率平均达到95%，主体班学员受训人均成本达到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300</w:t>
      </w:r>
      <w:r>
        <w:rPr>
          <w:rFonts w:ascii="仿宋" w:hAnsi="仿宋" w:eastAsia="仿宋"/>
          <w:sz w:val="32"/>
          <w:highlight w:val="none"/>
        </w:rPr>
        <w:t>元/天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/</w:t>
      </w:r>
      <w:r>
        <w:rPr>
          <w:rFonts w:ascii="仿宋" w:hAnsi="仿宋" w:eastAsia="仿宋"/>
          <w:sz w:val="32"/>
          <w:highlight w:val="none"/>
        </w:rPr>
        <w:t>人次，</w:t>
      </w:r>
      <w:r>
        <w:rPr>
          <w:rFonts w:ascii="仿宋" w:hAnsi="仿宋" w:eastAsia="仿宋"/>
          <w:sz w:val="32"/>
        </w:rPr>
        <w:t>秋季学年完成全部培训。教学质量平均评优率达到</w:t>
      </w:r>
      <w:r>
        <w:rPr>
          <w:rFonts w:hint="eastAsia" w:ascii="仿宋" w:hAnsi="仿宋" w:eastAsia="仿宋"/>
          <w:sz w:val="32"/>
          <w:lang w:val="en-US" w:eastAsia="zh-CN"/>
        </w:rPr>
        <w:t>90%</w:t>
      </w:r>
      <w:r>
        <w:rPr>
          <w:rFonts w:ascii="仿宋" w:hAnsi="仿宋" w:eastAsia="仿宋"/>
          <w:sz w:val="32"/>
        </w:rPr>
        <w:t>以上。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80" w:lineRule="exact"/>
        <w:ind w:firstLine="630"/>
        <w:rPr>
          <w:rFonts w:ascii="仿宋" w:hAnsi="仿宋" w:eastAsia="仿宋"/>
          <w:b/>
          <w:sz w:val="32"/>
          <w:highlight w:val="none"/>
        </w:rPr>
      </w:pPr>
      <w:r>
        <w:rPr>
          <w:rFonts w:hint="eastAsia" w:ascii="仿宋" w:hAnsi="仿宋" w:eastAsia="仿宋"/>
          <w:b w:val="0"/>
          <w:bCs/>
          <w:sz w:val="32"/>
          <w:lang w:val="en-US" w:eastAsia="zh-CN"/>
        </w:rPr>
        <w:t>在</w:t>
      </w:r>
      <w:r>
        <w:rPr>
          <w:rFonts w:ascii="仿宋" w:hAnsi="仿宋" w:eastAsia="仿宋"/>
          <w:b w:val="0"/>
          <w:bCs/>
          <w:sz w:val="32"/>
        </w:rPr>
        <w:t>理论研究</w:t>
      </w:r>
      <w:r>
        <w:rPr>
          <w:rFonts w:hint="eastAsia" w:ascii="仿宋" w:hAnsi="仿宋" w:eastAsia="仿宋"/>
          <w:b w:val="0"/>
          <w:bCs/>
          <w:sz w:val="32"/>
          <w:lang w:val="en-US" w:eastAsia="zh-CN"/>
        </w:rPr>
        <w:t>工作方面，全</w:t>
      </w:r>
      <w:r>
        <w:rPr>
          <w:rFonts w:ascii="仿宋" w:hAnsi="仿宋" w:eastAsia="仿宋"/>
          <w:sz w:val="32"/>
        </w:rPr>
        <w:t>年度立项</w:t>
      </w:r>
      <w:r>
        <w:rPr>
          <w:rFonts w:ascii="仿宋" w:hAnsi="仿宋" w:eastAsia="仿宋"/>
          <w:sz w:val="32"/>
          <w:highlight w:val="none"/>
        </w:rPr>
        <w:t>各类科研项目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42</w:t>
      </w:r>
      <w:r>
        <w:rPr>
          <w:rFonts w:ascii="仿宋" w:hAnsi="仿宋" w:eastAsia="仿宋"/>
          <w:sz w:val="32"/>
          <w:highlight w:val="none"/>
        </w:rPr>
        <w:t>项，并按立项要求做好课题研究工作。</w:t>
      </w:r>
      <w:r>
        <w:rPr>
          <w:rFonts w:ascii="仿宋" w:hAnsi="仿宋" w:eastAsia="仿宋"/>
          <w:color w:val="auto"/>
          <w:sz w:val="32"/>
          <w:highlight w:val="none"/>
        </w:rPr>
        <w:t>全年</w:t>
      </w:r>
      <w:r>
        <w:rPr>
          <w:rFonts w:hint="eastAsia" w:ascii="仿宋" w:hAnsi="仿宋" w:eastAsia="仿宋"/>
          <w:color w:val="auto"/>
          <w:sz w:val="32"/>
          <w:highlight w:val="none"/>
          <w:lang w:val="en-US" w:eastAsia="zh-CN"/>
        </w:rPr>
        <w:t>发表专著</w:t>
      </w:r>
      <w:r>
        <w:rPr>
          <w:rFonts w:hint="eastAsia" w:ascii="仿宋" w:hAnsi="仿宋" w:eastAsia="仿宋"/>
          <w:sz w:val="32"/>
          <w:highlight w:val="none"/>
          <w:lang w:eastAsia="zh-CN"/>
        </w:rPr>
        <w:t>《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新发展格局下的社会治理创新性研究</w:t>
      </w:r>
      <w:r>
        <w:rPr>
          <w:rFonts w:hint="eastAsia" w:ascii="仿宋" w:hAnsi="仿宋" w:eastAsia="仿宋"/>
          <w:sz w:val="32"/>
          <w:highlight w:val="none"/>
          <w:lang w:eastAsia="zh-CN"/>
        </w:rPr>
        <w:t>》、《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行政学理论与实践研究</w:t>
      </w:r>
      <w:r>
        <w:rPr>
          <w:rFonts w:hint="eastAsia" w:ascii="仿宋" w:hAnsi="仿宋" w:eastAsia="仿宋"/>
          <w:sz w:val="32"/>
          <w:highlight w:val="none"/>
          <w:lang w:eastAsia="zh-CN"/>
        </w:rPr>
        <w:t>》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等，</w:t>
      </w:r>
      <w:r>
        <w:rPr>
          <w:rFonts w:hint="eastAsia" w:ascii="仿宋" w:hAnsi="仿宋" w:eastAsia="仿宋"/>
          <w:color w:val="auto"/>
          <w:sz w:val="32"/>
          <w:highlight w:val="none"/>
          <w:lang w:eastAsia="zh-CN"/>
        </w:rPr>
        <w:t>在核心期刊等重要传播渠道</w:t>
      </w:r>
      <w:r>
        <w:rPr>
          <w:rFonts w:ascii="仿宋" w:hAnsi="仿宋" w:eastAsia="仿宋"/>
          <w:sz w:val="32"/>
          <w:highlight w:val="none"/>
        </w:rPr>
        <w:t>发表</w:t>
      </w:r>
      <w:r>
        <w:rPr>
          <w:rFonts w:hint="eastAsia" w:ascii="仿宋" w:hAnsi="仿宋" w:eastAsia="仿宋"/>
          <w:sz w:val="32"/>
          <w:highlight w:val="none"/>
          <w:lang w:eastAsia="zh-CN"/>
        </w:rPr>
        <w:t>《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集团关联交易对批发零售企业成本效率的影响</w:t>
      </w:r>
      <w:r>
        <w:rPr>
          <w:rFonts w:hint="eastAsia" w:ascii="仿宋" w:hAnsi="仿宋" w:eastAsia="仿宋"/>
          <w:sz w:val="32"/>
          <w:highlight w:val="none"/>
          <w:lang w:eastAsia="zh-CN"/>
        </w:rPr>
        <w:t>》、《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差别化农业生产的成因、应对及省思</w:t>
      </w:r>
      <w:r>
        <w:rPr>
          <w:rFonts w:hint="eastAsia" w:ascii="仿宋" w:hAnsi="仿宋" w:eastAsia="仿宋"/>
          <w:sz w:val="32"/>
          <w:highlight w:val="none"/>
          <w:lang w:eastAsia="zh-CN"/>
        </w:rPr>
        <w:t>》等</w:t>
      </w:r>
      <w:r>
        <w:rPr>
          <w:rFonts w:ascii="仿宋" w:hAnsi="仿宋" w:eastAsia="仿宋"/>
          <w:sz w:val="32"/>
          <w:highlight w:val="none"/>
        </w:rPr>
        <w:t>研究成果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62</w:t>
      </w:r>
      <w:r>
        <w:rPr>
          <w:rFonts w:ascii="仿宋" w:hAnsi="仿宋" w:eastAsia="仿宋"/>
          <w:sz w:val="32"/>
          <w:highlight w:val="none"/>
        </w:rPr>
        <w:t>篇，</w:t>
      </w:r>
      <w:r>
        <w:rPr>
          <w:rFonts w:hint="eastAsia" w:ascii="仿宋" w:hAnsi="仿宋" w:eastAsia="仿宋"/>
          <w:sz w:val="32"/>
          <w:highlight w:val="none"/>
          <w:lang w:val="en-US" w:eastAsia="zh-CN"/>
        </w:rPr>
        <w:t>极大的</w:t>
      </w:r>
      <w:r>
        <w:rPr>
          <w:rFonts w:ascii="仿宋" w:hAnsi="仿宋" w:eastAsia="仿宋"/>
          <w:sz w:val="32"/>
          <w:highlight w:val="none"/>
        </w:rPr>
        <w:t>发挥思想引领和理论建设作用。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80" w:lineRule="exact"/>
        <w:ind w:firstLine="630"/>
        <w:rPr>
          <w:rFonts w:ascii="仿宋" w:hAnsi="仿宋" w:eastAsia="仿宋"/>
          <w:color w:val="auto"/>
          <w:sz w:val="32"/>
          <w:highlight w:val="none"/>
        </w:rPr>
      </w:pPr>
      <w:r>
        <w:rPr>
          <w:rFonts w:hint="eastAsia" w:ascii="仿宋" w:hAnsi="仿宋" w:eastAsia="仿宋"/>
          <w:b w:val="0"/>
          <w:bCs/>
          <w:sz w:val="32"/>
          <w:highlight w:val="none"/>
          <w:lang w:val="en-US" w:eastAsia="zh-CN"/>
        </w:rPr>
        <w:t>在</w:t>
      </w:r>
      <w:r>
        <w:rPr>
          <w:rFonts w:ascii="仿宋" w:hAnsi="仿宋" w:eastAsia="仿宋"/>
          <w:b w:val="0"/>
          <w:bCs/>
          <w:sz w:val="32"/>
          <w:highlight w:val="none"/>
        </w:rPr>
        <w:t>决策咨询</w:t>
      </w:r>
      <w:r>
        <w:rPr>
          <w:rFonts w:hint="eastAsia" w:ascii="仿宋" w:hAnsi="仿宋" w:eastAsia="仿宋"/>
          <w:b w:val="0"/>
          <w:bCs/>
          <w:sz w:val="32"/>
          <w:highlight w:val="none"/>
          <w:lang w:val="en-US" w:eastAsia="zh-CN"/>
        </w:rPr>
        <w:t>工作方面，</w:t>
      </w:r>
      <w:r>
        <w:rPr>
          <w:rFonts w:ascii="仿宋" w:hAnsi="仿宋" w:eastAsia="仿宋"/>
          <w:color w:val="auto"/>
          <w:sz w:val="32"/>
          <w:highlight w:val="none"/>
        </w:rPr>
        <w:t>全年报送研究报告</w:t>
      </w:r>
      <w:r>
        <w:rPr>
          <w:rFonts w:hint="eastAsia" w:ascii="仿宋" w:hAnsi="仿宋" w:eastAsia="仿宋"/>
          <w:color w:val="auto"/>
          <w:sz w:val="32"/>
          <w:highlight w:val="none"/>
          <w:lang w:val="en-US" w:eastAsia="zh-CN"/>
        </w:rPr>
        <w:t>3</w:t>
      </w:r>
      <w:r>
        <w:rPr>
          <w:rFonts w:ascii="仿宋" w:hAnsi="仿宋" w:eastAsia="仿宋"/>
          <w:color w:val="auto"/>
          <w:sz w:val="32"/>
          <w:highlight w:val="none"/>
        </w:rPr>
        <w:t>篇</w:t>
      </w:r>
      <w:r>
        <w:rPr>
          <w:rFonts w:ascii="仿宋" w:hAnsi="仿宋" w:eastAsia="仿宋"/>
          <w:color w:val="auto"/>
          <w:sz w:val="32"/>
          <w:highlight w:val="none"/>
        </w:rPr>
        <w:t>，切实发挥决策咨询和智库作用。</w:t>
      </w:r>
    </w:p>
    <w:p>
      <w:pPr>
        <w:keepNext w:val="0"/>
        <w:keepLines w:val="0"/>
        <w:pageBreakBefore w:val="0"/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  <w:lang w:val="en-US" w:eastAsia="zh-CN"/>
        </w:rPr>
        <w:t>在</w:t>
      </w:r>
      <w:r>
        <w:rPr>
          <w:rFonts w:ascii="仿宋" w:hAnsi="仿宋" w:eastAsia="仿宋"/>
          <w:sz w:val="32"/>
        </w:rPr>
        <w:t>师资培训</w:t>
      </w:r>
      <w:r>
        <w:rPr>
          <w:rFonts w:hint="eastAsia" w:ascii="仿宋" w:hAnsi="仿宋" w:eastAsia="仿宋"/>
          <w:sz w:val="32"/>
          <w:lang w:val="en-US" w:eastAsia="zh-CN"/>
        </w:rPr>
        <w:t>工作方面，</w:t>
      </w:r>
      <w:r>
        <w:rPr>
          <w:rFonts w:ascii="仿宋" w:hAnsi="仿宋" w:eastAsia="仿宋"/>
          <w:sz w:val="32"/>
          <w:highlight w:val="none"/>
        </w:rPr>
        <w:t>教师专题培训比率稳定在10%以上，</w:t>
      </w:r>
      <w:r>
        <w:rPr>
          <w:rFonts w:ascii="仿宋" w:hAnsi="仿宋" w:eastAsia="仿宋"/>
          <w:sz w:val="32"/>
        </w:rPr>
        <w:t>培训出勤率在9</w:t>
      </w:r>
      <w:r>
        <w:rPr>
          <w:rFonts w:hint="eastAsia" w:ascii="仿宋" w:hAnsi="仿宋" w:eastAsia="仿宋"/>
          <w:sz w:val="32"/>
          <w:lang w:val="en-US" w:eastAsia="zh-CN"/>
        </w:rPr>
        <w:t>5</w:t>
      </w:r>
      <w:r>
        <w:rPr>
          <w:rFonts w:ascii="仿宋" w:hAnsi="仿宋" w:eastAsia="仿宋"/>
          <w:sz w:val="32"/>
        </w:rPr>
        <w:t>%以上，参训人员满意度在</w:t>
      </w:r>
      <w:r>
        <w:rPr>
          <w:rFonts w:hint="eastAsia" w:ascii="仿宋" w:hAnsi="仿宋" w:eastAsia="仿宋"/>
          <w:sz w:val="32"/>
          <w:lang w:val="en-US" w:eastAsia="zh-CN"/>
        </w:rPr>
        <w:t>90</w:t>
      </w:r>
      <w:r>
        <w:rPr>
          <w:rFonts w:ascii="仿宋" w:hAnsi="仿宋" w:eastAsia="仿宋"/>
          <w:sz w:val="32"/>
        </w:rPr>
        <w:t>%以上。截至202</w:t>
      </w:r>
      <w:r>
        <w:rPr>
          <w:rFonts w:hint="eastAsia" w:ascii="仿宋" w:hAnsi="仿宋" w:eastAsia="仿宋"/>
          <w:sz w:val="32"/>
          <w:lang w:val="en-US" w:eastAsia="zh-CN"/>
        </w:rPr>
        <w:t>3</w:t>
      </w:r>
      <w:r>
        <w:rPr>
          <w:rFonts w:ascii="仿宋" w:hAnsi="仿宋" w:eastAsia="仿宋"/>
          <w:sz w:val="32"/>
        </w:rPr>
        <w:t>年</w:t>
      </w:r>
      <w:r>
        <w:rPr>
          <w:rFonts w:hint="eastAsia" w:ascii="仿宋" w:hAnsi="仿宋" w:eastAsia="仿宋"/>
          <w:sz w:val="32"/>
          <w:lang w:val="en-US" w:eastAsia="zh-CN"/>
        </w:rPr>
        <w:t>底</w:t>
      </w:r>
      <w:r>
        <w:rPr>
          <w:rFonts w:ascii="仿宋" w:hAnsi="仿宋" w:eastAsia="仿宋"/>
          <w:sz w:val="32"/>
        </w:rPr>
        <w:t>，培训涵盖党校马克思主义哲学、党史党建、公共管理、政治法律等各专业领域教师。学习新思想新理念新方法，进一步更新知识结构、提升教研水平。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/>
        <w:textAlignment w:val="auto"/>
        <w:rPr>
          <w:rFonts w:hint="eastAsia" w:ascii="仿宋" w:hAnsi="仿宋" w:eastAsia="仿宋"/>
          <w:sz w:val="32"/>
          <w:lang w:val="en-US" w:eastAsia="zh-CN"/>
        </w:rPr>
      </w:pPr>
      <w:r>
        <w:rPr>
          <w:rFonts w:hint="eastAsia" w:ascii="仿宋" w:hAnsi="仿宋" w:eastAsia="仿宋"/>
          <w:sz w:val="32"/>
          <w:lang w:val="en-US" w:eastAsia="zh-CN"/>
        </w:rPr>
        <w:t>结合我单位各科室承担职责和履职情况，汇总自评得分情况，我单位2023年度整体支出绩效评价为优秀。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lang w:val="en-US" w:eastAsia="zh-CN"/>
        </w:rPr>
        <w:t>通过本年度整体支出绩效评价管理工作，我们发现</w:t>
      </w:r>
      <w:r>
        <w:rPr>
          <w:rFonts w:hint="eastAsia" w:ascii="仿宋_GB2312" w:hAnsi="仿宋" w:eastAsia="仿宋_GB2312" w:cs="仿宋"/>
          <w:sz w:val="32"/>
          <w:szCs w:val="32"/>
        </w:rPr>
        <w:t>个别项目绩效指标设定需进一步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精准细化。</w:t>
      </w:r>
    </w:p>
    <w:p>
      <w:pPr>
        <w:numPr>
          <w:ilvl w:val="0"/>
          <w:numId w:val="4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仿宋_GB2312" w:hAnsi="仿宋" w:eastAsia="仿宋_GB2312"/>
          <w:sz w:val="32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1、</w:t>
      </w:r>
      <w:r>
        <w:rPr>
          <w:rFonts w:hint="eastAsia" w:ascii="仿宋_GB2312" w:hAnsi="楷体" w:eastAsia="仿宋_GB2312" w:cs="仿宋"/>
          <w:bCs/>
          <w:sz w:val="32"/>
          <w:szCs w:val="32"/>
        </w:rPr>
        <w:t>提高</w:t>
      </w:r>
      <w:r>
        <w:rPr>
          <w:rFonts w:hint="eastAsia" w:ascii="仿宋_GB2312" w:hAnsi="楷体" w:eastAsia="仿宋_GB2312" w:cs="宋体"/>
          <w:bCs/>
          <w:sz w:val="32"/>
          <w:szCs w:val="32"/>
        </w:rPr>
        <w:t>预算项目支出进度均衡性。</w:t>
      </w:r>
      <w:r>
        <w:rPr>
          <w:rFonts w:hint="eastAsia" w:ascii="仿宋_GB2312" w:hAnsi="楷体" w:eastAsia="仿宋_GB2312" w:cs="宋体"/>
          <w:bCs/>
          <w:sz w:val="32"/>
          <w:szCs w:val="32"/>
          <w:lang w:val="en-US" w:eastAsia="zh-CN"/>
        </w:rPr>
        <w:t>根据</w:t>
      </w:r>
      <w:r>
        <w:rPr>
          <w:rFonts w:hint="eastAsia" w:ascii="仿宋_GB2312" w:hAnsi="仿宋" w:eastAsia="仿宋_GB2312" w:cs="宋体"/>
          <w:sz w:val="32"/>
          <w:szCs w:val="32"/>
        </w:rPr>
        <w:t>年初市财政局批复预算，及时分解</w:t>
      </w:r>
      <w:r>
        <w:rPr>
          <w:rFonts w:hint="eastAsia" w:ascii="仿宋_GB2312" w:hAnsi="仿宋" w:eastAsia="仿宋_GB2312" w:cs="宋体"/>
          <w:sz w:val="32"/>
          <w:szCs w:val="32"/>
          <w:lang w:val="en-US" w:eastAsia="zh-CN"/>
        </w:rPr>
        <w:t>支出任务</w:t>
      </w:r>
      <w:r>
        <w:rPr>
          <w:rFonts w:hint="eastAsia" w:ascii="仿宋_GB2312" w:hAnsi="仿宋" w:eastAsia="仿宋_GB2312" w:cs="宋体"/>
          <w:sz w:val="32"/>
          <w:szCs w:val="32"/>
        </w:rPr>
        <w:t>下达到各项目承办处室</w:t>
      </w:r>
      <w:r>
        <w:rPr>
          <w:rFonts w:hint="eastAsia" w:ascii="仿宋_GB2312" w:hAnsi="仿宋" w:eastAsia="仿宋_GB2312" w:cs="宋体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 w:cs="宋体"/>
          <w:sz w:val="32"/>
          <w:szCs w:val="32"/>
        </w:rPr>
        <w:t>各处室对承办的专项项目支出进度承担主体责任，并实行承诺制，确保项目支出进度符合时间节点要求。财务处每月统计预算项目支出情况，对支出进度不符合要求的相关处室，督促其采取有效措施加快预算执行进度。另外，加强年初预算项目论证、审查，要求各处室对需列入预算的项目做到早谋划</w:t>
      </w:r>
      <w:r>
        <w:rPr>
          <w:rFonts w:hint="eastAsia" w:ascii="仿宋_GB2312" w:hAnsi="仿宋" w:eastAsia="仿宋_GB2312" w:cs="宋体"/>
          <w:sz w:val="32"/>
          <w:szCs w:val="32"/>
          <w:lang w:val="en-US" w:eastAsia="zh-CN"/>
        </w:rPr>
        <w:t>早制定</w:t>
      </w:r>
      <w:r>
        <w:rPr>
          <w:rFonts w:hint="eastAsia" w:ascii="仿宋_GB2312" w:hAnsi="仿宋" w:eastAsia="仿宋_GB2312" w:cs="宋体"/>
          <w:sz w:val="32"/>
          <w:szCs w:val="32"/>
        </w:rPr>
        <w:t>，对于实施条件成熟的项目将优先安排，确保预算下达后，可以尽快实施。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仿宋_GB2312" w:hAnsi="楷体" w:eastAsia="仿宋_GB2312" w:cs="宋体"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hAnsi="楷体" w:eastAsia="仿宋_GB2312" w:cs="宋体"/>
          <w:bCs/>
          <w:sz w:val="32"/>
          <w:szCs w:val="32"/>
        </w:rPr>
        <w:t>强化项目绩效目标管理。</w:t>
      </w:r>
      <w:r>
        <w:rPr>
          <w:rFonts w:hint="eastAsia" w:ascii="仿宋_GB2312" w:hAnsi="仿宋" w:eastAsia="仿宋_GB2312" w:cs="宋体"/>
          <w:sz w:val="32"/>
          <w:szCs w:val="32"/>
        </w:rPr>
        <w:t>各处室在编制预算时，要求其根据学校发展规划、年度工作计划等，科学合理测算资金需求，全面</w:t>
      </w:r>
      <w:r>
        <w:rPr>
          <w:rFonts w:hint="eastAsia" w:ascii="仿宋_GB2312" w:hAnsi="仿宋" w:eastAsia="仿宋_GB2312" w:cs="宋体"/>
          <w:sz w:val="32"/>
          <w:szCs w:val="32"/>
          <w:lang w:val="en-US" w:eastAsia="zh-CN"/>
        </w:rPr>
        <w:t>合理、细化</w:t>
      </w:r>
      <w:r>
        <w:rPr>
          <w:rFonts w:hint="eastAsia" w:ascii="仿宋_GB2312" w:hAnsi="仿宋" w:eastAsia="仿宋_GB2312" w:cs="宋体"/>
          <w:sz w:val="32"/>
          <w:szCs w:val="32"/>
        </w:rPr>
        <w:t>设置项目绩效目标和指标。财务处将绩效目标指标设置情况作为预算安排的前提条件，加强绩效目标审核，对绩效目标不完善或编制质量不高的，不安排预算。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4"/>
        <w:tblW w:w="931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8"/>
        <w:gridCol w:w="2976"/>
        <w:gridCol w:w="2988"/>
        <w:gridCol w:w="174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</w:rPr>
              <w:t>职务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8"/>
                <w:szCs w:val="28"/>
                <w:lang w:val="en-US" w:eastAsia="zh-CN"/>
              </w:rPr>
              <w:t>签字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赵士宗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常务副校长</w:t>
            </w:r>
          </w:p>
        </w:tc>
        <w:tc>
          <w:tcPr>
            <w:tcW w:w="17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 xml:space="preserve">尹 </w:t>
            </w:r>
            <w:r>
              <w:rPr>
                <w:rFonts w:ascii="仿宋_GB2312" w:hAnsi="仿宋" w:eastAsia="仿宋_GB2312" w:cs="Arial"/>
                <w:sz w:val="30"/>
                <w:szCs w:val="30"/>
              </w:rPr>
              <w:t xml:space="preserve"> </w:t>
            </w: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浩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  <w:t>二级调研员</w:t>
            </w:r>
            <w:bookmarkStart w:id="1" w:name="_GoBack"/>
            <w:bookmarkEnd w:id="1"/>
          </w:p>
        </w:tc>
        <w:tc>
          <w:tcPr>
            <w:tcW w:w="17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 xml:space="preserve">董 </w:t>
            </w:r>
            <w:r>
              <w:rPr>
                <w:rFonts w:ascii="仿宋_GB2312" w:hAnsi="仿宋" w:eastAsia="仿宋_GB2312" w:cs="Arial"/>
                <w:sz w:val="30"/>
                <w:szCs w:val="30"/>
              </w:rPr>
              <w:t xml:space="preserve"> </w:t>
            </w: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 xml:space="preserve">杰 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副校长</w:t>
            </w:r>
          </w:p>
        </w:tc>
        <w:tc>
          <w:tcPr>
            <w:tcW w:w="17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杨书伟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  <w:t>副校长</w:t>
            </w:r>
          </w:p>
        </w:tc>
        <w:tc>
          <w:tcPr>
            <w:tcW w:w="17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尚顺忠</w:t>
            </w:r>
          </w:p>
        </w:tc>
        <w:tc>
          <w:tcPr>
            <w:tcW w:w="29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三级调研员</w:t>
            </w:r>
          </w:p>
        </w:tc>
        <w:tc>
          <w:tcPr>
            <w:tcW w:w="17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  <w:t>范立强</w:t>
            </w:r>
          </w:p>
        </w:tc>
        <w:tc>
          <w:tcPr>
            <w:tcW w:w="2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  <w:t>副校长</w:t>
            </w: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  <w:t>栾俊鹏</w:t>
            </w:r>
          </w:p>
        </w:tc>
        <w:tc>
          <w:tcPr>
            <w:tcW w:w="2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四</w:t>
            </w: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级调研员</w:t>
            </w:r>
          </w:p>
        </w:tc>
        <w:tc>
          <w:tcPr>
            <w:tcW w:w="1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闫峰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办公室主任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  <w:t>聂晓耀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财务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  <w:t>科科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z w:val="30"/>
                <w:szCs w:val="30"/>
                <w:lang w:eastAsia="zh-CN"/>
              </w:rPr>
              <w:t>肖贵锋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人事科科长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  <w:t>许小红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机关党委书记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  <w:t>张燕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教务科</w:t>
            </w: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副</w:t>
            </w: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科长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  <w:t>胡香中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后勤科科长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赵晓岚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学员科科长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highlight w:val="none"/>
                <w:lang w:val="en-US" w:eastAsia="zh-CN"/>
              </w:rPr>
              <w:t>李斌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highlight w:val="none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highlight w:val="none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highlight w:val="none"/>
              </w:rPr>
              <w:t>教研保障科科长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  <w:highlight w:val="yellow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张春光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highlight w:val="none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仿宋" w:eastAsia="仿宋_GB2312" w:cs="Arial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保卫科科长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韩丽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highlight w:val="none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仿宋" w:eastAsia="仿宋_GB2312" w:cs="Arial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图书馆馆长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张梦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科研科科长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王玉倩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highlight w:val="none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仿宋" w:eastAsia="仿宋_GB2312" w:cs="Arial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校刊编辑部副主任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仇亚强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highlight w:val="none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仿宋_GB2312" w:hAnsi="仿宋" w:eastAsia="仿宋_GB2312" w:cs="Arial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对外交流中心副主任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 xml:space="preserve">徐 </w:t>
            </w:r>
            <w:r>
              <w:rPr>
                <w:rFonts w:ascii="仿宋_GB2312" w:eastAsia="仿宋_GB2312"/>
                <w:sz w:val="30"/>
                <w:szCs w:val="30"/>
              </w:rPr>
              <w:t xml:space="preserve"> </w:t>
            </w:r>
            <w:r>
              <w:rPr>
                <w:rFonts w:hint="eastAsia" w:ascii="仿宋_GB2312" w:eastAsia="仿宋_GB2312"/>
                <w:sz w:val="30"/>
                <w:szCs w:val="30"/>
              </w:rPr>
              <w:t>静</w:t>
            </w:r>
          </w:p>
        </w:tc>
        <w:tc>
          <w:tcPr>
            <w:tcW w:w="29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</w:rPr>
              <w:t>中共石家庄市委党校</w:t>
            </w:r>
          </w:p>
        </w:tc>
        <w:tc>
          <w:tcPr>
            <w:tcW w:w="29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等线" w:eastAsia="仿宋_GB2312" w:cs="宋体"/>
                <w:color w:val="000000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" w:eastAsia="仿宋_GB2312" w:cs="Arial"/>
                <w:sz w:val="30"/>
                <w:szCs w:val="30"/>
              </w:rPr>
              <w:t>财务科</w:t>
            </w:r>
            <w:r>
              <w:rPr>
                <w:rFonts w:hint="eastAsia" w:ascii="仿宋_GB2312" w:hAnsi="仿宋" w:eastAsia="仿宋_GB2312" w:cs="Arial"/>
                <w:sz w:val="30"/>
                <w:szCs w:val="30"/>
                <w:lang w:val="en-US" w:eastAsia="zh-CN"/>
              </w:rPr>
              <w:t>副科长</w:t>
            </w:r>
          </w:p>
        </w:tc>
        <w:tc>
          <w:tcPr>
            <w:tcW w:w="1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" w:eastAsia="仿宋_GB2312" w:cs="Arial"/>
                <w:sz w:val="32"/>
                <w:szCs w:val="32"/>
              </w:rPr>
            </w:pPr>
          </w:p>
        </w:tc>
      </w:tr>
    </w:tbl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7"/>
    <w:multiLevelType w:val="singleLevel"/>
    <w:tmpl w:val="00000007"/>
    <w:lvl w:ilvl="0" w:tentative="0">
      <w:start w:val="1"/>
      <w:numFmt w:val="decimal"/>
      <w:suff w:val="nothing"/>
      <w:lvlText w:val="%1."/>
      <w:lvlJc w:val="left"/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46C4A381"/>
    <w:multiLevelType w:val="singleLevel"/>
    <w:tmpl w:val="46C4A38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DdmNDQwNDRlZGZjYzgyYjU0MWZjNDE5MzVjMDJkYjY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8693C27"/>
    <w:rsid w:val="09721397"/>
    <w:rsid w:val="0BB63BED"/>
    <w:rsid w:val="0EB97A43"/>
    <w:rsid w:val="0EBD2122"/>
    <w:rsid w:val="0EDA4916"/>
    <w:rsid w:val="0F1A7A94"/>
    <w:rsid w:val="0F214EAE"/>
    <w:rsid w:val="11B71E6A"/>
    <w:rsid w:val="17816655"/>
    <w:rsid w:val="1AAF0063"/>
    <w:rsid w:val="1BE140DE"/>
    <w:rsid w:val="245931BA"/>
    <w:rsid w:val="248C197D"/>
    <w:rsid w:val="252959AF"/>
    <w:rsid w:val="277A6671"/>
    <w:rsid w:val="292D35B7"/>
    <w:rsid w:val="2CCA7779"/>
    <w:rsid w:val="33EB6CFF"/>
    <w:rsid w:val="35A12947"/>
    <w:rsid w:val="37284F6C"/>
    <w:rsid w:val="37387040"/>
    <w:rsid w:val="3B625C0A"/>
    <w:rsid w:val="3CEE1963"/>
    <w:rsid w:val="436B78D3"/>
    <w:rsid w:val="4C9C27FE"/>
    <w:rsid w:val="4F4F2935"/>
    <w:rsid w:val="512260B4"/>
    <w:rsid w:val="52BD6ACB"/>
    <w:rsid w:val="52D060C1"/>
    <w:rsid w:val="55537534"/>
    <w:rsid w:val="561A74F1"/>
    <w:rsid w:val="597244E8"/>
    <w:rsid w:val="5EB71C30"/>
    <w:rsid w:val="62D77FF2"/>
    <w:rsid w:val="647E4FB9"/>
    <w:rsid w:val="66AF0CE5"/>
    <w:rsid w:val="693144D5"/>
    <w:rsid w:val="6AC537CF"/>
    <w:rsid w:val="6E5B14A6"/>
    <w:rsid w:val="711B255E"/>
    <w:rsid w:val="7785743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100</Words>
  <Characters>570</Characters>
  <Lines>4</Lines>
  <Paragraphs>1</Paragraphs>
  <TotalTime>3</TotalTime>
  <ScaleCrop>false</ScaleCrop>
  <LinksUpToDate>false</LinksUpToDate>
  <CharactersWithSpaces>669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徐静</cp:lastModifiedBy>
  <cp:lastPrinted>2024-03-06T07:40:00Z</cp:lastPrinted>
  <dcterms:modified xsi:type="dcterms:W3CDTF">2024-04-16T02:21:11Z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96934721B1514D3FBAA28020338CE855_12</vt:lpwstr>
  </property>
</Properties>
</file>