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深泽县人民检察院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深泽县人民检察院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部门概况</w:t>
      </w:r>
    </w:p>
    <w:p>
      <w:pPr>
        <w:numPr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 1.部门职能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（1）深入贯彻习近平新时代中国特色社会主义思想，深入贯彻党的路线方针和决策部署，坚持党对检察工作的绝对领导，坚持维护习近平总书记的核心地位，坚决维护党中央权威和集中统一领导。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（2）依法向县人民代表大会及其常务委员会提出议案。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（3）贯彻落实检察工作方针、总体规划，研究制定检察工作计划并组织实施。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（4）依照法律规定对直接受理的刑事案件行使侦查权。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（5）负责对管辖的各类刑事案件依法审查批准逮捕、决定逮捕、提起公诉。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（6）负责应由本院承办的刑事、民事、行政诉讼活动及刑事、民事、行政判决和裁定等生效法律文书执行的法律监督工作。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（7）负责应由本院承办的提起公益诉讼工作。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（8）依法受理核准追诉案件，审查是否上报。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（9）负责应由本院承办的对看守所、社区矫正等执法活动的法律监督工作。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（10）受理向本院的控告申诉。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（11）组织检察工作中法律政策具体应用问题的研究；组织开展检察理论研究工作。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（12）负责检察人员思想政治教育和业务培训工作；按照权限管理检察官和其他工作人员。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（13）负责本院检务督察工作。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（14）负责本院检务保障以及检察技术、信息化建设工作。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（15）完成其他应当由本院负责的工作。</w:t>
      </w:r>
    </w:p>
    <w:p>
      <w:p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" w:eastAsia="仿宋_GB2312"/>
          <w:sz w:val="32"/>
          <w:szCs w:val="32"/>
        </w:rPr>
        <w:t>2．机构情况。</w:t>
      </w:r>
    </w:p>
    <w:p>
      <w:pPr>
        <w:snapToGrid w:val="0"/>
        <w:spacing w:line="520" w:lineRule="exact"/>
        <w:ind w:firstLine="645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2023年度，纳入本部门</w:t>
      </w:r>
      <w:r>
        <w:rPr>
          <w:rFonts w:hint="eastAsia" w:ascii="仿宋" w:hAnsi="仿宋" w:eastAsia="仿宋"/>
          <w:sz w:val="32"/>
          <w:szCs w:val="32"/>
          <w:lang w:eastAsia="zh-CN"/>
        </w:rPr>
        <w:t>预算</w:t>
      </w:r>
      <w:r>
        <w:rPr>
          <w:rFonts w:hint="eastAsia" w:ascii="仿宋" w:hAnsi="仿宋" w:eastAsia="仿宋"/>
          <w:sz w:val="32"/>
          <w:szCs w:val="32"/>
        </w:rPr>
        <w:t>汇编范围的独立核算单位共1个，深泽县人民检察院基本性质为行政单位，预算管理级次为一级预算单位，执行政府会计制度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sz w:val="32"/>
          <w:szCs w:val="32"/>
        </w:rPr>
        <w:t>经费形式为市级财政拨款。</w:t>
      </w:r>
    </w:p>
    <w:p>
      <w:p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32"/>
          <w:szCs w:val="32"/>
        </w:rPr>
        <w:t>3．人员情况。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2023年度年末在职人员26人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况</w:t>
      </w:r>
    </w:p>
    <w:p>
      <w:pPr>
        <w:numPr>
          <w:numId w:val="0"/>
        </w:numPr>
        <w:spacing w:line="560" w:lineRule="exac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 w:cs="仿宋"/>
          <w:sz w:val="32"/>
          <w:szCs w:val="32"/>
        </w:rPr>
        <w:t>我院202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sz w:val="32"/>
          <w:szCs w:val="32"/>
        </w:rPr>
        <w:t>年预算为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857.23</w:t>
      </w:r>
      <w:r>
        <w:rPr>
          <w:rFonts w:hint="eastAsia" w:ascii="仿宋_GB2312" w:hAnsi="仿宋" w:eastAsia="仿宋_GB2312" w:cs="仿宋"/>
          <w:sz w:val="32"/>
          <w:szCs w:val="32"/>
        </w:rPr>
        <w:t>万元，其中财政拨款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857.23</w:t>
      </w:r>
      <w:r>
        <w:rPr>
          <w:rFonts w:hint="eastAsia" w:ascii="仿宋_GB2312" w:hAnsi="仿宋" w:eastAsia="仿宋_GB2312" w:cs="仿宋"/>
          <w:sz w:val="32"/>
          <w:szCs w:val="32"/>
        </w:rPr>
        <w:t>万元，占总预算的100%。整体预算中，人员经费预算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504.47</w:t>
      </w:r>
      <w:r>
        <w:rPr>
          <w:rFonts w:hint="eastAsia" w:ascii="仿宋_GB2312" w:hAnsi="仿宋" w:eastAsia="仿宋_GB2312" w:cs="仿宋"/>
          <w:sz w:val="32"/>
          <w:szCs w:val="32"/>
        </w:rPr>
        <w:t>万元，日常公用经费预算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185.76</w:t>
      </w:r>
      <w:r>
        <w:rPr>
          <w:rFonts w:hint="eastAsia" w:ascii="仿宋_GB2312" w:hAnsi="仿宋" w:eastAsia="仿宋_GB2312" w:cs="仿宋"/>
          <w:sz w:val="32"/>
          <w:szCs w:val="32"/>
        </w:rPr>
        <w:t>万元，项目经费预算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167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我院202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sz w:val="32"/>
          <w:szCs w:val="32"/>
        </w:rPr>
        <w:t>年整体支出为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753.69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adjustRightInd w:val="0"/>
        <w:snapToGrid w:val="0"/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spacing w:line="500" w:lineRule="exact"/>
        <w:ind w:firstLine="56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（一）总体绩效目标</w:t>
      </w:r>
    </w:p>
    <w:p>
      <w:pPr>
        <w:pStyle w:val="7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以保障人权、维护司法公正，有效提高批捕、批准立案、批延准确率;全面审查案件事实，核实证据，依法提起公诉、出庭提出审查意见，提高公诉案件审结率、出庭意见采纳率;完成移交未成年人案件侦查监督任务，有效实施未成年人案件审判监督，依法保护刑事案件未成年被害人的合法权益。有效实施民事案件审判监督，维护司法公正和司法权威，保障国家法律的统一正确实施，负责办理生态环境和资源保护、食品药品安全、国有财产保护、国有土地使用权出让等领域的行政公益诉讼案件，保障刑罚执行和监管活动的依法有序进行；构建依法有序信访秩序，及时依法解决群众诉求。</w:t>
      </w:r>
    </w:p>
    <w:p>
      <w:pPr>
        <w:spacing w:line="500" w:lineRule="exact"/>
        <w:ind w:firstLine="56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（二）分项绩效目标</w:t>
      </w: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办理公益诉讼绩效目标：负责对申请监督和提请撤诉的民事、行政案件的审查、抗诉；开展民事、行政支持起诉工作，办理民事，行政申诉案件；负责办理生态环境和资源保护、食品药品安全、国有财产保护、国有土地使用权出让等领域的行政公益诉讼案件，完成上级院交予的公益诉讼绩效目标。</w:t>
      </w: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办理公益诉讼绩效指标：努力提升办案质效和检察公信力，深化检务公开，公益诉讼审结的案件占受理案件的比例达到90%以上，通过办理案件，稳定社会环境，收到良好的社会效果，通过项目实施促进社会稳定水平明显提高。</w:t>
      </w: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检察监督绩效目标：通过行使检察权，惩罚犯罪活动，保护国家安全，保护公民、法人和其他组织的合法权益，保障国家法律的正确实施。</w:t>
      </w: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检察监督绩效指标：主动通报检察工作情况，监督案件完成率力争达到100%，针对案件反映出的倾向性问题和管理漏洞，及时提出检察建议，检察建议被采纳案件占全部检察建议案件的90%以上。</w:t>
      </w:r>
    </w:p>
    <w:p>
      <w:pPr>
        <w:pStyle w:val="6"/>
        <w:ind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控告和刑事申诉检察绩效目标：进一步提高刑事申诉案件审查、移转效率，严格遵守法定程序和期限审查刑事申诉案件，做到因案分流，繁案精办，简案快办，规范有序；“群众来信件件有回复”工作能力和水平整体增强；国家司法救助工作进一步完善。</w:t>
      </w:r>
    </w:p>
    <w:p>
      <w:pPr>
        <w:pStyle w:val="6"/>
        <w:rPr>
          <w:b w:val="0"/>
          <w:bCs w:val="0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控告和刑事申诉检察绩效指标：化解信访矛盾占全部信访比例大于等于90%，赔偿案件数占受理案件数的比例大于等于90%，司法救助案件数占受理案件数的比例大于等于90%。</w:t>
      </w:r>
    </w:p>
    <w:p>
      <w:pPr>
        <w:pStyle w:val="6"/>
        <w:ind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检察事务管理绩效目标：确保全年各项检察工作圆满完成。</w:t>
      </w: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检察事务管理绩效指标：结合办案职能，坚决维护社会平安稳定，结合办案业务工作范围，不断加强检察办案业务管理，提高办案业务质量，依法实行法律监督，维护司法公正，同时承担综合业务宣传及教育培训工作，服务对象满意度90%以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_GB2312" w:hAnsi="仿宋" w:eastAsia="仿宋_GB2312" w:cs="仿宋"/>
          <w:sz w:val="32"/>
          <w:szCs w:val="32"/>
        </w:rPr>
        <w:t>为保证绩效评价工作顺利开展，我院成立了绩效评价工作小组，主管检务保障部院领导任组长，检务保障部主任为副组长，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财务室</w:t>
      </w:r>
      <w:r>
        <w:rPr>
          <w:rFonts w:hint="eastAsia" w:ascii="仿宋_GB2312" w:hAnsi="仿宋" w:eastAsia="仿宋_GB2312" w:cs="仿宋"/>
          <w:sz w:val="32"/>
          <w:szCs w:val="32"/>
        </w:rPr>
        <w:t xml:space="preserve">具体负责绩效评价的组织管理工作和实施工作。  </w:t>
      </w:r>
    </w:p>
    <w:p>
      <w:pPr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根据相关资料及项目特点，采取定量分析与定性分析相结合，运用因素分析法、比较分析法、现场核查法、访谈等方法开展评价工作。从预算编制、预算执行、绩效目标完成情况、绩效目标设置质量等方面进行了综合评价。本次绩效评价工作过程包括前期准备、组织实施、撰写评价报告三个阶段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numPr>
          <w:numId w:val="0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 w:cs="仿宋"/>
          <w:sz w:val="32"/>
          <w:szCs w:val="32"/>
        </w:rPr>
        <w:t>在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市</w:t>
      </w:r>
      <w:r>
        <w:rPr>
          <w:rFonts w:hint="eastAsia" w:ascii="仿宋_GB2312" w:hAnsi="仿宋" w:eastAsia="仿宋_GB2312" w:cs="仿宋"/>
          <w:sz w:val="32"/>
          <w:szCs w:val="32"/>
        </w:rPr>
        <w:t>院和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县政府</w:t>
      </w:r>
      <w:r>
        <w:rPr>
          <w:rFonts w:hint="eastAsia" w:ascii="仿宋_GB2312" w:hAnsi="仿宋" w:eastAsia="仿宋_GB2312" w:cs="仿宋"/>
          <w:sz w:val="32"/>
          <w:szCs w:val="32"/>
        </w:rPr>
        <w:t>的正确领导下，深入学习贯彻习近平新时代中国特色社会主义思想、党的十九大和十九届历次全会精神、省第十次党代会和市第十一次党代会精神，用习近平法治思想武装头脑，认真领会《中共中央关于党的百年奋斗重大成就和历史经验的决议》，坚决贯彻《中共中央关于加强新时代检察机关法律监督工作的意见》，坚持讲政治、顾大局、谋发展、重自强，按照“日常工作项目化、项目工作品牌化、品牌工作亮点化”工作思路，注重系统观念、法治思维、强基导向，全面履行检察职责，综合运用监督手段，主动作为，能动司法，为加快建设现代化、提供了有力司法保障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聘用制书记员经费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90</w:t>
      </w:r>
      <w:r>
        <w:rPr>
          <w:rFonts w:hint="eastAsia" w:ascii="仿宋_GB2312" w:hAnsi="仿宋" w:eastAsia="仿宋_GB2312" w:cs="仿宋"/>
          <w:sz w:val="32"/>
          <w:szCs w:val="32"/>
        </w:rPr>
        <w:t>分。全年预算数为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56.48</w:t>
      </w:r>
      <w:r>
        <w:rPr>
          <w:rFonts w:hint="eastAsia" w:ascii="仿宋_GB2312" w:hAnsi="仿宋" w:eastAsia="仿宋_GB2312" w:cs="仿宋"/>
          <w:sz w:val="32"/>
          <w:szCs w:val="32"/>
        </w:rPr>
        <w:t>万元，执行数为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54.71</w:t>
      </w:r>
      <w:r>
        <w:rPr>
          <w:rFonts w:hint="eastAsia" w:ascii="仿宋_GB2312" w:hAnsi="仿宋" w:eastAsia="仿宋_GB2312" w:cs="仿宋"/>
          <w:sz w:val="32"/>
          <w:szCs w:val="32"/>
        </w:rPr>
        <w:t>万元，项目绩效完成情况：优秀。发现的主要问题：无。下一步改进措施：优化项目支付进度。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2023年大要案准备金补助经费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85</w:t>
      </w:r>
      <w:r>
        <w:rPr>
          <w:rFonts w:hint="eastAsia" w:ascii="仿宋_GB2312" w:hAnsi="仿宋" w:eastAsia="仿宋_GB2312" w:cs="仿宋"/>
          <w:sz w:val="32"/>
          <w:szCs w:val="32"/>
        </w:rPr>
        <w:t>分。全年预算数为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sz w:val="32"/>
          <w:szCs w:val="32"/>
        </w:rPr>
        <w:t>万元，执行数为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0.91</w:t>
      </w:r>
      <w:r>
        <w:rPr>
          <w:rFonts w:hint="eastAsia" w:ascii="仿宋_GB2312" w:hAnsi="仿宋" w:eastAsia="仿宋_GB2312" w:cs="仿宋"/>
          <w:sz w:val="32"/>
          <w:szCs w:val="32"/>
        </w:rPr>
        <w:t>万元，项目绩效完成情况：优秀。发现的主要问题：无。下一步改进措施：优化项目支付进度。</w:t>
      </w:r>
    </w:p>
    <w:p>
      <w:pPr>
        <w:numPr>
          <w:numId w:val="0"/>
        </w:numPr>
        <w:spacing w:line="560" w:lineRule="exact"/>
        <w:rPr>
          <w:rFonts w:hint="eastAsia" w:ascii="仿宋_GB2312" w:hAnsi="仿宋" w:eastAsia="仿宋_GB2312" w:cs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3、业务装备费 石财行【2022】31号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</w:t>
      </w:r>
      <w:r>
        <w:rPr>
          <w:rFonts w:hint="eastAsia" w:ascii="仿宋" w:hAnsi="仿宋" w:eastAsia="仿宋"/>
          <w:sz w:val="32"/>
          <w:szCs w:val="32"/>
        </w:rPr>
        <w:t>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4、办案业务费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石财行【2022】31号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</w:t>
      </w:r>
      <w:r>
        <w:rPr>
          <w:rFonts w:hint="eastAsia" w:ascii="仿宋" w:hAnsi="仿宋" w:eastAsia="仿宋"/>
          <w:sz w:val="32"/>
          <w:szCs w:val="32"/>
        </w:rPr>
        <w:t>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5、业务装备费 石财行【2022】30号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</w:t>
      </w:r>
      <w:r>
        <w:rPr>
          <w:rFonts w:hint="eastAsia" w:ascii="仿宋" w:hAnsi="仿宋" w:eastAsia="仿宋"/>
          <w:sz w:val="32"/>
          <w:szCs w:val="32"/>
        </w:rPr>
        <w:t>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6、办案业务费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石财行【2022】30号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</w:t>
      </w:r>
      <w:r>
        <w:rPr>
          <w:rFonts w:hint="eastAsia" w:ascii="仿宋" w:hAnsi="仿宋" w:eastAsia="仿宋"/>
          <w:sz w:val="32"/>
          <w:szCs w:val="32"/>
        </w:rPr>
        <w:t>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7、政法机关2023年中央政法纪检监察转移支付资金（业务装备费）支出自评综述：该项目涉密。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8、政法机关2023年中央政法纪检监察转移支付资金（办案业务费）支出自评综述：该项目涉密。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9、2023年政法转移支付司法救助资金支出自评综述：该项目涉密。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10、2023年政法转移支付扫黑除恶资金支出自评综述：该项目涉密。</w:t>
      </w:r>
    </w:p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sz w:val="32"/>
          <w:szCs w:val="32"/>
        </w:rPr>
        <w:t>年我院积极履职，通过加强预算收支管理，不断梳理内部管理流程，建立健全内部管理制度，部门整体支出管理水平得到提升。经自评，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10</w:t>
      </w:r>
      <w:r>
        <w:rPr>
          <w:rFonts w:hint="eastAsia" w:ascii="仿宋_GB2312" w:hAnsi="仿宋" w:eastAsia="仿宋_GB2312" w:cs="仿宋"/>
          <w:sz w:val="32"/>
          <w:szCs w:val="32"/>
        </w:rPr>
        <w:t>个项目自评得分均在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85</w:t>
      </w:r>
      <w:r>
        <w:rPr>
          <w:rFonts w:hint="eastAsia" w:ascii="仿宋_GB2312" w:hAnsi="仿宋" w:eastAsia="仿宋_GB2312" w:cs="仿宋"/>
          <w:sz w:val="32"/>
          <w:szCs w:val="32"/>
        </w:rPr>
        <w:t>分以上，202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sz w:val="32"/>
          <w:szCs w:val="32"/>
        </w:rPr>
        <w:t>年我院较好的完成了年度工作目标，综合评价等级为“优秀”。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从自评情况看，有关项目总体立项规范，绩效目标明确，预算编制较为合理，预算执行及时，有效，资金及时到位，各项管理制度健全并且能有效执行，绩效目标得到较好实现，部门履职水平不断提高，但也存在部分项目产出指标低于预期、项目实施进展慢等问题。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numPr>
          <w:numId w:val="0"/>
        </w:numPr>
        <w:spacing w:line="560" w:lineRule="exac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 w:cs="仿宋"/>
          <w:sz w:val="32"/>
          <w:szCs w:val="32"/>
        </w:rPr>
        <w:t>充分挖掘项目实施的价值和意义，根据项目实际情况设置完善的绩效目标，做到绩效目标针对项目特点清晰明确且细化，有量化的绩效指标且能清晰反映绩效可实现程度，绩效目标依据充分。做好绩效监控管理工作，建立监控制度，确保绩效目标如期实现。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</w:p>
    <w:p>
      <w:pPr>
        <w:numPr>
          <w:ilvl w:val="0"/>
          <w:numId w:val="5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评价工作组人员名单及签字（姓名、工作单位、职务、职称）</w:t>
      </w:r>
    </w:p>
    <w:p>
      <w:pPr>
        <w:numPr>
          <w:numId w:val="0"/>
        </w:numPr>
        <w:adjustRightInd w:val="0"/>
        <w:snapToGrid w:val="0"/>
        <w:spacing w:line="560" w:lineRule="exac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何燕锋</w:t>
      </w:r>
      <w:r>
        <w:rPr>
          <w:rFonts w:hint="eastAsia" w:ascii="仿宋_GB2312" w:hAnsi="仿宋" w:eastAsia="仿宋_GB2312" w:cs="仿宋"/>
          <w:sz w:val="32"/>
          <w:szCs w:val="32"/>
        </w:rPr>
        <w:t xml:space="preserve"> 检务保障部 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主管领导</w:t>
      </w:r>
    </w:p>
    <w:p>
      <w:pPr>
        <w:numPr>
          <w:numId w:val="0"/>
        </w:numPr>
        <w:adjustRightInd w:val="0"/>
        <w:snapToGrid w:val="0"/>
        <w:spacing w:line="560" w:lineRule="exac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闫丽宁</w:t>
      </w:r>
      <w:r>
        <w:rPr>
          <w:rFonts w:hint="eastAsia" w:ascii="仿宋_GB2312" w:hAnsi="仿宋" w:eastAsia="仿宋_GB2312" w:cs="仿宋"/>
          <w:sz w:val="32"/>
          <w:szCs w:val="32"/>
        </w:rPr>
        <w:t xml:space="preserve"> 检务保障部 主任</w:t>
      </w: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刁晗</w:t>
      </w:r>
      <w:r>
        <w:rPr>
          <w:rFonts w:hint="eastAsia" w:ascii="仿宋_GB2312" w:hAnsi="仿宋" w:eastAsia="仿宋_GB2312" w:cs="仿宋"/>
          <w:sz w:val="32"/>
          <w:szCs w:val="32"/>
        </w:rPr>
        <w:t xml:space="preserve"> 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财务人员</w:t>
      </w:r>
    </w:p>
    <w:p>
      <w:pPr>
        <w:spacing w:line="560" w:lineRule="exact"/>
        <w:rPr>
          <w:rFonts w:ascii="仿宋" w:hAnsi="仿宋" w:eastAsia="仿宋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刘运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财务人员</w:t>
      </w:r>
    </w:p>
    <w:sectPr>
      <w:footerReference r:id="rId4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方正仿宋_GBK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w:pict>
        <v:shape id="Quad Arrow 3073" o:spid="_x0000_s1025" type="#_x0000_t202" style="position:absolute;left:0;margin-top:0pt;height:144pt;width:144pt;mso-position-horizontal:center;mso-position-horizontal-relative:margin;mso-wrap-style:none;rotation:0f;z-index:251658240;" o:ole="f" fillcolor="#FFFFFF" filled="f" o:preferrelative="t" stroked="f" coordorigin="0,0" coordsize="21600,21600">
          <v:fill on="f" color2="#FFFFFF" focus="0%"/>
          <v:imagedata gain="65536f" blacklevel="0f" gamma="0"/>
          <o:lock v:ext="edit" position="f" selection="f" grouping="f" rotation="f" cropping="f" text="f" aspectratio="f"/>
          <v:textbox inset="0.00pt,0.00pt,0.00pt,0.00pt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713492937">
    <w:nsid w:val="6621D3C9"/>
    <w:multiLevelType w:val="singleLevel"/>
    <w:tmpl w:val="6621D3C9"/>
    <w:lvl w:ilvl="0" w:tentative="1">
      <w:start w:val="6"/>
      <w:numFmt w:val="chineseCounting"/>
      <w:suff w:val="nothing"/>
      <w:lvlText w:val="%1、"/>
      <w:lvlJc w:val="left"/>
    </w:lvl>
  </w:abstractNum>
  <w:abstractNum w:abstractNumId="1713492731">
    <w:nsid w:val="6621D2FB"/>
    <w:multiLevelType w:val="singleLevel"/>
    <w:tmpl w:val="6621D2FB"/>
    <w:lvl w:ilvl="0" w:tentative="1">
      <w:start w:val="2"/>
      <w:numFmt w:val="chineseCounting"/>
      <w:suff w:val="nothing"/>
      <w:lvlText w:val="（%1）"/>
      <w:lvlJc w:val="left"/>
    </w:lvl>
  </w:abstractNum>
  <w:abstractNum w:abstractNumId="1713492087">
    <w:nsid w:val="6621D077"/>
    <w:multiLevelType w:val="singleLevel"/>
    <w:tmpl w:val="6621D077"/>
    <w:lvl w:ilvl="0" w:tentative="1">
      <w:start w:val="1"/>
      <w:numFmt w:val="decimal"/>
      <w:suff w:val="nothing"/>
      <w:lvlText w:val="%1、"/>
      <w:lvlJc w:val="left"/>
    </w:lvl>
  </w:abstractNum>
  <w:abstractNum w:abstractNumId="1713343598">
    <w:nsid w:val="661F8C6E"/>
    <w:multiLevelType w:val="singleLevel"/>
    <w:tmpl w:val="661F8C6E"/>
    <w:lvl w:ilvl="0" w:tentative="1">
      <w:start w:val="1"/>
      <w:numFmt w:val="chineseCounting"/>
      <w:suff w:val="nothing"/>
      <w:lvlText w:val="（%1）"/>
      <w:lvlJc w:val="left"/>
    </w:lvl>
  </w:abstractNum>
  <w:abstractNum w:abstractNumId="1583892635">
    <w:nsid w:val="5E68489B"/>
    <w:multiLevelType w:val="singleLevel"/>
    <w:tmpl w:val="5E68489B"/>
    <w:lvl w:ilvl="0" w:tentative="1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713343598"/>
  </w:num>
  <w:num w:numId="2">
    <w:abstractNumId w:val="1583892635"/>
  </w:num>
  <w:num w:numId="3">
    <w:abstractNumId w:val="1713492087"/>
  </w:num>
  <w:num w:numId="4">
    <w:abstractNumId w:val="1713492731"/>
  </w:num>
  <w:num w:numId="5">
    <w:abstractNumId w:val="17134929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splitPgBreakAndParaMark/>
    <w:doNotExpandShiftReturn/>
    <w:adjustLineHeightInTable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39C537B"/>
    <w:rsid w:val="046F331E"/>
    <w:rsid w:val="07956271"/>
    <w:rsid w:val="09721397"/>
    <w:rsid w:val="0BB63BED"/>
    <w:rsid w:val="0EB97A43"/>
    <w:rsid w:val="0EBD2122"/>
    <w:rsid w:val="0F214EAE"/>
    <w:rsid w:val="10663775"/>
    <w:rsid w:val="11B71E6A"/>
    <w:rsid w:val="126357B9"/>
    <w:rsid w:val="1AAF0063"/>
    <w:rsid w:val="1BE140DE"/>
    <w:rsid w:val="1BF146E6"/>
    <w:rsid w:val="1C97776E"/>
    <w:rsid w:val="1E256C04"/>
    <w:rsid w:val="225678E3"/>
    <w:rsid w:val="22A379E2"/>
    <w:rsid w:val="22B91B86"/>
    <w:rsid w:val="243D7784"/>
    <w:rsid w:val="248C197D"/>
    <w:rsid w:val="252959AF"/>
    <w:rsid w:val="273803E6"/>
    <w:rsid w:val="277A6671"/>
    <w:rsid w:val="292D35B7"/>
    <w:rsid w:val="29765412"/>
    <w:rsid w:val="31FC5191"/>
    <w:rsid w:val="33EB6CFF"/>
    <w:rsid w:val="343A43BC"/>
    <w:rsid w:val="35347E57"/>
    <w:rsid w:val="35A12947"/>
    <w:rsid w:val="37387040"/>
    <w:rsid w:val="39FD5831"/>
    <w:rsid w:val="3AA472C4"/>
    <w:rsid w:val="3B625C0A"/>
    <w:rsid w:val="3B6B6103"/>
    <w:rsid w:val="3CEE1963"/>
    <w:rsid w:val="3CF37E0D"/>
    <w:rsid w:val="3F551B76"/>
    <w:rsid w:val="403C65F0"/>
    <w:rsid w:val="436B78D3"/>
    <w:rsid w:val="46E025D7"/>
    <w:rsid w:val="47043A90"/>
    <w:rsid w:val="483B158F"/>
    <w:rsid w:val="4C9C27FE"/>
    <w:rsid w:val="4E214D85"/>
    <w:rsid w:val="512260B4"/>
    <w:rsid w:val="52AE1A33"/>
    <w:rsid w:val="52BD6ACB"/>
    <w:rsid w:val="55537534"/>
    <w:rsid w:val="561A74F1"/>
    <w:rsid w:val="573F72B3"/>
    <w:rsid w:val="597244E8"/>
    <w:rsid w:val="5CE42072"/>
    <w:rsid w:val="5D273DE0"/>
    <w:rsid w:val="5D6021CD"/>
    <w:rsid w:val="5EB71C30"/>
    <w:rsid w:val="62D83CB7"/>
    <w:rsid w:val="64091E2A"/>
    <w:rsid w:val="66AF0CE5"/>
    <w:rsid w:val="6AC537CF"/>
    <w:rsid w:val="6E5B14A6"/>
    <w:rsid w:val="711B255E"/>
    <w:rsid w:val="71496F6A"/>
    <w:rsid w:val="71AC120D"/>
    <w:rsid w:val="770167CB"/>
    <w:rsid w:val="7811440A"/>
    <w:rsid w:val="79802062"/>
    <w:rsid w:val="7BB51E06"/>
    <w:rsid w:val="7C387F7C"/>
    <w:rsid w:val="7FE83423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职责分类绩效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7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ScaleCrop>false</ScaleCrop>
  <LinksUpToDate>false</LinksUpToDate>
  <CharactersWithSpaces>0</CharactersWithSpaces>
  <Application>WPS Office 个人版_9.1.0.4954_{F1E327BC-269C-435d-A152-05C5408002CA}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2024-04-19T07:31:20Z</cp:lastPrinted>
  <dcterms:modified xsi:type="dcterms:W3CDTF">2024-04-19T07:32:19Z</dcterms:modified>
  <dc:title>附件3：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2052-9.1.0.4954</vt:lpwstr>
  </property>
  <property fmtid="{D5CDD505-2E9C-101B-9397-08002B2CF9AE}" pid="3" name="ICV">
    <vt:lpwstr>96934721B1514D3FBAA28020338CE855_12</vt:lpwstr>
  </property>
</Properties>
</file>