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rFonts w:ascii="宋体" w:hAnsi="宋体"/>
        </w:rPr>
      </w:pPr>
    </w:p>
    <w:p>
      <w:pPr>
        <w:adjustRightInd w:val="0"/>
        <w:snapToGrid w:val="0"/>
        <w:spacing w:line="360" w:lineRule="auto"/>
        <w:jc w:val="center"/>
        <w:rPr>
          <w:rFonts w:ascii="宋体" w:hAnsi="宋体"/>
        </w:rPr>
      </w:pPr>
    </w:p>
    <w:p>
      <w:pPr>
        <w:adjustRightInd w:val="0"/>
        <w:snapToGrid w:val="0"/>
        <w:spacing w:line="360" w:lineRule="auto"/>
        <w:jc w:val="center"/>
        <w:rPr>
          <w:rFonts w:ascii="宋体" w:hAnsi="宋体"/>
        </w:rPr>
      </w:pPr>
    </w:p>
    <w:p>
      <w:pPr>
        <w:adjustRightInd w:val="0"/>
        <w:snapToGrid w:val="0"/>
        <w:spacing w:line="360" w:lineRule="auto"/>
        <w:jc w:val="center"/>
        <w:rPr>
          <w:rFonts w:ascii="宋体" w:hAnsi="宋体"/>
        </w:rPr>
      </w:pPr>
    </w:p>
    <w:p>
      <w:pPr>
        <w:adjustRightInd w:val="0"/>
        <w:snapToGrid w:val="0"/>
        <w:spacing w:line="360" w:lineRule="auto"/>
        <w:jc w:val="center"/>
        <w:rPr>
          <w:rFonts w:ascii="黑体" w:hAnsi="黑体" w:eastAsia="黑体" w:cs="黑体"/>
          <w:b/>
          <w:bCs/>
          <w:sz w:val="48"/>
          <w:szCs w:val="48"/>
        </w:rPr>
      </w:pPr>
      <w:r>
        <w:rPr>
          <w:rFonts w:hint="eastAsia" w:ascii="黑体" w:hAnsi="黑体" w:eastAsia="黑体" w:cs="黑体"/>
          <w:b/>
          <w:bCs/>
          <w:sz w:val="48"/>
          <w:szCs w:val="48"/>
        </w:rPr>
        <w:t>2022年度市城管局政府债券资金支出项目</w:t>
      </w:r>
    </w:p>
    <w:p>
      <w:pPr>
        <w:adjustRightInd w:val="0"/>
        <w:snapToGrid w:val="0"/>
        <w:spacing w:line="360" w:lineRule="auto"/>
        <w:jc w:val="center"/>
        <w:rPr>
          <w:rFonts w:ascii="黑体" w:hAnsi="黑体" w:eastAsia="黑体" w:cs="黑体"/>
          <w:b/>
          <w:sz w:val="44"/>
          <w:szCs w:val="44"/>
        </w:rPr>
      </w:pPr>
      <w:r>
        <w:rPr>
          <w:rFonts w:hint="eastAsia" w:ascii="黑体" w:hAnsi="黑体" w:eastAsia="黑体" w:cs="黑体"/>
          <w:b/>
          <w:sz w:val="48"/>
          <w:szCs w:val="48"/>
        </w:rPr>
        <w:t>财政监督与绩效评价报告</w:t>
      </w:r>
    </w:p>
    <w:p>
      <w:pPr>
        <w:pStyle w:val="22"/>
        <w:ind w:firstLine="2409" w:firstLineChars="500"/>
        <w:rPr>
          <w:rFonts w:ascii="楷体" w:hAnsi="楷体" w:eastAsia="楷体" w:cs="楷体"/>
          <w:b/>
          <w:bCs/>
          <w:sz w:val="48"/>
          <w:szCs w:val="48"/>
        </w:rPr>
      </w:pPr>
    </w:p>
    <w:p>
      <w:pPr>
        <w:jc w:val="center"/>
        <w:rPr>
          <w:rFonts w:ascii="宋体" w:hAnsi="宋体"/>
        </w:rPr>
      </w:pPr>
    </w:p>
    <w:p/>
    <w:p/>
    <w:p/>
    <w:p/>
    <w:p/>
    <w:p/>
    <w:p/>
    <w:p/>
    <w:p/>
    <w:p/>
    <w:p/>
    <w:p/>
    <w:p/>
    <w:p>
      <w:pPr>
        <w:pStyle w:val="2"/>
        <w:ind w:firstLine="420"/>
      </w:pPr>
    </w:p>
    <w:p/>
    <w:p/>
    <w:p/>
    <w:p/>
    <w:p>
      <w:pPr>
        <w:tabs>
          <w:tab w:val="left" w:pos="3536"/>
        </w:tabs>
        <w:jc w:val="center"/>
        <w:rPr>
          <w:rFonts w:ascii="仿宋" w:hAnsi="仿宋" w:eastAsia="仿宋" w:cs="仿宋"/>
          <w:b/>
          <w:bCs/>
          <w:sz w:val="32"/>
          <w:szCs w:val="32"/>
        </w:rPr>
      </w:pPr>
      <w:r>
        <w:rPr>
          <w:rFonts w:hint="eastAsia" w:ascii="仿宋" w:hAnsi="仿宋" w:eastAsia="仿宋" w:cs="仿宋"/>
          <w:b/>
          <w:bCs/>
          <w:sz w:val="32"/>
          <w:szCs w:val="32"/>
        </w:rPr>
        <w:t xml:space="preserve"> 石家庄市财政局</w:t>
      </w:r>
    </w:p>
    <w:p>
      <w:pPr>
        <w:pStyle w:val="22"/>
        <w:ind w:firstLine="0" w:firstLineChars="0"/>
        <w:rPr>
          <w:rFonts w:ascii="仿宋" w:hAnsi="仿宋" w:eastAsia="仿宋" w:cs="仿宋"/>
          <w:b/>
          <w:bCs/>
          <w:sz w:val="32"/>
          <w:szCs w:val="32"/>
        </w:rPr>
      </w:pPr>
    </w:p>
    <w:p>
      <w:pPr>
        <w:pStyle w:val="22"/>
        <w:ind w:firstLine="0" w:firstLineChars="0"/>
        <w:rPr>
          <w:rFonts w:ascii="仿宋" w:hAnsi="仿宋" w:eastAsia="仿宋" w:cs="仿宋"/>
          <w:b/>
          <w:bCs/>
          <w:sz w:val="32"/>
          <w:szCs w:val="32"/>
        </w:rPr>
      </w:pPr>
    </w:p>
    <w:p>
      <w:pPr>
        <w:pStyle w:val="22"/>
        <w:ind w:firstLine="0" w:firstLineChars="0"/>
        <w:sectPr>
          <w:pgSz w:w="11906" w:h="16838"/>
          <w:pgMar w:top="2098" w:right="1531" w:bottom="1984" w:left="1531" w:header="851" w:footer="1417" w:gutter="0"/>
          <w:cols w:space="0" w:num="1"/>
          <w:docGrid w:type="lines" w:linePitch="312" w:charSpace="0"/>
        </w:sectPr>
      </w:pPr>
    </w:p>
    <w:p>
      <w:pPr>
        <w:pStyle w:val="11"/>
        <w:tabs>
          <w:tab w:val="right" w:leader="dot" w:pos="8844"/>
        </w:tabs>
        <w:adjustRightInd w:val="0"/>
        <w:snapToGrid w:val="0"/>
        <w:spacing w:line="360" w:lineRule="auto"/>
        <w:ind w:left="0" w:leftChars="0"/>
        <w:jc w:val="center"/>
        <w:rPr>
          <w:rFonts w:ascii="宋体" w:hAnsi="宋体" w:cs="宋体"/>
          <w:b/>
          <w:bCs/>
          <w:sz w:val="36"/>
          <w:szCs w:val="36"/>
        </w:rPr>
      </w:pPr>
      <w:bookmarkStart w:id="0" w:name="_Toc13974"/>
      <w:r>
        <w:rPr>
          <w:rFonts w:hint="eastAsia" w:ascii="宋体" w:hAnsi="宋体" w:cs="宋体"/>
          <w:b/>
          <w:bCs/>
          <w:sz w:val="36"/>
          <w:szCs w:val="36"/>
        </w:rPr>
        <w:t>目    录</w:t>
      </w:r>
      <w:bookmarkEnd w:id="0"/>
    </w:p>
    <w:p>
      <w:pPr>
        <w:pStyle w:val="10"/>
        <w:tabs>
          <w:tab w:val="right" w:leader="dot" w:pos="8844"/>
        </w:tabs>
      </w:pPr>
    </w:p>
    <w:p>
      <w:pPr>
        <w:pStyle w:val="11"/>
        <w:tabs>
          <w:tab w:val="right" w:leader="dot" w:pos="8844"/>
        </w:tabs>
        <w:spacing w:line="360" w:lineRule="auto"/>
        <w:ind w:left="0" w:leftChars="0"/>
        <w:rPr>
          <w:rFonts w:ascii="宋体" w:hAnsi="宋体" w:cs="宋体"/>
          <w:sz w:val="32"/>
          <w:szCs w:val="32"/>
        </w:rPr>
      </w:pPr>
      <w:r>
        <w:rPr>
          <w:rFonts w:hint="eastAsia" w:ascii="宋体" w:hAnsi="宋体" w:cs="宋体"/>
          <w:sz w:val="32"/>
          <w:szCs w:val="32"/>
        </w:rPr>
        <w:fldChar w:fldCharType="begin"/>
      </w:r>
      <w:r>
        <w:rPr>
          <w:rFonts w:hint="eastAsia" w:ascii="宋体" w:hAnsi="宋体" w:cs="宋体"/>
          <w:sz w:val="32"/>
          <w:szCs w:val="32"/>
        </w:rPr>
        <w:instrText xml:space="preserve">TOC \o "1-2" \h \u </w:instrText>
      </w:r>
      <w:r>
        <w:rPr>
          <w:rFonts w:hint="eastAsia" w:ascii="宋体" w:hAnsi="宋体" w:cs="宋体"/>
          <w:sz w:val="32"/>
          <w:szCs w:val="32"/>
        </w:rPr>
        <w:fldChar w:fldCharType="separate"/>
      </w:r>
      <w:r>
        <w:fldChar w:fldCharType="begin"/>
      </w:r>
      <w:r>
        <w:instrText xml:space="preserve"> HYPERLINK \l "_Toc22080" </w:instrText>
      </w:r>
      <w:r>
        <w:fldChar w:fldCharType="separate"/>
      </w:r>
      <w:r>
        <w:rPr>
          <w:rFonts w:hint="eastAsia" w:ascii="宋体" w:hAnsi="宋体" w:cs="宋体"/>
          <w:b/>
          <w:bCs/>
          <w:sz w:val="32"/>
          <w:szCs w:val="32"/>
        </w:rPr>
        <w:t>一、基本情况</w:t>
      </w:r>
      <w:r>
        <w:rPr>
          <w:rFonts w:hint="eastAsia" w:ascii="宋体" w:hAnsi="宋体" w:cs="宋体"/>
          <w:b/>
          <w:bCs/>
          <w:sz w:val="32"/>
          <w:szCs w:val="32"/>
        </w:rPr>
        <w:tab/>
      </w:r>
      <w:r>
        <w:rPr>
          <w:rFonts w:hint="eastAsia" w:ascii="宋体" w:hAnsi="宋体" w:cs="宋体"/>
          <w:b/>
          <w:bCs/>
          <w:sz w:val="32"/>
          <w:szCs w:val="32"/>
        </w:rPr>
        <w:t>1</w:t>
      </w:r>
      <w:r>
        <w:rPr>
          <w:rFonts w:hint="eastAsia" w:ascii="宋体" w:hAnsi="宋体" w:cs="宋体"/>
          <w:b/>
          <w:bCs/>
          <w:sz w:val="32"/>
          <w:szCs w:val="32"/>
        </w:rPr>
        <w:fldChar w:fldCharType="end"/>
      </w:r>
    </w:p>
    <w:p>
      <w:pPr>
        <w:pStyle w:val="11"/>
        <w:tabs>
          <w:tab w:val="right" w:leader="dot" w:pos="8844"/>
        </w:tabs>
        <w:spacing w:line="360" w:lineRule="auto"/>
        <w:ind w:left="0" w:leftChars="0"/>
        <w:rPr>
          <w:rFonts w:ascii="宋体" w:hAnsi="宋体" w:cs="宋体"/>
          <w:b/>
          <w:bCs/>
          <w:sz w:val="32"/>
          <w:szCs w:val="32"/>
        </w:rPr>
      </w:pPr>
      <w:r>
        <w:fldChar w:fldCharType="begin"/>
      </w:r>
      <w:r>
        <w:instrText xml:space="preserve"> HYPERLINK \l "_Toc9280" </w:instrText>
      </w:r>
      <w:r>
        <w:fldChar w:fldCharType="separate"/>
      </w:r>
      <w:r>
        <w:rPr>
          <w:rFonts w:hint="eastAsia" w:ascii="宋体" w:hAnsi="宋体" w:cs="宋体"/>
          <w:b/>
          <w:bCs/>
          <w:sz w:val="32"/>
          <w:szCs w:val="32"/>
        </w:rPr>
        <w:t>二、绩效评价工作开展情况</w:t>
      </w:r>
      <w:r>
        <w:rPr>
          <w:rFonts w:hint="eastAsia" w:ascii="宋体" w:hAnsi="宋体" w:cs="宋体"/>
          <w:b/>
          <w:bCs/>
          <w:sz w:val="32"/>
          <w:szCs w:val="32"/>
        </w:rPr>
        <w:tab/>
      </w:r>
      <w:r>
        <w:rPr>
          <w:rFonts w:hint="eastAsia" w:ascii="宋体" w:hAnsi="宋体" w:cs="宋体"/>
          <w:b/>
          <w:bCs/>
          <w:sz w:val="32"/>
          <w:szCs w:val="32"/>
        </w:rPr>
        <w:t>2</w:t>
      </w:r>
      <w:r>
        <w:rPr>
          <w:rFonts w:hint="eastAsia" w:ascii="宋体" w:hAnsi="宋体" w:cs="宋体"/>
          <w:b/>
          <w:bCs/>
          <w:sz w:val="32"/>
          <w:szCs w:val="32"/>
        </w:rPr>
        <w:fldChar w:fldCharType="end"/>
      </w:r>
    </w:p>
    <w:p>
      <w:pPr>
        <w:pStyle w:val="11"/>
        <w:tabs>
          <w:tab w:val="right" w:leader="dot" w:pos="8844"/>
        </w:tabs>
        <w:spacing w:line="360" w:lineRule="auto"/>
        <w:ind w:left="0" w:leftChars="0"/>
        <w:rPr>
          <w:rFonts w:ascii="宋体" w:hAnsi="宋体" w:cs="宋体"/>
          <w:b/>
          <w:bCs/>
          <w:sz w:val="32"/>
          <w:szCs w:val="32"/>
        </w:rPr>
      </w:pPr>
      <w:r>
        <w:fldChar w:fldCharType="begin"/>
      </w:r>
      <w:r>
        <w:instrText xml:space="preserve"> HYPERLINK \l "_Toc7056" </w:instrText>
      </w:r>
      <w:r>
        <w:fldChar w:fldCharType="separate"/>
      </w:r>
      <w:r>
        <w:rPr>
          <w:rFonts w:hint="eastAsia" w:ascii="宋体" w:hAnsi="宋体" w:cs="宋体"/>
          <w:b/>
          <w:bCs/>
          <w:sz w:val="32"/>
          <w:szCs w:val="32"/>
        </w:rPr>
        <w:t>三、绩效评价指标分析和评分办法</w:t>
      </w:r>
      <w:r>
        <w:rPr>
          <w:rFonts w:hint="eastAsia" w:ascii="宋体" w:hAnsi="宋体" w:cs="宋体"/>
          <w:b/>
          <w:bCs/>
          <w:sz w:val="32"/>
          <w:szCs w:val="32"/>
        </w:rPr>
        <w:tab/>
      </w:r>
      <w:r>
        <w:rPr>
          <w:rFonts w:hint="eastAsia" w:ascii="宋体" w:hAnsi="宋体" w:cs="宋体"/>
          <w:b/>
          <w:bCs/>
          <w:sz w:val="32"/>
          <w:szCs w:val="32"/>
        </w:rPr>
        <w:t>3</w:t>
      </w:r>
      <w:r>
        <w:rPr>
          <w:rFonts w:hint="eastAsia" w:ascii="宋体" w:hAnsi="宋体" w:cs="宋体"/>
          <w:b/>
          <w:bCs/>
          <w:sz w:val="32"/>
          <w:szCs w:val="32"/>
        </w:rPr>
        <w:fldChar w:fldCharType="end"/>
      </w:r>
    </w:p>
    <w:p>
      <w:pPr>
        <w:pStyle w:val="11"/>
        <w:tabs>
          <w:tab w:val="right" w:leader="dot" w:pos="8844"/>
        </w:tabs>
        <w:spacing w:line="360" w:lineRule="auto"/>
        <w:ind w:left="0" w:leftChars="0"/>
        <w:rPr>
          <w:rFonts w:ascii="宋体" w:hAnsi="宋体" w:cs="宋体"/>
          <w:sz w:val="32"/>
          <w:szCs w:val="32"/>
        </w:rPr>
      </w:pPr>
      <w:r>
        <w:fldChar w:fldCharType="begin"/>
      </w:r>
      <w:r>
        <w:instrText xml:space="preserve"> HYPERLINK \l "_Toc31449" </w:instrText>
      </w:r>
      <w:r>
        <w:fldChar w:fldCharType="separate"/>
      </w:r>
      <w:r>
        <w:rPr>
          <w:rFonts w:hint="eastAsia" w:ascii="宋体" w:hAnsi="宋体" w:cs="宋体"/>
          <w:sz w:val="32"/>
          <w:szCs w:val="32"/>
        </w:rPr>
        <w:t>（一）决策情况</w:t>
      </w:r>
      <w:r>
        <w:rPr>
          <w:rFonts w:hint="eastAsia" w:ascii="宋体" w:hAnsi="宋体" w:cs="宋体"/>
          <w:sz w:val="32"/>
          <w:szCs w:val="32"/>
        </w:rPr>
        <w:tab/>
      </w:r>
      <w:r>
        <w:rPr>
          <w:rFonts w:hint="eastAsia" w:ascii="宋体" w:hAnsi="宋体" w:cs="宋体"/>
          <w:sz w:val="32"/>
          <w:szCs w:val="32"/>
        </w:rPr>
        <w:t>3</w:t>
      </w:r>
      <w:r>
        <w:rPr>
          <w:rFonts w:hint="eastAsia" w:ascii="宋体" w:hAnsi="宋体" w:cs="宋体"/>
          <w:sz w:val="32"/>
          <w:szCs w:val="32"/>
        </w:rPr>
        <w:fldChar w:fldCharType="end"/>
      </w:r>
    </w:p>
    <w:p>
      <w:pPr>
        <w:pStyle w:val="11"/>
        <w:tabs>
          <w:tab w:val="right" w:leader="dot" w:pos="8844"/>
        </w:tabs>
        <w:spacing w:line="360" w:lineRule="auto"/>
        <w:ind w:left="0" w:leftChars="0"/>
        <w:rPr>
          <w:rFonts w:ascii="宋体" w:hAnsi="宋体" w:cs="宋体"/>
          <w:sz w:val="32"/>
          <w:szCs w:val="32"/>
        </w:rPr>
      </w:pPr>
      <w:r>
        <w:fldChar w:fldCharType="begin"/>
      </w:r>
      <w:r>
        <w:instrText xml:space="preserve"> HYPERLINK \l "_Toc28853" </w:instrText>
      </w:r>
      <w:r>
        <w:fldChar w:fldCharType="separate"/>
      </w:r>
      <w:r>
        <w:rPr>
          <w:rFonts w:hint="eastAsia" w:ascii="宋体" w:hAnsi="宋体" w:cs="宋体"/>
          <w:sz w:val="32"/>
          <w:szCs w:val="32"/>
        </w:rPr>
        <w:t>（二）管理情况</w:t>
      </w:r>
      <w:r>
        <w:rPr>
          <w:rFonts w:hint="eastAsia" w:ascii="宋体" w:hAnsi="宋体" w:cs="宋体"/>
          <w:sz w:val="32"/>
          <w:szCs w:val="32"/>
        </w:rPr>
        <w:tab/>
      </w:r>
      <w:r>
        <w:rPr>
          <w:rFonts w:hint="eastAsia" w:ascii="宋体" w:hAnsi="宋体" w:cs="宋体"/>
          <w:sz w:val="32"/>
          <w:szCs w:val="32"/>
        </w:rPr>
        <w:fldChar w:fldCharType="end"/>
      </w:r>
      <w:r>
        <w:rPr>
          <w:rFonts w:hint="eastAsia" w:ascii="宋体" w:hAnsi="宋体" w:cs="宋体"/>
          <w:sz w:val="32"/>
          <w:szCs w:val="32"/>
        </w:rPr>
        <w:t>6</w:t>
      </w:r>
    </w:p>
    <w:p>
      <w:pPr>
        <w:pStyle w:val="11"/>
        <w:tabs>
          <w:tab w:val="right" w:leader="dot" w:pos="8844"/>
        </w:tabs>
        <w:spacing w:line="360" w:lineRule="auto"/>
        <w:ind w:left="0" w:leftChars="0"/>
        <w:rPr>
          <w:rFonts w:ascii="宋体" w:hAnsi="宋体" w:cs="宋体"/>
          <w:sz w:val="32"/>
          <w:szCs w:val="32"/>
        </w:rPr>
      </w:pPr>
      <w:r>
        <w:fldChar w:fldCharType="begin"/>
      </w:r>
      <w:r>
        <w:instrText xml:space="preserve"> HYPERLINK \l "_Toc7774" </w:instrText>
      </w:r>
      <w:r>
        <w:fldChar w:fldCharType="separate"/>
      </w:r>
      <w:r>
        <w:rPr>
          <w:rFonts w:hint="eastAsia" w:ascii="宋体" w:hAnsi="宋体" w:cs="宋体"/>
          <w:sz w:val="32"/>
          <w:szCs w:val="32"/>
        </w:rPr>
        <w:t>（三）产出情况</w:t>
      </w:r>
      <w:r>
        <w:rPr>
          <w:rFonts w:hint="eastAsia" w:ascii="宋体" w:hAnsi="宋体" w:cs="宋体"/>
          <w:sz w:val="32"/>
          <w:szCs w:val="32"/>
        </w:rPr>
        <w:tab/>
      </w:r>
      <w:r>
        <w:rPr>
          <w:rFonts w:hint="eastAsia" w:ascii="宋体" w:hAnsi="宋体" w:cs="宋体"/>
          <w:sz w:val="32"/>
          <w:szCs w:val="32"/>
        </w:rPr>
        <w:fldChar w:fldCharType="end"/>
      </w:r>
      <w:r>
        <w:rPr>
          <w:rFonts w:hint="eastAsia" w:ascii="宋体" w:hAnsi="宋体" w:cs="宋体"/>
          <w:sz w:val="32"/>
          <w:szCs w:val="32"/>
        </w:rPr>
        <w:t>9</w:t>
      </w:r>
    </w:p>
    <w:p>
      <w:pPr>
        <w:pStyle w:val="11"/>
        <w:tabs>
          <w:tab w:val="right" w:leader="dot" w:pos="8844"/>
        </w:tabs>
        <w:spacing w:line="360" w:lineRule="auto"/>
        <w:ind w:left="0" w:leftChars="0"/>
        <w:rPr>
          <w:rFonts w:ascii="宋体" w:hAnsi="宋体" w:cs="宋体"/>
          <w:sz w:val="32"/>
          <w:szCs w:val="32"/>
        </w:rPr>
      </w:pPr>
      <w:r>
        <w:fldChar w:fldCharType="begin"/>
      </w:r>
      <w:r>
        <w:instrText xml:space="preserve"> HYPERLINK \l "_Toc7774" </w:instrText>
      </w:r>
      <w:r>
        <w:fldChar w:fldCharType="separate"/>
      </w:r>
      <w:r>
        <w:rPr>
          <w:rFonts w:hint="eastAsia" w:ascii="宋体" w:hAnsi="宋体" w:cs="宋体"/>
          <w:sz w:val="32"/>
          <w:szCs w:val="32"/>
        </w:rPr>
        <w:t>（四）效益情况</w:t>
      </w:r>
      <w:r>
        <w:rPr>
          <w:rFonts w:hint="eastAsia" w:ascii="宋体" w:hAnsi="宋体" w:cs="宋体"/>
          <w:sz w:val="32"/>
          <w:szCs w:val="32"/>
        </w:rPr>
        <w:tab/>
      </w:r>
      <w:r>
        <w:rPr>
          <w:rFonts w:hint="eastAsia" w:ascii="宋体" w:hAnsi="宋体" w:cs="宋体"/>
          <w:sz w:val="32"/>
          <w:szCs w:val="32"/>
        </w:rPr>
        <w:t>.</w:t>
      </w:r>
      <w:r>
        <w:rPr>
          <w:rFonts w:hint="eastAsia" w:ascii="宋体" w:hAnsi="宋体" w:cs="宋体"/>
          <w:sz w:val="32"/>
          <w:szCs w:val="32"/>
        </w:rPr>
        <w:fldChar w:fldCharType="end"/>
      </w:r>
      <w:r>
        <w:rPr>
          <w:rFonts w:hint="eastAsia" w:ascii="宋体" w:hAnsi="宋体" w:cs="宋体"/>
          <w:sz w:val="32"/>
          <w:szCs w:val="32"/>
        </w:rPr>
        <w:t>10</w:t>
      </w:r>
    </w:p>
    <w:p>
      <w:pPr>
        <w:pStyle w:val="11"/>
        <w:tabs>
          <w:tab w:val="right" w:leader="dot" w:pos="8844"/>
        </w:tabs>
        <w:spacing w:line="360" w:lineRule="auto"/>
        <w:ind w:left="0" w:leftChars="0"/>
        <w:rPr>
          <w:rFonts w:ascii="宋体" w:hAnsi="宋体" w:cs="宋体"/>
          <w:b/>
          <w:bCs/>
          <w:sz w:val="32"/>
          <w:szCs w:val="32"/>
        </w:rPr>
      </w:pPr>
      <w:r>
        <w:rPr>
          <w:rFonts w:hint="eastAsia" w:ascii="宋体" w:hAnsi="宋体" w:cs="宋体"/>
          <w:b/>
          <w:bCs/>
          <w:sz w:val="32"/>
          <w:szCs w:val="32"/>
        </w:rPr>
        <w:t>四、总体评价情况及评价结论...........................13五、相关建议.........................14</w:t>
      </w:r>
    </w:p>
    <w:p>
      <w:pPr>
        <w:sectPr>
          <w:footerReference r:id="rId3" w:type="default"/>
          <w:pgSz w:w="11906" w:h="16838"/>
          <w:pgMar w:top="2098" w:right="1474" w:bottom="1701" w:left="1587" w:header="851" w:footer="992" w:gutter="0"/>
          <w:pgNumType w:start="1"/>
          <w:cols w:space="0" w:num="1"/>
          <w:docGrid w:type="lines" w:linePitch="312" w:charSpace="0"/>
        </w:sectPr>
      </w:pPr>
    </w:p>
    <w:p>
      <w:pPr>
        <w:pStyle w:val="11"/>
        <w:tabs>
          <w:tab w:val="right" w:leader="dot" w:pos="8844"/>
        </w:tabs>
        <w:spacing w:line="360" w:lineRule="auto"/>
        <w:ind w:left="0" w:leftChars="0"/>
        <w:jc w:val="center"/>
        <w:rPr>
          <w:rFonts w:ascii="宋体" w:hAnsi="宋体" w:cs="Arial"/>
          <w:b/>
          <w:bCs/>
          <w:sz w:val="44"/>
          <w:szCs w:val="44"/>
        </w:rPr>
      </w:pPr>
      <w:r>
        <w:rPr>
          <w:rFonts w:hint="eastAsia" w:ascii="宋体" w:hAnsi="宋体" w:cs="宋体"/>
          <w:sz w:val="32"/>
          <w:szCs w:val="32"/>
        </w:rPr>
        <w:fldChar w:fldCharType="end"/>
      </w:r>
      <w:bookmarkStart w:id="1" w:name="_Toc23967"/>
      <w:bookmarkEnd w:id="1"/>
      <w:bookmarkStart w:id="2" w:name="_Toc11952"/>
      <w:bookmarkEnd w:id="2"/>
      <w:r>
        <w:rPr>
          <w:rFonts w:hint="eastAsia" w:ascii="宋体" w:hAnsi="宋体" w:cs="Arial"/>
          <w:b/>
          <w:bCs/>
          <w:sz w:val="44"/>
          <w:szCs w:val="44"/>
        </w:rPr>
        <w:t>2022年度市城管局政府债券资金支出项目</w:t>
      </w:r>
    </w:p>
    <w:p>
      <w:pPr>
        <w:jc w:val="center"/>
        <w:rPr>
          <w:rFonts w:ascii="宋体" w:hAnsi="宋体" w:cs="Arial"/>
          <w:b/>
          <w:bCs/>
          <w:sz w:val="44"/>
          <w:szCs w:val="44"/>
        </w:rPr>
      </w:pPr>
      <w:r>
        <w:rPr>
          <w:rFonts w:hint="eastAsia" w:ascii="宋体" w:hAnsi="宋体" w:cs="Arial"/>
          <w:b/>
          <w:bCs/>
          <w:sz w:val="44"/>
          <w:szCs w:val="44"/>
        </w:rPr>
        <w:t>财政监督与绩效评价报告</w:t>
      </w:r>
    </w:p>
    <w:p>
      <w:pPr>
        <w:pStyle w:val="22"/>
        <w:adjustRightInd w:val="0"/>
        <w:snapToGrid w:val="0"/>
      </w:pP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石家庄市财政局财政监督与绩效评价工作安排，市政府投资中心于2023年3月29日-6月10日对石家庄市城市管理综合行政执法局（以下简称“市城管局”）2022年育才街（和平路-方北路、裕华路-民心河）雨污水提升改造工程、排水管网改造项目（新华区五项工程）、排水管网改造项目（桥西区四项工程）、市区支路增设雨水管道工程、泰华街雨污水干管新建工程（以下简称“五项工程”）政府债券资金项目进行财政监督与绩效评价。经过评价，</w:t>
      </w:r>
      <w:r>
        <w:rPr>
          <w:rFonts w:hint="eastAsia" w:ascii="仿宋" w:hAnsi="仿宋" w:eastAsia="仿宋" w:cs="仿宋"/>
          <w:sz w:val="32"/>
          <w:szCs w:val="32"/>
          <w:highlight w:val="none"/>
        </w:rPr>
        <w:t>该项目的实施</w:t>
      </w:r>
      <w:r>
        <w:rPr>
          <w:rFonts w:hint="eastAsia" w:ascii="仿宋" w:hAnsi="仿宋" w:eastAsia="仿宋" w:cs="仿宋"/>
          <w:sz w:val="32"/>
          <w:szCs w:val="32"/>
          <w:highlight w:val="none"/>
          <w:lang w:eastAsia="zh-CN"/>
        </w:rPr>
        <w:t>解决了空白区域管网建设问题，升级了</w:t>
      </w:r>
      <w:r>
        <w:rPr>
          <w:rFonts w:hint="eastAsia" w:ascii="仿宋" w:hAnsi="仿宋" w:eastAsia="仿宋" w:cs="仿宋"/>
          <w:sz w:val="32"/>
          <w:szCs w:val="32"/>
          <w:highlight w:val="none"/>
        </w:rPr>
        <w:t>区域内雨污水管网系统，增强了</w:t>
      </w:r>
      <w:r>
        <w:rPr>
          <w:rFonts w:hint="eastAsia" w:ascii="仿宋" w:hAnsi="仿宋" w:eastAsia="仿宋" w:cs="仿宋"/>
          <w:sz w:val="32"/>
          <w:szCs w:val="32"/>
          <w:highlight w:val="none"/>
          <w:lang w:eastAsia="zh-CN"/>
        </w:rPr>
        <w:t>城区</w:t>
      </w:r>
      <w:r>
        <w:rPr>
          <w:rFonts w:hint="eastAsia" w:ascii="仿宋" w:hAnsi="仿宋" w:eastAsia="仿宋" w:cs="仿宋"/>
          <w:sz w:val="32"/>
          <w:szCs w:val="32"/>
          <w:highlight w:val="none"/>
        </w:rPr>
        <w:t>排水能力，</w:t>
      </w:r>
      <w:r>
        <w:rPr>
          <w:rFonts w:hint="eastAsia" w:ascii="仿宋" w:hAnsi="仿宋" w:eastAsia="仿宋" w:cs="仿宋"/>
          <w:sz w:val="32"/>
          <w:szCs w:val="32"/>
          <w:highlight w:val="none"/>
          <w:lang w:eastAsia="zh-CN"/>
        </w:rPr>
        <w:t>社会</w:t>
      </w:r>
      <w:r>
        <w:rPr>
          <w:rFonts w:hint="eastAsia" w:ascii="仿宋" w:hAnsi="仿宋" w:eastAsia="仿宋" w:cs="仿宋"/>
          <w:sz w:val="32"/>
          <w:szCs w:val="32"/>
          <w:highlight w:val="none"/>
        </w:rPr>
        <w:t>效益显著，综合评分</w:t>
      </w:r>
      <w:r>
        <w:rPr>
          <w:rFonts w:hint="eastAsia" w:ascii="仿宋" w:hAnsi="仿宋" w:eastAsia="仿宋" w:cs="仿宋"/>
          <w:sz w:val="32"/>
          <w:szCs w:val="32"/>
          <w:highlight w:val="none"/>
          <w:lang w:val="en-US" w:eastAsia="zh-CN"/>
        </w:rPr>
        <w:t>87</w:t>
      </w:r>
      <w:r>
        <w:rPr>
          <w:rFonts w:ascii="仿宋" w:hAnsi="仿宋" w:eastAsia="仿宋" w:cs="仿宋"/>
          <w:sz w:val="32"/>
          <w:szCs w:val="32"/>
          <w:highlight w:val="none"/>
        </w:rPr>
        <w:t>.</w:t>
      </w:r>
      <w:r>
        <w:rPr>
          <w:rFonts w:hint="eastAsia" w:ascii="仿宋" w:hAnsi="仿宋" w:eastAsia="仿宋" w:cs="仿宋"/>
          <w:sz w:val="32"/>
          <w:szCs w:val="32"/>
          <w:highlight w:val="none"/>
          <w:lang w:val="en-US" w:eastAsia="zh-CN"/>
        </w:rPr>
        <w:t>2</w:t>
      </w:r>
      <w:r>
        <w:rPr>
          <w:rFonts w:ascii="仿宋" w:hAnsi="仿宋" w:eastAsia="仿宋" w:cs="仿宋"/>
          <w:sz w:val="32"/>
          <w:szCs w:val="32"/>
          <w:highlight w:val="none"/>
        </w:rPr>
        <w:t>8</w:t>
      </w:r>
      <w:r>
        <w:rPr>
          <w:rFonts w:hint="eastAsia" w:ascii="仿宋" w:hAnsi="仿宋" w:eastAsia="仿宋" w:cs="仿宋"/>
          <w:sz w:val="32"/>
          <w:szCs w:val="32"/>
          <w:highlight w:val="none"/>
        </w:rPr>
        <w:t>分，评价等级为“</w:t>
      </w:r>
      <w:r>
        <w:rPr>
          <w:rFonts w:hint="eastAsia" w:ascii="仿宋" w:hAnsi="仿宋" w:eastAsia="仿宋" w:cs="仿宋"/>
          <w:sz w:val="32"/>
          <w:szCs w:val="32"/>
          <w:highlight w:val="none"/>
          <w:lang w:eastAsia="zh-CN"/>
        </w:rPr>
        <w:t>良</w:t>
      </w:r>
      <w:r>
        <w:rPr>
          <w:rFonts w:hint="eastAsia" w:ascii="仿宋" w:hAnsi="仿宋" w:eastAsia="仿宋" w:cs="仿宋"/>
          <w:sz w:val="32"/>
          <w:szCs w:val="32"/>
          <w:highlight w:val="none"/>
        </w:rPr>
        <w:t>”，具体情况如下：</w:t>
      </w:r>
    </w:p>
    <w:p>
      <w:pPr>
        <w:pStyle w:val="26"/>
        <w:adjustRightInd w:val="0"/>
        <w:snapToGrid w:val="0"/>
        <w:spacing w:line="560" w:lineRule="exact"/>
        <w:ind w:firstLine="640"/>
        <w:outlineLvl w:val="0"/>
        <w:rPr>
          <w:rFonts w:ascii="黑体" w:hAnsi="黑体" w:eastAsia="黑体" w:cs="黑体"/>
          <w:sz w:val="32"/>
          <w:szCs w:val="32"/>
        </w:rPr>
      </w:pPr>
      <w:bookmarkStart w:id="3" w:name="_Toc21675"/>
      <w:bookmarkStart w:id="4" w:name="_Toc22080"/>
      <w:r>
        <w:rPr>
          <w:rFonts w:hint="eastAsia" w:ascii="黑体" w:hAnsi="黑体" w:eastAsia="黑体" w:cs="黑体"/>
          <w:sz w:val="32"/>
          <w:szCs w:val="32"/>
        </w:rPr>
        <w:t>一、</w:t>
      </w:r>
      <w:r>
        <w:rPr>
          <w:rFonts w:hint="eastAsia" w:ascii="黑体" w:hAnsi="黑体" w:eastAsia="黑体" w:cs="黑体"/>
          <w:sz w:val="32"/>
          <w:szCs w:val="32"/>
          <w:lang w:eastAsia="zh-CN"/>
        </w:rPr>
        <w:t>项目</w:t>
      </w:r>
      <w:r>
        <w:rPr>
          <w:rFonts w:hint="eastAsia" w:ascii="黑体" w:hAnsi="黑体" w:eastAsia="黑体" w:cs="黑体"/>
          <w:sz w:val="32"/>
          <w:szCs w:val="32"/>
        </w:rPr>
        <w:t>基本情况</w:t>
      </w:r>
      <w:bookmarkEnd w:id="3"/>
      <w:bookmarkEnd w:id="4"/>
    </w:p>
    <w:p>
      <w:pPr>
        <w:pStyle w:val="2"/>
        <w:spacing w:line="560" w:lineRule="exact"/>
        <w:ind w:firstLine="640"/>
        <w:rPr>
          <w:rFonts w:ascii="仿宋" w:hAnsi="仿宋" w:eastAsia="仿宋"/>
          <w:sz w:val="32"/>
          <w:szCs w:val="32"/>
        </w:rPr>
      </w:pPr>
      <w:bookmarkStart w:id="5" w:name="_Toc25996"/>
      <w:r>
        <w:rPr>
          <w:rFonts w:hint="eastAsia" w:ascii="仿宋" w:hAnsi="仿宋" w:eastAsia="仿宋"/>
          <w:sz w:val="32"/>
          <w:szCs w:val="32"/>
        </w:rPr>
        <w:t>由于</w:t>
      </w:r>
      <w:r>
        <w:rPr>
          <w:rFonts w:hint="eastAsia" w:ascii="仿宋" w:hAnsi="仿宋" w:eastAsia="仿宋" w:cs="仿宋"/>
          <w:sz w:val="32"/>
          <w:szCs w:val="32"/>
        </w:rPr>
        <w:t>育才街等道路</w:t>
      </w:r>
      <w:r>
        <w:rPr>
          <w:rFonts w:hint="eastAsia" w:ascii="仿宋" w:hAnsi="仿宋" w:eastAsia="仿宋"/>
          <w:sz w:val="32"/>
          <w:szCs w:val="32"/>
        </w:rPr>
        <w:t>地下排水管网年久失修</w:t>
      </w:r>
      <w:r>
        <w:rPr>
          <w:rFonts w:hint="eastAsia" w:ascii="仿宋" w:hAnsi="仿宋" w:eastAsia="仿宋"/>
          <w:sz w:val="32"/>
          <w:szCs w:val="32"/>
          <w:lang w:eastAsia="zh-CN"/>
        </w:rPr>
        <w:t>，污泥</w:t>
      </w:r>
      <w:r>
        <w:rPr>
          <w:rFonts w:hint="eastAsia" w:ascii="仿宋" w:hAnsi="仿宋" w:eastAsia="仿宋"/>
          <w:sz w:val="32"/>
          <w:szCs w:val="32"/>
        </w:rPr>
        <w:t>淤积</w:t>
      </w:r>
      <w:r>
        <w:rPr>
          <w:rFonts w:hint="eastAsia" w:ascii="仿宋" w:hAnsi="仿宋" w:eastAsia="仿宋"/>
          <w:sz w:val="32"/>
          <w:szCs w:val="32"/>
          <w:lang w:eastAsia="zh-CN"/>
        </w:rPr>
        <w:t>、</w:t>
      </w:r>
      <w:r>
        <w:rPr>
          <w:rFonts w:hint="eastAsia" w:ascii="仿宋" w:hAnsi="仿宋" w:eastAsia="仿宋"/>
          <w:sz w:val="32"/>
          <w:szCs w:val="32"/>
        </w:rPr>
        <w:t>积水、地面塌陷</w:t>
      </w:r>
      <w:r>
        <w:rPr>
          <w:rFonts w:hint="eastAsia" w:ascii="仿宋" w:hAnsi="仿宋" w:eastAsia="仿宋"/>
          <w:sz w:val="32"/>
          <w:szCs w:val="32"/>
          <w:lang w:eastAsia="zh-CN"/>
        </w:rPr>
        <w:t>等</w:t>
      </w:r>
      <w:r>
        <w:rPr>
          <w:rFonts w:hint="eastAsia" w:ascii="仿宋" w:hAnsi="仿宋" w:eastAsia="仿宋"/>
          <w:sz w:val="32"/>
          <w:szCs w:val="32"/>
        </w:rPr>
        <w:t>情况时有发生。</w:t>
      </w:r>
      <w:r>
        <w:rPr>
          <w:rFonts w:hint="eastAsia" w:ascii="仿宋" w:hAnsi="仿宋" w:eastAsia="仿宋"/>
          <w:sz w:val="32"/>
          <w:szCs w:val="32"/>
          <w:lang w:eastAsia="zh-CN"/>
        </w:rPr>
        <w:t>为此</w:t>
      </w:r>
      <w:r>
        <w:rPr>
          <w:rFonts w:hint="eastAsia" w:ascii="仿宋" w:hAnsi="仿宋" w:eastAsia="仿宋"/>
          <w:sz w:val="32"/>
          <w:szCs w:val="32"/>
        </w:rPr>
        <w:t>市政府同意，市城管局负责实施</w:t>
      </w:r>
      <w:bookmarkEnd w:id="5"/>
      <w:bookmarkStart w:id="6" w:name="_Toc5194"/>
      <w:bookmarkStart w:id="7" w:name="_Toc3081"/>
      <w:r>
        <w:rPr>
          <w:rFonts w:hint="eastAsia" w:ascii="仿宋" w:hAnsi="仿宋" w:eastAsia="仿宋"/>
          <w:sz w:val="32"/>
          <w:szCs w:val="32"/>
        </w:rPr>
        <w:t>上述五项工程</w:t>
      </w:r>
      <w:r>
        <w:rPr>
          <w:rFonts w:hint="eastAsia" w:ascii="仿宋" w:hAnsi="仿宋" w:eastAsia="仿宋"/>
          <w:sz w:val="32"/>
          <w:szCs w:val="32"/>
          <w:lang w:eastAsia="zh-CN"/>
        </w:rPr>
        <w:t>。</w:t>
      </w:r>
      <w:r>
        <w:rPr>
          <w:rFonts w:hint="eastAsia" w:ascii="仿宋" w:hAnsi="仿宋" w:eastAsia="仿宋"/>
          <w:sz w:val="32"/>
          <w:szCs w:val="32"/>
        </w:rPr>
        <w:t>具体内容为：将规模小、标准低的老旧管道按规划规模拆除新建；将没有排水出路的雨水管道连通到邻近道路雨水管网内；增设雨水管道、卵形槽、雨水口、截流沟等排水设施；原排放量小的</w:t>
      </w:r>
      <w:r>
        <w:rPr>
          <w:rFonts w:hint="eastAsia" w:ascii="仿宋" w:hAnsi="仿宋" w:eastAsia="仿宋"/>
          <w:sz w:val="32"/>
          <w:szCs w:val="32"/>
          <w:lang w:eastAsia="zh-CN"/>
        </w:rPr>
        <w:t>管道</w:t>
      </w:r>
      <w:r>
        <w:rPr>
          <w:rFonts w:hint="eastAsia" w:ascii="仿宋" w:hAnsi="仿宋" w:eastAsia="仿宋"/>
          <w:sz w:val="32"/>
          <w:szCs w:val="32"/>
        </w:rPr>
        <w:t>扩容增加排放量；道路、绿化、交通标线等恢复，部分泵站改造。五项工程实际</w:t>
      </w:r>
      <w:r>
        <w:rPr>
          <w:rFonts w:hint="eastAsia" w:ascii="仿宋" w:hAnsi="仿宋" w:eastAsia="仿宋"/>
          <w:sz w:val="32"/>
          <w:szCs w:val="32"/>
          <w:lang w:eastAsia="zh-CN"/>
        </w:rPr>
        <w:t>完成管网改造</w:t>
      </w:r>
      <w:r>
        <w:rPr>
          <w:rFonts w:hint="eastAsia" w:ascii="仿宋" w:hAnsi="仿宋" w:eastAsia="仿宋"/>
          <w:sz w:val="32"/>
          <w:szCs w:val="32"/>
        </w:rPr>
        <w:t>52.51公里， 2022年底全部完工并投入使用。</w:t>
      </w:r>
      <w:bookmarkEnd w:id="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kern w:val="0"/>
          <w:sz w:val="28"/>
          <w:szCs w:val="28"/>
        </w:rPr>
      </w:pPr>
      <w:r>
        <w:rPr>
          <w:rFonts w:hint="eastAsia" w:ascii="仿宋" w:hAnsi="仿宋" w:eastAsia="仿宋"/>
          <w:sz w:val="32"/>
          <w:szCs w:val="32"/>
        </w:rPr>
        <w:t>五项工程概算总投资</w:t>
      </w:r>
      <w:r>
        <w:rPr>
          <w:rFonts w:ascii="仿宋" w:hAnsi="仿宋" w:eastAsia="仿宋"/>
          <w:sz w:val="32"/>
          <w:szCs w:val="32"/>
        </w:rPr>
        <w:t>67,749.33</w:t>
      </w:r>
      <w:r>
        <w:rPr>
          <w:rFonts w:hint="eastAsia" w:ascii="仿宋" w:hAnsi="仿宋" w:eastAsia="仿宋"/>
          <w:sz w:val="32"/>
          <w:szCs w:val="32"/>
        </w:rPr>
        <w:t>万元，其中专项债券资金</w:t>
      </w:r>
      <w:r>
        <w:rPr>
          <w:rFonts w:ascii="仿宋" w:hAnsi="仿宋" w:eastAsia="仿宋"/>
          <w:sz w:val="32"/>
          <w:szCs w:val="32"/>
        </w:rPr>
        <w:fldChar w:fldCharType="begin"/>
      </w:r>
      <w:r>
        <w:rPr>
          <w:rFonts w:ascii="仿宋" w:hAnsi="仿宋" w:eastAsia="仿宋"/>
          <w:sz w:val="32"/>
          <w:szCs w:val="32"/>
        </w:rPr>
        <w:instrText xml:space="preserve"> =SUM(ABOVE) </w:instrText>
      </w:r>
      <w:r>
        <w:rPr>
          <w:rFonts w:ascii="仿宋" w:hAnsi="仿宋" w:eastAsia="仿宋"/>
          <w:sz w:val="32"/>
          <w:szCs w:val="32"/>
        </w:rPr>
        <w:fldChar w:fldCharType="separate"/>
      </w:r>
      <w:r>
        <w:rPr>
          <w:rFonts w:ascii="仿宋" w:hAnsi="仿宋" w:eastAsia="仿宋"/>
          <w:sz w:val="32"/>
          <w:szCs w:val="32"/>
        </w:rPr>
        <w:t>56,700</w:t>
      </w:r>
      <w:r>
        <w:rPr>
          <w:rFonts w:ascii="仿宋" w:hAnsi="仿宋" w:eastAsia="仿宋"/>
          <w:sz w:val="32"/>
          <w:szCs w:val="32"/>
        </w:rPr>
        <w:fldChar w:fldCharType="end"/>
      </w:r>
      <w:r>
        <w:rPr>
          <w:rFonts w:hint="eastAsia" w:ascii="仿宋" w:hAnsi="仿宋" w:eastAsia="仿宋"/>
          <w:sz w:val="32"/>
          <w:szCs w:val="32"/>
        </w:rPr>
        <w:t>.00万元，资本金</w:t>
      </w:r>
      <w:r>
        <w:rPr>
          <w:rFonts w:ascii="仿宋" w:hAnsi="仿宋" w:eastAsia="仿宋"/>
          <w:sz w:val="32"/>
          <w:szCs w:val="32"/>
        </w:rPr>
        <w:t>11,049.33</w:t>
      </w:r>
      <w:r>
        <w:rPr>
          <w:rFonts w:hint="eastAsia" w:ascii="仿宋" w:hAnsi="仿宋" w:eastAsia="仿宋"/>
          <w:sz w:val="32"/>
          <w:szCs w:val="32"/>
        </w:rPr>
        <w:t>万元。截至2022年</w:t>
      </w:r>
      <w:r>
        <w:rPr>
          <w:rFonts w:hint="eastAsia" w:ascii="仿宋" w:hAnsi="仿宋" w:eastAsia="仿宋"/>
          <w:sz w:val="32"/>
          <w:szCs w:val="32"/>
          <w:lang w:eastAsia="zh-CN"/>
        </w:rPr>
        <w:t>底</w:t>
      </w:r>
      <w:r>
        <w:rPr>
          <w:rFonts w:hint="eastAsia" w:ascii="仿宋" w:hAnsi="仿宋" w:eastAsia="仿宋"/>
          <w:sz w:val="32"/>
          <w:szCs w:val="32"/>
        </w:rPr>
        <w:t>，专项债券到位</w:t>
      </w:r>
      <w:r>
        <w:rPr>
          <w:rFonts w:ascii="仿宋" w:hAnsi="仿宋" w:eastAsia="仿宋"/>
          <w:sz w:val="32"/>
          <w:szCs w:val="32"/>
        </w:rPr>
        <w:fldChar w:fldCharType="begin"/>
      </w:r>
      <w:r>
        <w:rPr>
          <w:rFonts w:ascii="仿宋" w:hAnsi="仿宋" w:eastAsia="仿宋"/>
          <w:sz w:val="32"/>
          <w:szCs w:val="32"/>
        </w:rPr>
        <w:instrText xml:space="preserve"> =SUM(ABOVE) </w:instrText>
      </w:r>
      <w:r>
        <w:rPr>
          <w:rFonts w:ascii="仿宋" w:hAnsi="仿宋" w:eastAsia="仿宋"/>
          <w:sz w:val="32"/>
          <w:szCs w:val="32"/>
        </w:rPr>
        <w:fldChar w:fldCharType="separate"/>
      </w:r>
      <w:r>
        <w:rPr>
          <w:rFonts w:ascii="仿宋" w:hAnsi="仿宋" w:eastAsia="仿宋"/>
          <w:sz w:val="32"/>
          <w:szCs w:val="32"/>
        </w:rPr>
        <w:t>56,700</w:t>
      </w:r>
      <w:r>
        <w:rPr>
          <w:rFonts w:ascii="仿宋" w:hAnsi="仿宋" w:eastAsia="仿宋"/>
          <w:sz w:val="32"/>
          <w:szCs w:val="32"/>
        </w:rPr>
        <w:fldChar w:fldCharType="end"/>
      </w:r>
      <w:r>
        <w:rPr>
          <w:rFonts w:hint="eastAsia" w:ascii="仿宋" w:hAnsi="仿宋" w:eastAsia="仿宋"/>
          <w:sz w:val="32"/>
          <w:szCs w:val="32"/>
        </w:rPr>
        <w:t>.00万元，</w:t>
      </w:r>
      <w:r>
        <w:rPr>
          <w:rFonts w:hint="eastAsia" w:ascii="仿宋" w:hAnsi="仿宋" w:eastAsia="仿宋"/>
          <w:sz w:val="32"/>
          <w:szCs w:val="32"/>
          <w:lang w:eastAsia="zh-CN"/>
        </w:rPr>
        <w:t>已</w:t>
      </w:r>
      <w:r>
        <w:rPr>
          <w:rFonts w:hint="eastAsia" w:ascii="仿宋" w:hAnsi="仿宋" w:eastAsia="仿宋"/>
          <w:sz w:val="32"/>
          <w:szCs w:val="32"/>
        </w:rPr>
        <w:t>支出</w:t>
      </w:r>
      <w:r>
        <w:rPr>
          <w:rFonts w:ascii="仿宋" w:hAnsi="仿宋" w:eastAsia="仿宋"/>
          <w:sz w:val="32"/>
          <w:szCs w:val="32"/>
        </w:rPr>
        <w:t>42,813.4</w:t>
      </w:r>
      <w:r>
        <w:rPr>
          <w:rFonts w:hint="eastAsia" w:ascii="仿宋" w:hAnsi="仿宋" w:eastAsia="仿宋"/>
          <w:sz w:val="32"/>
          <w:szCs w:val="32"/>
        </w:rPr>
        <w:t>4万元，结余</w:t>
      </w:r>
      <w:r>
        <w:rPr>
          <w:rFonts w:ascii="仿宋" w:hAnsi="仿宋" w:eastAsia="仿宋"/>
          <w:sz w:val="32"/>
          <w:szCs w:val="32"/>
        </w:rPr>
        <w:t>13,886.56</w:t>
      </w:r>
      <w:r>
        <w:rPr>
          <w:rFonts w:hint="eastAsia" w:ascii="仿宋" w:hAnsi="仿宋" w:eastAsia="仿宋"/>
          <w:sz w:val="32"/>
          <w:szCs w:val="32"/>
        </w:rPr>
        <w:t>万元留存在市财政局国库账户。资金收支情况见表1：</w:t>
      </w: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ascii="黑体" w:hAnsi="黑体" w:eastAsia="黑体" w:cs="黑体"/>
          <w:sz w:val="28"/>
          <w:szCs w:val="28"/>
        </w:rPr>
      </w:pPr>
      <w:r>
        <w:rPr>
          <w:rFonts w:hint="eastAsia" w:ascii="黑体" w:hAnsi="黑体" w:eastAsia="黑体" w:cs="黑体"/>
          <w:sz w:val="28"/>
          <w:szCs w:val="28"/>
        </w:rPr>
        <w:t>表1：2022年度五项工程收支明细表</w:t>
      </w:r>
    </w:p>
    <w:p>
      <w:pPr>
        <w:spacing w:line="240" w:lineRule="exact"/>
        <w:jc w:val="right"/>
        <w:rPr>
          <w:rFonts w:ascii="仿宋" w:hAnsi="仿宋" w:eastAsia="仿宋" w:cs="仿宋"/>
          <w:sz w:val="18"/>
          <w:szCs w:val="18"/>
        </w:rPr>
      </w:pPr>
      <w:r>
        <w:rPr>
          <w:rFonts w:hint="eastAsia" w:ascii="仿宋" w:hAnsi="仿宋" w:eastAsia="仿宋" w:cs="仿宋"/>
          <w:szCs w:val="21"/>
        </w:rPr>
        <w:t xml:space="preserve"> 单位：万元</w:t>
      </w:r>
    </w:p>
    <w:tbl>
      <w:tblPr>
        <w:tblStyle w:val="12"/>
        <w:tblW w:w="8892" w:type="dxa"/>
        <w:tblInd w:w="96"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66"/>
        <w:gridCol w:w="1414"/>
        <w:gridCol w:w="1118"/>
        <w:gridCol w:w="1027"/>
        <w:gridCol w:w="1267"/>
        <w:gridCol w:w="1133"/>
        <w:gridCol w:w="1147"/>
        <w:gridCol w:w="112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31" w:hRule="exact"/>
          <w:tblHeader/>
        </w:trPr>
        <w:tc>
          <w:tcPr>
            <w:tcW w:w="2080" w:type="dxa"/>
            <w:gridSpan w:val="2"/>
            <w:vAlign w:val="center"/>
          </w:tcPr>
          <w:p>
            <w:pPr>
              <w:jc w:val="center"/>
              <w:rPr>
                <w:rFonts w:ascii="仿宋" w:hAnsi="仿宋" w:eastAsia="仿宋" w:cs="仿宋"/>
                <w:sz w:val="18"/>
                <w:szCs w:val="18"/>
              </w:rPr>
            </w:pPr>
            <w:bookmarkStart w:id="8" w:name="_Toc9280"/>
            <w:r>
              <w:rPr>
                <w:rFonts w:hint="eastAsia" w:ascii="仿宋" w:hAnsi="仿宋" w:eastAsia="仿宋" w:cs="仿宋"/>
                <w:sz w:val="18"/>
                <w:szCs w:val="18"/>
              </w:rPr>
              <w:t>项目</w:t>
            </w:r>
          </w:p>
        </w:tc>
        <w:tc>
          <w:tcPr>
            <w:tcW w:w="1118" w:type="dxa"/>
            <w:vAlign w:val="center"/>
          </w:tcPr>
          <w:p>
            <w:pPr>
              <w:jc w:val="center"/>
              <w:rPr>
                <w:rFonts w:ascii="仿宋" w:hAnsi="仿宋" w:eastAsia="仿宋" w:cs="仿宋"/>
                <w:sz w:val="18"/>
                <w:szCs w:val="18"/>
              </w:rPr>
            </w:pPr>
            <w:r>
              <w:rPr>
                <w:rFonts w:hint="eastAsia" w:ascii="仿宋" w:hAnsi="仿宋" w:eastAsia="仿宋" w:cs="仿宋"/>
                <w:sz w:val="18"/>
                <w:szCs w:val="18"/>
              </w:rPr>
              <w:t>育才街雨污水提升改造工程</w:t>
            </w:r>
          </w:p>
        </w:tc>
        <w:tc>
          <w:tcPr>
            <w:tcW w:w="1027" w:type="dxa"/>
            <w:vAlign w:val="center"/>
          </w:tcPr>
          <w:p>
            <w:pPr>
              <w:jc w:val="center"/>
              <w:rPr>
                <w:rFonts w:ascii="仿宋" w:hAnsi="仿宋" w:eastAsia="仿宋" w:cs="仿宋"/>
                <w:sz w:val="18"/>
                <w:szCs w:val="18"/>
              </w:rPr>
            </w:pPr>
            <w:r>
              <w:rPr>
                <w:rFonts w:hint="eastAsia" w:ascii="仿宋" w:hAnsi="仿宋" w:eastAsia="仿宋" w:cs="仿宋"/>
                <w:sz w:val="18"/>
                <w:szCs w:val="18"/>
              </w:rPr>
              <w:t>排水管网改造项目（新华区五项工程）</w:t>
            </w:r>
          </w:p>
        </w:tc>
        <w:tc>
          <w:tcPr>
            <w:tcW w:w="1267" w:type="dxa"/>
            <w:vAlign w:val="center"/>
          </w:tcPr>
          <w:p>
            <w:pPr>
              <w:jc w:val="center"/>
              <w:rPr>
                <w:rFonts w:ascii="仿宋" w:hAnsi="仿宋" w:eastAsia="仿宋" w:cs="仿宋"/>
                <w:sz w:val="18"/>
                <w:szCs w:val="18"/>
              </w:rPr>
            </w:pPr>
            <w:r>
              <w:rPr>
                <w:rFonts w:hint="eastAsia" w:ascii="仿宋" w:hAnsi="仿宋" w:eastAsia="仿宋" w:cs="仿宋"/>
                <w:sz w:val="18"/>
                <w:szCs w:val="18"/>
              </w:rPr>
              <w:t>排水管网改造项目（桥西区四项工程）</w:t>
            </w:r>
          </w:p>
        </w:tc>
        <w:tc>
          <w:tcPr>
            <w:tcW w:w="1133" w:type="dxa"/>
            <w:vAlign w:val="center"/>
          </w:tcPr>
          <w:p>
            <w:pPr>
              <w:jc w:val="center"/>
              <w:rPr>
                <w:rFonts w:ascii="仿宋" w:hAnsi="仿宋" w:eastAsia="仿宋" w:cs="仿宋"/>
                <w:sz w:val="18"/>
                <w:szCs w:val="18"/>
              </w:rPr>
            </w:pPr>
            <w:r>
              <w:rPr>
                <w:rFonts w:hint="eastAsia" w:ascii="仿宋" w:hAnsi="仿宋" w:eastAsia="仿宋" w:cs="仿宋"/>
                <w:sz w:val="18"/>
                <w:szCs w:val="18"/>
              </w:rPr>
              <w:t>市区支路增设雨水管道工程</w:t>
            </w:r>
          </w:p>
        </w:tc>
        <w:tc>
          <w:tcPr>
            <w:tcW w:w="1147" w:type="dxa"/>
            <w:vAlign w:val="center"/>
          </w:tcPr>
          <w:p>
            <w:pPr>
              <w:jc w:val="center"/>
              <w:rPr>
                <w:rFonts w:ascii="仿宋" w:hAnsi="仿宋" w:eastAsia="仿宋" w:cs="仿宋"/>
                <w:sz w:val="18"/>
                <w:szCs w:val="18"/>
              </w:rPr>
            </w:pPr>
            <w:r>
              <w:rPr>
                <w:rFonts w:hint="eastAsia" w:ascii="仿宋" w:hAnsi="仿宋" w:eastAsia="仿宋" w:cs="仿宋"/>
                <w:sz w:val="18"/>
                <w:szCs w:val="18"/>
              </w:rPr>
              <w:t>泰华街雨污水干管新建工程</w:t>
            </w:r>
          </w:p>
        </w:tc>
        <w:tc>
          <w:tcPr>
            <w:tcW w:w="1120" w:type="dxa"/>
            <w:vAlign w:val="center"/>
          </w:tcPr>
          <w:p>
            <w:pPr>
              <w:jc w:val="center"/>
              <w:rPr>
                <w:rFonts w:ascii="仿宋" w:hAnsi="仿宋" w:eastAsia="仿宋" w:cs="仿宋"/>
                <w:sz w:val="18"/>
                <w:szCs w:val="18"/>
              </w:rPr>
            </w:pPr>
            <w:r>
              <w:rPr>
                <w:rFonts w:hint="eastAsia" w:ascii="仿宋" w:hAnsi="仿宋" w:eastAsia="仿宋" w:cs="仿宋"/>
                <w:sz w:val="18"/>
                <w:szCs w:val="18"/>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投资情况</w:t>
            </w: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概算总投资</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9,967.39</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6,511.02</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12,315.99</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25,444.60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13,510.33</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67,749.33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其中：政府债券</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8,500.00</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6,000.00</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10,000.00</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21,400.00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10,800.00</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56,700.00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资本金</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1,467.39</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511.02</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2,315.99</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4,044.60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2,710.33</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11,049.33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666" w:type="dxa"/>
            <w:vAlign w:val="center"/>
          </w:tcPr>
          <w:p>
            <w:pPr>
              <w:jc w:val="center"/>
              <w:rPr>
                <w:rFonts w:ascii="仿宋" w:hAnsi="仿宋" w:eastAsia="仿宋" w:cs="仿宋"/>
                <w:sz w:val="18"/>
                <w:szCs w:val="18"/>
              </w:rPr>
            </w:pPr>
            <w:r>
              <w:rPr>
                <w:rFonts w:hint="eastAsia" w:ascii="仿宋" w:hAnsi="仿宋" w:eastAsia="仿宋" w:cs="仿宋"/>
                <w:sz w:val="18"/>
                <w:szCs w:val="18"/>
              </w:rPr>
              <w:t>资金到位</w:t>
            </w: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专项债券</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8,500.00</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6,000.00</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10,000.00</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21,400.00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10,800.00</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56,700.00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restart"/>
            <w:vAlign w:val="center"/>
          </w:tcPr>
          <w:p>
            <w:pPr>
              <w:jc w:val="center"/>
              <w:rPr>
                <w:rFonts w:ascii="仿宋" w:hAnsi="仿宋" w:eastAsia="仿宋" w:cs="仿宋"/>
                <w:sz w:val="18"/>
                <w:szCs w:val="18"/>
              </w:rPr>
            </w:pPr>
            <w:r>
              <w:rPr>
                <w:rFonts w:hint="eastAsia" w:ascii="仿宋" w:hAnsi="仿宋" w:eastAsia="仿宋" w:cs="仿宋"/>
                <w:sz w:val="18"/>
                <w:szCs w:val="18"/>
              </w:rPr>
              <w:t>资金支出</w:t>
            </w: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工程款</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5,804.24</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4,786.68</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7,580.97</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14,829.74</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8,370.13</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41,371.76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施工图设计费</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37.20</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57.33</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53.11</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103.76</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59.09</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310.49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监理费</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84.99</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35.36</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101.05</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250.00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96.50</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567.90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初设费</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52.25</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71.90</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67.75</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135.00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64.34</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391.24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勘察费</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6.23</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8.42</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8.74</w:t>
            </w:r>
          </w:p>
        </w:tc>
        <w:tc>
          <w:tcPr>
            <w:tcW w:w="1133" w:type="dxa"/>
            <w:vAlign w:val="center"/>
          </w:tcPr>
          <w:p>
            <w:pPr>
              <w:jc w:val="right"/>
              <w:rPr>
                <w:rFonts w:ascii="仿宋" w:hAnsi="仿宋" w:eastAsia="仿宋" w:cs="仿宋"/>
                <w:sz w:val="18"/>
                <w:szCs w:val="18"/>
              </w:rPr>
            </w:pP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8.66</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32.05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造价咨询费</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7.50</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19.00</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22.00</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67.50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24.00</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140.00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66" w:type="dxa"/>
            <w:vMerge w:val="continue"/>
            <w:vAlign w:val="center"/>
          </w:tcPr>
          <w:p>
            <w:pPr>
              <w:jc w:val="center"/>
              <w:rPr>
                <w:rFonts w:ascii="仿宋" w:hAnsi="仿宋" w:eastAsia="仿宋" w:cs="仿宋"/>
                <w:sz w:val="18"/>
                <w:szCs w:val="18"/>
              </w:rPr>
            </w:pPr>
          </w:p>
        </w:tc>
        <w:tc>
          <w:tcPr>
            <w:tcW w:w="1414" w:type="dxa"/>
            <w:vAlign w:val="center"/>
          </w:tcPr>
          <w:p>
            <w:pPr>
              <w:jc w:val="center"/>
              <w:rPr>
                <w:rFonts w:ascii="仿宋" w:hAnsi="仿宋" w:eastAsia="仿宋" w:cs="仿宋"/>
                <w:sz w:val="18"/>
                <w:szCs w:val="18"/>
              </w:rPr>
            </w:pPr>
            <w:r>
              <w:rPr>
                <w:rFonts w:hint="eastAsia" w:ascii="仿宋" w:hAnsi="仿宋" w:eastAsia="仿宋" w:cs="仿宋"/>
                <w:sz w:val="18"/>
                <w:szCs w:val="18"/>
              </w:rPr>
              <w:t>合计</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5,992.41</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4,978.69</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7,833.62</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15,386.00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8,622.72</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42,813.44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080" w:type="dxa"/>
            <w:gridSpan w:val="2"/>
            <w:vAlign w:val="center"/>
          </w:tcPr>
          <w:p>
            <w:pPr>
              <w:jc w:val="center"/>
              <w:rPr>
                <w:rFonts w:ascii="仿宋" w:hAnsi="仿宋" w:eastAsia="仿宋" w:cs="仿宋"/>
                <w:sz w:val="18"/>
                <w:szCs w:val="18"/>
              </w:rPr>
            </w:pPr>
            <w:r>
              <w:rPr>
                <w:rFonts w:hint="eastAsia" w:ascii="仿宋" w:hAnsi="仿宋" w:eastAsia="仿宋" w:cs="仿宋"/>
                <w:sz w:val="18"/>
                <w:szCs w:val="18"/>
              </w:rPr>
              <w:t>结余</w:t>
            </w:r>
          </w:p>
        </w:tc>
        <w:tc>
          <w:tcPr>
            <w:tcW w:w="1118" w:type="dxa"/>
            <w:vAlign w:val="center"/>
          </w:tcPr>
          <w:p>
            <w:pPr>
              <w:jc w:val="right"/>
              <w:rPr>
                <w:rFonts w:ascii="仿宋" w:hAnsi="仿宋" w:eastAsia="仿宋" w:cs="仿宋"/>
                <w:sz w:val="18"/>
                <w:szCs w:val="18"/>
              </w:rPr>
            </w:pPr>
            <w:r>
              <w:rPr>
                <w:rFonts w:hint="eastAsia" w:ascii="仿宋" w:hAnsi="仿宋" w:eastAsia="仿宋" w:cs="仿宋"/>
                <w:sz w:val="18"/>
                <w:szCs w:val="18"/>
              </w:rPr>
              <w:t>2,507.59</w:t>
            </w:r>
          </w:p>
        </w:tc>
        <w:tc>
          <w:tcPr>
            <w:tcW w:w="1027" w:type="dxa"/>
            <w:vAlign w:val="center"/>
          </w:tcPr>
          <w:p>
            <w:pPr>
              <w:jc w:val="right"/>
              <w:rPr>
                <w:rFonts w:ascii="仿宋" w:hAnsi="仿宋" w:eastAsia="仿宋" w:cs="仿宋"/>
                <w:sz w:val="18"/>
                <w:szCs w:val="18"/>
              </w:rPr>
            </w:pPr>
            <w:r>
              <w:rPr>
                <w:rFonts w:hint="eastAsia" w:ascii="仿宋" w:hAnsi="仿宋" w:eastAsia="仿宋" w:cs="仿宋"/>
                <w:sz w:val="18"/>
                <w:szCs w:val="18"/>
              </w:rPr>
              <w:t>1,021.31</w:t>
            </w:r>
          </w:p>
        </w:tc>
        <w:tc>
          <w:tcPr>
            <w:tcW w:w="1267" w:type="dxa"/>
            <w:vAlign w:val="center"/>
          </w:tcPr>
          <w:p>
            <w:pPr>
              <w:jc w:val="right"/>
              <w:rPr>
                <w:rFonts w:ascii="仿宋" w:hAnsi="仿宋" w:eastAsia="仿宋" w:cs="仿宋"/>
                <w:sz w:val="18"/>
                <w:szCs w:val="18"/>
              </w:rPr>
            </w:pPr>
            <w:r>
              <w:rPr>
                <w:rFonts w:hint="eastAsia" w:ascii="仿宋" w:hAnsi="仿宋" w:eastAsia="仿宋" w:cs="仿宋"/>
                <w:sz w:val="18"/>
                <w:szCs w:val="18"/>
              </w:rPr>
              <w:t>2,166.38</w:t>
            </w:r>
          </w:p>
        </w:tc>
        <w:tc>
          <w:tcPr>
            <w:tcW w:w="1133" w:type="dxa"/>
            <w:vAlign w:val="center"/>
          </w:tcPr>
          <w:p>
            <w:pPr>
              <w:jc w:val="right"/>
              <w:rPr>
                <w:rFonts w:ascii="仿宋" w:hAnsi="仿宋" w:eastAsia="仿宋" w:cs="仿宋"/>
                <w:sz w:val="18"/>
                <w:szCs w:val="18"/>
              </w:rPr>
            </w:pPr>
            <w:r>
              <w:rPr>
                <w:rFonts w:hint="eastAsia" w:ascii="仿宋" w:hAnsi="仿宋" w:eastAsia="仿宋" w:cs="仿宋"/>
                <w:sz w:val="18"/>
                <w:szCs w:val="18"/>
              </w:rPr>
              <w:t>6,014.00</w:t>
            </w:r>
          </w:p>
        </w:tc>
        <w:tc>
          <w:tcPr>
            <w:tcW w:w="1147" w:type="dxa"/>
            <w:vAlign w:val="center"/>
          </w:tcPr>
          <w:p>
            <w:pPr>
              <w:jc w:val="right"/>
              <w:rPr>
                <w:rFonts w:ascii="仿宋" w:hAnsi="仿宋" w:eastAsia="仿宋" w:cs="仿宋"/>
                <w:sz w:val="18"/>
                <w:szCs w:val="18"/>
              </w:rPr>
            </w:pPr>
            <w:r>
              <w:rPr>
                <w:rFonts w:hint="eastAsia" w:ascii="仿宋" w:hAnsi="仿宋" w:eastAsia="仿宋" w:cs="仿宋"/>
                <w:sz w:val="18"/>
                <w:szCs w:val="18"/>
              </w:rPr>
              <w:t>2,177.28</w:t>
            </w:r>
          </w:p>
        </w:tc>
        <w:tc>
          <w:tcPr>
            <w:tcW w:w="1120" w:type="dxa"/>
            <w:vAlign w:val="center"/>
          </w:tcPr>
          <w:p>
            <w:pPr>
              <w:jc w:val="right"/>
              <w:rPr>
                <w:rFonts w:ascii="仿宋" w:hAnsi="仿宋" w:eastAsia="仿宋" w:cs="仿宋"/>
                <w:sz w:val="18"/>
                <w:szCs w:val="18"/>
              </w:rPr>
            </w:pPr>
            <w:r>
              <w:rPr>
                <w:rFonts w:hint="eastAsia" w:ascii="仿宋" w:hAnsi="仿宋" w:eastAsia="仿宋" w:cs="仿宋"/>
                <w:sz w:val="18"/>
                <w:szCs w:val="18"/>
              </w:rPr>
              <w:t>13,886.56</w:t>
            </w:r>
          </w:p>
        </w:tc>
      </w:tr>
    </w:tbl>
    <w:p>
      <w:pPr>
        <w:pStyle w:val="26"/>
        <w:adjustRightInd w:val="0"/>
        <w:snapToGrid w:val="0"/>
        <w:spacing w:line="560" w:lineRule="exact"/>
        <w:ind w:firstLine="640"/>
        <w:outlineLvl w:val="0"/>
        <w:rPr>
          <w:rFonts w:ascii="黑体" w:hAnsi="黑体" w:eastAsia="黑体" w:cs="黑体"/>
          <w:sz w:val="32"/>
          <w:szCs w:val="32"/>
        </w:rPr>
      </w:pPr>
      <w:r>
        <w:rPr>
          <w:rFonts w:hint="eastAsia" w:ascii="黑体" w:hAnsi="黑体" w:eastAsia="黑体" w:cs="黑体"/>
          <w:sz w:val="32"/>
          <w:szCs w:val="32"/>
        </w:rPr>
        <w:t>二、绩效评价工作开展情况</w:t>
      </w:r>
      <w:bookmarkEnd w:id="7"/>
      <w:bookmarkEnd w:id="8"/>
    </w:p>
    <w:p>
      <w:pPr>
        <w:spacing w:line="560" w:lineRule="exact"/>
        <w:ind w:firstLine="640" w:firstLineChars="200"/>
        <w:rPr>
          <w:rFonts w:ascii="楷体" w:hAnsi="楷体" w:eastAsia="楷体" w:cs="楷体"/>
          <w:sz w:val="32"/>
          <w:szCs w:val="32"/>
        </w:rPr>
      </w:pPr>
      <w:bookmarkStart w:id="9" w:name="_Toc7056"/>
      <w:bookmarkStart w:id="10" w:name="_Toc14344"/>
      <w:r>
        <w:rPr>
          <w:rFonts w:hint="eastAsia" w:ascii="楷体" w:hAnsi="楷体" w:eastAsia="楷体" w:cs="楷体"/>
          <w:sz w:val="32"/>
          <w:szCs w:val="32"/>
        </w:rPr>
        <w:t>（一）绩效评价的原则、方法和工作过程</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遵循“科学</w:t>
      </w:r>
      <w:r>
        <w:rPr>
          <w:rFonts w:hint="eastAsia" w:ascii="仿宋" w:hAnsi="仿宋" w:eastAsia="仿宋" w:cs="仿宋"/>
          <w:sz w:val="32"/>
          <w:szCs w:val="32"/>
          <w:lang w:eastAsia="zh-CN"/>
        </w:rPr>
        <w:t>规范、协同配合、公开透明、强化运用</w:t>
      </w:r>
      <w:r>
        <w:rPr>
          <w:rFonts w:hint="eastAsia" w:ascii="仿宋" w:hAnsi="仿宋" w:eastAsia="仿宋" w:cs="仿宋"/>
          <w:sz w:val="32"/>
          <w:szCs w:val="32"/>
        </w:rPr>
        <w:t>”的原则，对五项工程使用政府债券专项资金进行分析和评价。</w:t>
      </w:r>
    </w:p>
    <w:p>
      <w:pPr>
        <w:pStyle w:val="26"/>
        <w:adjustRightInd w:val="0"/>
        <w:snapToGrid w:val="0"/>
        <w:spacing w:line="560" w:lineRule="exact"/>
        <w:ind w:firstLine="640"/>
        <w:outlineLvl w:val="0"/>
        <w:rPr>
          <w:rFonts w:ascii="仿宋" w:hAnsi="仿宋" w:eastAsia="仿宋"/>
          <w:sz w:val="32"/>
          <w:szCs w:val="32"/>
        </w:rPr>
      </w:pPr>
      <w:r>
        <w:rPr>
          <w:rFonts w:hint="eastAsia" w:ascii="仿宋" w:hAnsi="仿宋" w:eastAsia="仿宋" w:cs="仿宋"/>
          <w:sz w:val="32"/>
          <w:szCs w:val="32"/>
        </w:rPr>
        <w:t>评价工作组</w:t>
      </w:r>
      <w:r>
        <w:rPr>
          <w:rFonts w:hint="eastAsia" w:ascii="仿宋" w:hAnsi="仿宋" w:eastAsia="仿宋" w:cs="仿宋"/>
          <w:sz w:val="32"/>
          <w:szCs w:val="32"/>
          <w:lang w:eastAsia="zh-CN"/>
        </w:rPr>
        <w:t>按照</w:t>
      </w:r>
      <w:r>
        <w:rPr>
          <w:rFonts w:hint="eastAsia" w:ascii="仿宋" w:hAnsi="仿宋" w:eastAsia="仿宋" w:cs="仿宋"/>
          <w:sz w:val="32"/>
          <w:szCs w:val="32"/>
        </w:rPr>
        <w:t>中央、省绩效评价相关文件，</w:t>
      </w:r>
      <w:r>
        <w:rPr>
          <w:rFonts w:hint="eastAsia" w:ascii="仿宋" w:hAnsi="仿宋" w:eastAsia="仿宋"/>
          <w:sz w:val="32"/>
          <w:szCs w:val="32"/>
        </w:rPr>
        <w:t>研究制定评价指标体系、评价标准及工作方案；多次召集项目单位、施工单位人员进行座谈并收集相关资料；实地勘查了五项工程的项目现场，通过勘查雨污水排水系统、路面排水口设置、新建路面状况等，并对周边商户及居民进行满意度调查，深入了解了项目情况；运用比较</w:t>
      </w:r>
      <w:r>
        <w:rPr>
          <w:rFonts w:hint="eastAsia" w:ascii="仿宋" w:hAnsi="仿宋" w:eastAsia="仿宋" w:cs="仿宋"/>
          <w:sz w:val="32"/>
          <w:szCs w:val="32"/>
        </w:rPr>
        <w:t>法、因素分析法、公众评价法等多种方法，</w:t>
      </w:r>
      <w:r>
        <w:rPr>
          <w:rFonts w:hint="eastAsia" w:ascii="仿宋" w:hAnsi="仿宋" w:eastAsia="仿宋"/>
          <w:sz w:val="32"/>
          <w:szCs w:val="32"/>
        </w:rPr>
        <w:t>对项目年度绩效目标实现情况进行分析评价；撰写绩效评价报告、整理工作底稿并完成归档工作等。</w:t>
      </w:r>
    </w:p>
    <w:p>
      <w:pPr>
        <w:pStyle w:val="26"/>
        <w:adjustRightInd w:val="0"/>
        <w:snapToGrid w:val="0"/>
        <w:spacing w:line="560" w:lineRule="exact"/>
        <w:ind w:firstLine="640"/>
        <w:outlineLvl w:val="0"/>
        <w:rPr>
          <w:rFonts w:ascii="仿宋" w:hAnsi="仿宋" w:eastAsia="仿宋"/>
          <w:sz w:val="32"/>
          <w:szCs w:val="32"/>
        </w:rPr>
      </w:pPr>
      <w:r>
        <w:rPr>
          <w:rFonts w:hint="eastAsia" w:ascii="仿宋" w:hAnsi="仿宋" w:eastAsia="仿宋"/>
          <w:sz w:val="32"/>
          <w:szCs w:val="32"/>
        </w:rPr>
        <w:t>投资中心项目审核组从人员进场培训、评价方案制定、指标体系设置、与单位交换意见、报告初稿形成等环节进行跟踪把关。</w:t>
      </w:r>
    </w:p>
    <w:p>
      <w:pPr>
        <w:pStyle w:val="26"/>
        <w:numPr>
          <w:ilvl w:val="0"/>
          <w:numId w:val="1"/>
        </w:numPr>
        <w:adjustRightInd w:val="0"/>
        <w:snapToGrid w:val="0"/>
        <w:spacing w:line="560" w:lineRule="exact"/>
        <w:ind w:firstLine="640"/>
        <w:outlineLvl w:val="0"/>
        <w:rPr>
          <w:rFonts w:ascii="楷体" w:hAnsi="楷体" w:eastAsia="楷体"/>
          <w:sz w:val="32"/>
          <w:szCs w:val="32"/>
        </w:rPr>
      </w:pPr>
      <w:r>
        <w:rPr>
          <w:rFonts w:hint="eastAsia" w:ascii="楷体" w:hAnsi="楷体" w:eastAsia="楷体"/>
          <w:sz w:val="32"/>
          <w:szCs w:val="32"/>
        </w:rPr>
        <w:t>绩效评价指标体系</w:t>
      </w:r>
    </w:p>
    <w:p>
      <w:pPr>
        <w:spacing w:line="560" w:lineRule="exact"/>
        <w:ind w:firstLine="640" w:firstLineChars="200"/>
        <w:rPr>
          <w:rFonts w:ascii="仿宋" w:hAnsi="仿宋" w:eastAsia="仿宋"/>
          <w:sz w:val="32"/>
          <w:szCs w:val="32"/>
        </w:rPr>
      </w:pPr>
      <w:bookmarkStart w:id="11" w:name="_Toc31449"/>
      <w:r>
        <w:rPr>
          <w:rFonts w:hint="eastAsia" w:ascii="仿宋" w:hAnsi="仿宋" w:eastAsia="仿宋"/>
          <w:sz w:val="32"/>
          <w:szCs w:val="32"/>
        </w:rPr>
        <w:t>本次绩效评价指标体系的设置依据财政部关于印发《</w:t>
      </w:r>
      <w:r>
        <w:fldChar w:fldCharType="begin"/>
      </w:r>
      <w:r>
        <w:instrText xml:space="preserve"> HYPERLINK "https://www.waizi.org.cn/doc/117435.html" \t "https://www.waizi.org.cn/doc/_blank" \o "财预〔2021〕61号《财政部关于印发〈地方政府专项债券项目资金绩效管理办法〉的通知》" </w:instrText>
      </w:r>
      <w:r>
        <w:fldChar w:fldCharType="separate"/>
      </w:r>
      <w:r>
        <w:rPr>
          <w:rFonts w:hint="eastAsia" w:ascii="仿宋" w:hAnsi="仿宋" w:eastAsia="仿宋"/>
          <w:sz w:val="32"/>
          <w:szCs w:val="32"/>
        </w:rPr>
        <w:t>地方政府专项债券项目资金绩效管理办法</w:t>
      </w:r>
      <w:r>
        <w:rPr>
          <w:rFonts w:hint="eastAsia" w:ascii="仿宋" w:hAnsi="仿宋" w:eastAsia="仿宋"/>
          <w:sz w:val="32"/>
          <w:szCs w:val="32"/>
        </w:rPr>
        <w:fldChar w:fldCharType="end"/>
      </w:r>
      <w:r>
        <w:rPr>
          <w:rFonts w:hint="eastAsia" w:ascii="仿宋" w:hAnsi="仿宋" w:eastAsia="仿宋"/>
          <w:sz w:val="32"/>
          <w:szCs w:val="32"/>
        </w:rPr>
        <w:t>》（财预〔2021〕61号）和河北省财政厅关于印发《河北省政府专项债券项目资金绩效管理办法》的通知（冀财债〔2021〕41号）等相关文件规定，结合项目实际情况，从项目的决策、管理、产出、效益四个方面进行评价。指标体系由一至三级指标、分值及评价标准等组成。其中一级指标4项，二级指标17项，三级指标27项。分值设置100分，其中决策指标10分，管理指标25分，产出指标25分，效益指标40分。</w:t>
      </w:r>
    </w:p>
    <w:p>
      <w:pPr>
        <w:spacing w:line="560" w:lineRule="exact"/>
        <w:ind w:firstLine="640" w:firstLineChars="200"/>
        <w:rPr>
          <w:rFonts w:ascii="楷体" w:hAnsi="楷体" w:eastAsia="楷体"/>
          <w:sz w:val="32"/>
          <w:szCs w:val="32"/>
        </w:rPr>
      </w:pPr>
      <w:r>
        <w:rPr>
          <w:rFonts w:hint="eastAsia" w:ascii="仿宋" w:hAnsi="仿宋" w:eastAsia="仿宋"/>
          <w:sz w:val="32"/>
          <w:szCs w:val="32"/>
        </w:rPr>
        <w:t>评价结果采取评级形式，以优、良、中、差四个等级来反映；得分与等级对应关系为：得分≥90分为优，80分≤得分＜90分为良，60分≤得分＜80分为中，得分＜60分为差。</w:t>
      </w:r>
      <w:bookmarkEnd w:id="11"/>
    </w:p>
    <w:p>
      <w:pPr>
        <w:pStyle w:val="26"/>
        <w:numPr>
          <w:ilvl w:val="0"/>
          <w:numId w:val="2"/>
        </w:numPr>
        <w:adjustRightInd w:val="0"/>
        <w:snapToGrid w:val="0"/>
        <w:spacing w:line="560" w:lineRule="exact"/>
        <w:ind w:firstLine="640"/>
        <w:outlineLvl w:val="0"/>
        <w:rPr>
          <w:rFonts w:ascii="黑体" w:hAnsi="黑体" w:eastAsia="黑体" w:cs="黑体"/>
          <w:sz w:val="32"/>
          <w:szCs w:val="32"/>
        </w:rPr>
      </w:pPr>
      <w:r>
        <w:rPr>
          <w:rFonts w:hint="eastAsia" w:ascii="黑体" w:hAnsi="黑体" w:eastAsia="黑体" w:cs="黑体"/>
          <w:sz w:val="32"/>
          <w:szCs w:val="32"/>
        </w:rPr>
        <w:t>绩效评价指标分析</w:t>
      </w:r>
      <w:bookmarkEnd w:id="9"/>
      <w:r>
        <w:rPr>
          <w:rFonts w:hint="eastAsia" w:ascii="黑体" w:hAnsi="黑体" w:eastAsia="黑体" w:cs="黑体"/>
          <w:sz w:val="32"/>
          <w:szCs w:val="32"/>
        </w:rPr>
        <w:t>和评分办法</w:t>
      </w:r>
      <w:bookmarkEnd w:id="10"/>
    </w:p>
    <w:p>
      <w:pPr>
        <w:spacing w:line="560" w:lineRule="exact"/>
        <w:ind w:firstLine="640" w:firstLineChars="200"/>
        <w:rPr>
          <w:rFonts w:ascii="黑体" w:hAnsi="黑体" w:eastAsia="黑体" w:cs="黑体"/>
          <w:sz w:val="28"/>
          <w:szCs w:val="28"/>
        </w:rPr>
      </w:pPr>
      <w:bookmarkStart w:id="12" w:name="_Toc1002"/>
      <w:r>
        <w:rPr>
          <w:rFonts w:hint="eastAsia" w:ascii="楷体" w:hAnsi="楷体" w:eastAsia="楷体" w:cs="楷体"/>
          <w:sz w:val="32"/>
          <w:szCs w:val="32"/>
        </w:rPr>
        <w:t>（一）决策情况（满分10分,得8.77分）</w:t>
      </w:r>
    </w:p>
    <w:p>
      <w:pPr>
        <w:pStyle w:val="6"/>
        <w:spacing w:after="0" w:line="600" w:lineRule="auto"/>
        <w:jc w:val="center"/>
        <w:rPr>
          <w:rFonts w:ascii="黑体" w:hAnsi="黑体" w:eastAsia="黑体" w:cs="黑体"/>
          <w:sz w:val="28"/>
          <w:szCs w:val="28"/>
        </w:rPr>
      </w:pPr>
      <w:r>
        <w:rPr>
          <w:rFonts w:hint="eastAsia" w:ascii="黑体" w:hAnsi="黑体" w:eastAsia="黑体" w:cs="黑体"/>
          <w:sz w:val="28"/>
          <w:szCs w:val="28"/>
        </w:rPr>
        <w:t>表2：决策情况绩效评价得分表</w:t>
      </w:r>
    </w:p>
    <w:tbl>
      <w:tblPr>
        <w:tblStyle w:val="12"/>
        <w:tblW w:w="0" w:type="auto"/>
        <w:tblInd w:w="1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1"/>
        <w:gridCol w:w="2694"/>
        <w:gridCol w:w="3827"/>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trPr>
        <w:tc>
          <w:tcPr>
            <w:tcW w:w="1121" w:type="dxa"/>
            <w:tcBorders>
              <w:top w:val="single" w:color="auto" w:sz="12" w:space="0"/>
              <w:left w:val="single" w:color="auto" w:sz="12" w:space="0"/>
            </w:tcBorders>
            <w:shd w:val="clear" w:color="auto" w:fill="auto"/>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一级指标</w:t>
            </w:r>
          </w:p>
        </w:tc>
        <w:tc>
          <w:tcPr>
            <w:tcW w:w="2694" w:type="dxa"/>
            <w:tcBorders>
              <w:top w:val="single" w:color="auto" w:sz="12" w:space="0"/>
            </w:tcBorders>
            <w:shd w:val="clear" w:color="auto" w:fill="auto"/>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二级指标</w:t>
            </w:r>
          </w:p>
        </w:tc>
        <w:tc>
          <w:tcPr>
            <w:tcW w:w="3827" w:type="dxa"/>
            <w:tcBorders>
              <w:top w:val="single" w:color="auto" w:sz="12" w:space="0"/>
            </w:tcBorders>
            <w:shd w:val="clear" w:color="auto" w:fill="auto"/>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三级指标</w:t>
            </w:r>
          </w:p>
        </w:tc>
        <w:tc>
          <w:tcPr>
            <w:tcW w:w="1171" w:type="dxa"/>
            <w:tcBorders>
              <w:top w:val="single" w:color="auto" w:sz="12" w:space="0"/>
              <w:right w:val="single" w:color="auto" w:sz="12" w:space="0"/>
            </w:tcBorders>
            <w:shd w:val="clear" w:color="auto" w:fill="auto"/>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exact"/>
        </w:trPr>
        <w:tc>
          <w:tcPr>
            <w:tcW w:w="1121" w:type="dxa"/>
            <w:vMerge w:val="restart"/>
            <w:tcBorders>
              <w:left w:val="single" w:color="auto" w:sz="12" w:space="0"/>
            </w:tcBorders>
            <w:shd w:val="clear" w:color="auto" w:fill="auto"/>
            <w:vAlign w:val="center"/>
          </w:tcPr>
          <w:p>
            <w:pPr>
              <w:pStyle w:val="6"/>
              <w:spacing w:after="0" w:line="360" w:lineRule="auto"/>
              <w:jc w:val="center"/>
              <w:rPr>
                <w:rFonts w:ascii="仿宋" w:hAnsi="仿宋" w:eastAsia="仿宋" w:cs="仿宋"/>
                <w:szCs w:val="21"/>
              </w:rPr>
            </w:pPr>
            <w:r>
              <w:rPr>
                <w:rFonts w:ascii="仿宋" w:hAnsi="仿宋" w:eastAsia="仿宋" w:cs="仿宋"/>
                <w:szCs w:val="21"/>
              </w:rPr>
              <w:t>决策</w:t>
            </w:r>
          </w:p>
          <w:p>
            <w:pPr>
              <w:pStyle w:val="6"/>
              <w:spacing w:after="0" w:line="360" w:lineRule="auto"/>
              <w:jc w:val="center"/>
              <w:rPr>
                <w:rFonts w:ascii="仿宋" w:hAnsi="仿宋" w:eastAsia="仿宋" w:cs="仿宋"/>
                <w:szCs w:val="21"/>
              </w:rPr>
            </w:pPr>
            <w:r>
              <w:rPr>
                <w:rFonts w:hint="eastAsia" w:ascii="仿宋" w:hAnsi="仿宋" w:eastAsia="仿宋" w:cs="仿宋"/>
                <w:szCs w:val="21"/>
              </w:rPr>
              <w:t>（10分）</w:t>
            </w:r>
          </w:p>
        </w:tc>
        <w:tc>
          <w:tcPr>
            <w:tcW w:w="2694" w:type="dxa"/>
            <w:vMerge w:val="restart"/>
            <w:shd w:val="clear" w:color="auto" w:fill="auto"/>
            <w:vAlign w:val="center"/>
          </w:tcPr>
          <w:p>
            <w:pPr>
              <w:rPr>
                <w:rFonts w:ascii="仿宋" w:hAnsi="仿宋" w:eastAsia="仿宋" w:cs="仿宋"/>
                <w:szCs w:val="21"/>
              </w:rPr>
            </w:pPr>
            <w:r>
              <w:rPr>
                <w:rFonts w:hint="eastAsia" w:ascii="仿宋" w:hAnsi="仿宋" w:eastAsia="仿宋" w:cs="仿宋"/>
                <w:szCs w:val="21"/>
              </w:rPr>
              <w:t>项目立项（3分）</w:t>
            </w: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项目立项批复情况（1分）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exact"/>
        </w:trPr>
        <w:tc>
          <w:tcPr>
            <w:tcW w:w="1121" w:type="dxa"/>
            <w:vMerge w:val="continue"/>
            <w:tcBorders>
              <w:left w:val="single" w:color="auto" w:sz="12" w:space="0"/>
            </w:tcBorders>
            <w:shd w:val="clear" w:color="auto" w:fill="auto"/>
            <w:vAlign w:val="center"/>
          </w:tcPr>
          <w:p>
            <w:pPr>
              <w:pStyle w:val="6"/>
              <w:spacing w:after="0" w:line="360" w:lineRule="auto"/>
              <w:jc w:val="center"/>
              <w:rPr>
                <w:rFonts w:ascii="仿宋" w:hAnsi="仿宋" w:eastAsia="仿宋" w:cs="仿宋"/>
                <w:szCs w:val="21"/>
              </w:rPr>
            </w:pPr>
          </w:p>
        </w:tc>
        <w:tc>
          <w:tcPr>
            <w:tcW w:w="2694" w:type="dxa"/>
            <w:vMerge w:val="continue"/>
            <w:shd w:val="clear" w:color="auto" w:fill="auto"/>
            <w:vAlign w:val="center"/>
          </w:tcPr>
          <w:p>
            <w:pPr>
              <w:rPr>
                <w:rFonts w:ascii="仿宋" w:hAnsi="仿宋" w:eastAsia="仿宋" w:cs="仿宋"/>
                <w:szCs w:val="21"/>
              </w:rPr>
            </w:pP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项目完成勘察、设计、环评、开工许可等前期工作情况（1分）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exact"/>
        </w:trPr>
        <w:tc>
          <w:tcPr>
            <w:tcW w:w="1121" w:type="dxa"/>
            <w:vMerge w:val="continue"/>
            <w:tcBorders>
              <w:left w:val="single" w:color="auto" w:sz="12" w:space="0"/>
            </w:tcBorders>
            <w:shd w:val="clear" w:color="auto" w:fill="auto"/>
            <w:vAlign w:val="center"/>
          </w:tcPr>
          <w:p>
            <w:pPr>
              <w:pStyle w:val="6"/>
              <w:spacing w:after="0" w:line="360" w:lineRule="auto"/>
              <w:jc w:val="center"/>
              <w:rPr>
                <w:rFonts w:ascii="仿宋" w:hAnsi="仿宋" w:eastAsia="仿宋" w:cs="仿宋"/>
                <w:szCs w:val="21"/>
              </w:rPr>
            </w:pPr>
          </w:p>
        </w:tc>
        <w:tc>
          <w:tcPr>
            <w:tcW w:w="2694" w:type="dxa"/>
            <w:vMerge w:val="continue"/>
            <w:shd w:val="clear" w:color="auto" w:fill="auto"/>
            <w:vAlign w:val="center"/>
          </w:tcPr>
          <w:p>
            <w:pPr>
              <w:rPr>
                <w:rFonts w:ascii="仿宋" w:hAnsi="仿宋" w:eastAsia="仿宋" w:cs="仿宋"/>
                <w:szCs w:val="21"/>
              </w:rPr>
            </w:pP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专项债券支持领域和方向符合性（1分）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w:t>
            </w:r>
            <w:r>
              <w:rPr>
                <w:rFonts w:hint="eastAsia" w:ascii="仿宋" w:hAnsi="仿宋" w:eastAsia="仿宋" w:cs="仿宋"/>
                <w:szCs w:val="21"/>
              </w:rPr>
              <w:t>0</w:t>
            </w:r>
            <w:r>
              <w:rPr>
                <w:rFonts w:ascii="仿宋" w:hAnsi="仿宋" w:eastAsia="仿宋" w:cs="仿宋"/>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exact"/>
        </w:trPr>
        <w:tc>
          <w:tcPr>
            <w:tcW w:w="1121" w:type="dxa"/>
            <w:vMerge w:val="continue"/>
            <w:tcBorders>
              <w:left w:val="single" w:color="auto" w:sz="12" w:space="0"/>
            </w:tcBorders>
            <w:shd w:val="clear" w:color="auto" w:fill="auto"/>
            <w:vAlign w:val="center"/>
          </w:tcPr>
          <w:p>
            <w:pPr>
              <w:rPr>
                <w:rFonts w:ascii="仿宋" w:hAnsi="仿宋" w:eastAsia="仿宋" w:cs="仿宋"/>
                <w:szCs w:val="21"/>
              </w:rPr>
            </w:pPr>
          </w:p>
        </w:tc>
        <w:tc>
          <w:tcPr>
            <w:tcW w:w="2694" w:type="dxa"/>
            <w:vMerge w:val="restart"/>
            <w:shd w:val="clear" w:color="auto" w:fill="auto"/>
            <w:vAlign w:val="center"/>
          </w:tcPr>
          <w:p>
            <w:pPr>
              <w:rPr>
                <w:rFonts w:ascii="仿宋" w:hAnsi="仿宋" w:eastAsia="仿宋" w:cs="仿宋"/>
                <w:szCs w:val="21"/>
              </w:rPr>
            </w:pPr>
            <w:r>
              <w:rPr>
                <w:rFonts w:hint="eastAsia" w:ascii="仿宋" w:hAnsi="仿宋" w:eastAsia="仿宋" w:cs="仿宋"/>
                <w:szCs w:val="21"/>
              </w:rPr>
              <w:t>项目绩效（3分）</w:t>
            </w: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绩效指标设定全面性、合理性（1.5分）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w:t>
            </w:r>
            <w:r>
              <w:rPr>
                <w:rFonts w:hint="eastAsia" w:ascii="仿宋" w:hAnsi="仿宋" w:eastAsia="仿宋" w:cs="仿宋"/>
                <w:szCs w:val="21"/>
              </w:rPr>
              <w:t>1</w:t>
            </w:r>
            <w:r>
              <w:rPr>
                <w:rFonts w:ascii="仿宋" w:hAnsi="仿宋" w:eastAsia="仿宋" w:cs="仿宋"/>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exact"/>
        </w:trPr>
        <w:tc>
          <w:tcPr>
            <w:tcW w:w="1121" w:type="dxa"/>
            <w:vMerge w:val="continue"/>
            <w:tcBorders>
              <w:left w:val="single" w:color="auto" w:sz="12" w:space="0"/>
            </w:tcBorders>
            <w:shd w:val="clear" w:color="auto" w:fill="auto"/>
            <w:vAlign w:val="center"/>
          </w:tcPr>
          <w:p>
            <w:pPr>
              <w:pStyle w:val="6"/>
              <w:spacing w:after="0" w:line="360" w:lineRule="auto"/>
              <w:jc w:val="center"/>
              <w:rPr>
                <w:rFonts w:ascii="仿宋" w:hAnsi="仿宋" w:eastAsia="仿宋" w:cs="仿宋"/>
                <w:szCs w:val="21"/>
              </w:rPr>
            </w:pPr>
          </w:p>
        </w:tc>
        <w:tc>
          <w:tcPr>
            <w:tcW w:w="2694" w:type="dxa"/>
            <w:vMerge w:val="continue"/>
            <w:shd w:val="clear" w:color="auto" w:fill="auto"/>
            <w:vAlign w:val="center"/>
          </w:tcPr>
          <w:p>
            <w:pPr>
              <w:rPr>
                <w:rFonts w:ascii="仿宋" w:hAnsi="仿宋" w:eastAsia="仿宋" w:cs="仿宋"/>
                <w:szCs w:val="21"/>
              </w:rPr>
            </w:pP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绩效目标合理性、明确性（1.5分）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w:t>
            </w:r>
            <w:r>
              <w:rPr>
                <w:rFonts w:hint="eastAsia" w:ascii="仿宋" w:hAnsi="仿宋" w:eastAsia="仿宋" w:cs="仿宋"/>
                <w:szCs w:val="21"/>
              </w:rPr>
              <w:t>5</w:t>
            </w:r>
            <w:r>
              <w:rPr>
                <w:rFonts w:ascii="仿宋" w:hAnsi="仿宋" w:eastAsia="仿宋" w:cs="仿宋"/>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exact"/>
        </w:trPr>
        <w:tc>
          <w:tcPr>
            <w:tcW w:w="1121" w:type="dxa"/>
            <w:vMerge w:val="continue"/>
            <w:tcBorders>
              <w:left w:val="single" w:color="auto" w:sz="12" w:space="0"/>
            </w:tcBorders>
            <w:shd w:val="clear" w:color="auto" w:fill="auto"/>
            <w:vAlign w:val="center"/>
          </w:tcPr>
          <w:p>
            <w:pPr>
              <w:pStyle w:val="6"/>
              <w:spacing w:after="0" w:line="360" w:lineRule="auto"/>
              <w:jc w:val="center"/>
              <w:rPr>
                <w:rFonts w:ascii="仿宋" w:hAnsi="仿宋" w:eastAsia="仿宋" w:cs="仿宋"/>
                <w:szCs w:val="21"/>
              </w:rPr>
            </w:pPr>
          </w:p>
        </w:tc>
        <w:tc>
          <w:tcPr>
            <w:tcW w:w="2694" w:type="dxa"/>
            <w:vMerge w:val="restart"/>
            <w:shd w:val="clear" w:color="auto" w:fill="auto"/>
            <w:vAlign w:val="center"/>
          </w:tcPr>
          <w:p>
            <w:pPr>
              <w:rPr>
                <w:rFonts w:ascii="仿宋" w:hAnsi="仿宋" w:eastAsia="仿宋" w:cs="仿宋"/>
                <w:szCs w:val="21"/>
              </w:rPr>
            </w:pPr>
            <w:r>
              <w:rPr>
                <w:rFonts w:hint="eastAsia" w:ascii="仿宋" w:hAnsi="仿宋" w:eastAsia="仿宋" w:cs="仿宋"/>
                <w:szCs w:val="21"/>
              </w:rPr>
              <w:t>债券资金与实际需要匹配度（4分）</w:t>
            </w: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债券额度与实际需要匹配性（2分）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w:t>
            </w:r>
            <w:r>
              <w:rPr>
                <w:rFonts w:hint="eastAsia" w:ascii="仿宋" w:hAnsi="仿宋" w:eastAsia="仿宋" w:cs="仿宋"/>
                <w:szCs w:val="21"/>
              </w:rPr>
              <w:t>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exact"/>
        </w:trPr>
        <w:tc>
          <w:tcPr>
            <w:tcW w:w="1121" w:type="dxa"/>
            <w:vMerge w:val="continue"/>
            <w:tcBorders>
              <w:left w:val="single" w:color="auto" w:sz="12" w:space="0"/>
            </w:tcBorders>
            <w:shd w:val="clear" w:color="auto" w:fill="auto"/>
            <w:vAlign w:val="center"/>
          </w:tcPr>
          <w:p>
            <w:pPr>
              <w:pStyle w:val="6"/>
              <w:spacing w:after="0" w:line="360" w:lineRule="auto"/>
              <w:jc w:val="center"/>
              <w:rPr>
                <w:rFonts w:ascii="仿宋" w:hAnsi="仿宋" w:eastAsia="仿宋" w:cs="仿宋"/>
                <w:szCs w:val="21"/>
              </w:rPr>
            </w:pPr>
          </w:p>
        </w:tc>
        <w:tc>
          <w:tcPr>
            <w:tcW w:w="2694" w:type="dxa"/>
            <w:vMerge w:val="continue"/>
            <w:shd w:val="clear" w:color="auto" w:fill="auto"/>
            <w:vAlign w:val="center"/>
          </w:tcPr>
          <w:p>
            <w:pPr>
              <w:rPr>
                <w:rFonts w:ascii="仿宋" w:hAnsi="仿宋" w:eastAsia="仿宋" w:cs="仿宋"/>
                <w:szCs w:val="21"/>
              </w:rPr>
            </w:pPr>
          </w:p>
        </w:tc>
        <w:tc>
          <w:tcPr>
            <w:tcW w:w="3827" w:type="dxa"/>
            <w:shd w:val="clear" w:color="auto" w:fill="auto"/>
            <w:vAlign w:val="center"/>
          </w:tcPr>
          <w:p>
            <w:pPr>
              <w:rPr>
                <w:rFonts w:ascii="仿宋" w:hAnsi="仿宋" w:eastAsia="仿宋" w:cs="仿宋"/>
                <w:szCs w:val="21"/>
              </w:rPr>
            </w:pPr>
            <w:r>
              <w:rPr>
                <w:rFonts w:hint="eastAsia" w:ascii="仿宋" w:hAnsi="仿宋" w:eastAsia="仿宋" w:cs="仿宋"/>
                <w:szCs w:val="21"/>
              </w:rPr>
              <w:t>资金分配合理性（2分）</w:t>
            </w:r>
          </w:p>
        </w:tc>
        <w:tc>
          <w:tcPr>
            <w:tcW w:w="1171"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exact"/>
        </w:trPr>
        <w:tc>
          <w:tcPr>
            <w:tcW w:w="7642" w:type="dxa"/>
            <w:gridSpan w:val="3"/>
            <w:tcBorders>
              <w:left w:val="single" w:color="auto" w:sz="12" w:space="0"/>
              <w:bottom w:val="single" w:color="auto" w:sz="12" w:space="0"/>
            </w:tcBorders>
            <w:shd w:val="clear" w:color="auto" w:fill="auto"/>
            <w:vAlign w:val="center"/>
          </w:tcPr>
          <w:p>
            <w:pPr>
              <w:jc w:val="center"/>
              <w:rPr>
                <w:rFonts w:ascii="仿宋" w:hAnsi="仿宋" w:eastAsia="仿宋" w:cs="仿宋"/>
                <w:szCs w:val="21"/>
              </w:rPr>
            </w:pPr>
            <w:r>
              <w:rPr>
                <w:rFonts w:hint="eastAsia" w:ascii="仿宋" w:hAnsi="仿宋" w:eastAsia="仿宋" w:cs="仿宋"/>
                <w:szCs w:val="21"/>
              </w:rPr>
              <w:t>合计</w:t>
            </w:r>
          </w:p>
        </w:tc>
        <w:tc>
          <w:tcPr>
            <w:tcW w:w="1171" w:type="dxa"/>
            <w:tcBorders>
              <w:bottom w:val="single" w:color="auto" w:sz="12" w:space="0"/>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fldChar w:fldCharType="begin"/>
            </w:r>
            <w:r>
              <w:rPr>
                <w:rFonts w:ascii="仿宋" w:hAnsi="仿宋" w:eastAsia="仿宋" w:cs="仿宋"/>
                <w:szCs w:val="21"/>
              </w:rPr>
              <w:instrText xml:space="preserve"> =SUM(ABOVE) </w:instrText>
            </w:r>
            <w:r>
              <w:rPr>
                <w:rFonts w:ascii="仿宋" w:hAnsi="仿宋" w:eastAsia="仿宋" w:cs="仿宋"/>
                <w:szCs w:val="21"/>
              </w:rPr>
              <w:fldChar w:fldCharType="separate"/>
            </w:r>
            <w:r>
              <w:rPr>
                <w:rFonts w:ascii="仿宋" w:hAnsi="仿宋" w:eastAsia="仿宋" w:cs="仿宋"/>
                <w:szCs w:val="21"/>
              </w:rPr>
              <w:t>8.77</w:t>
            </w:r>
            <w:r>
              <w:rPr>
                <w:rFonts w:ascii="仿宋" w:hAnsi="仿宋" w:eastAsia="仿宋" w:cs="仿宋"/>
                <w:szCs w:val="21"/>
              </w:rPr>
              <w:fldChar w:fldCharType="end"/>
            </w:r>
          </w:p>
        </w:tc>
      </w:tr>
    </w:tbl>
    <w:p>
      <w:pPr>
        <w:spacing w:line="560" w:lineRule="exact"/>
        <w:ind w:firstLine="640" w:firstLineChars="200"/>
        <w:rPr>
          <w:rFonts w:ascii="仿宋" w:hAnsi="仿宋" w:eastAsia="仿宋"/>
          <w:sz w:val="32"/>
          <w:szCs w:val="32"/>
        </w:rPr>
      </w:pPr>
      <w:r>
        <w:rPr>
          <w:rFonts w:hint="eastAsia" w:ascii="仿宋" w:hAnsi="仿宋" w:eastAsia="仿宋"/>
          <w:sz w:val="32"/>
          <w:szCs w:val="32"/>
        </w:rPr>
        <w:t>1.项目立项（满分3分,得2.5</w:t>
      </w:r>
      <w:r>
        <w:rPr>
          <w:rFonts w:ascii="仿宋" w:hAnsi="仿宋" w:eastAsia="仿宋"/>
          <w:sz w:val="32"/>
          <w:szCs w:val="32"/>
        </w:rPr>
        <w:t>0</w:t>
      </w:r>
      <w:r>
        <w:rPr>
          <w:rFonts w:hint="eastAsia" w:ascii="仿宋" w:hAnsi="仿宋" w:eastAsia="仿宋"/>
          <w:sz w:val="32"/>
          <w:szCs w:val="32"/>
        </w:rPr>
        <w:t>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（1）项目立项批复情况（1分）。该指标主要评价项目立项是否经过批复，手续是否齐全。</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五项工程依据市政府批示的2021-2023年排水管网改造工程计划报告和市住建局、市财政局批复的项目准备计划的通知立项，立项依据充分，手续齐全，得1分。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（2）项目完成勘察、设计、环评、开工许可等前期工作情况（1分）。该指标主要评价项目前期工作情况，手续是否完备、资料是否齐全。</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五项工程取得了市行政审批局关于可研、初设的批复，进行了项目施工设计总承包、勘察、初设、监理的招标工作并确定中标方。前期手续基本完备，但在环评、开工许可方面存在不足，合计扣0.5分，得0.5分。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（3）专项债券支持领域和方向符合性（1分）。</w:t>
      </w:r>
    </w:p>
    <w:p>
      <w:pPr>
        <w:pStyle w:val="2"/>
        <w:spacing w:line="560" w:lineRule="exact"/>
        <w:ind w:firstLine="640"/>
        <w:rPr>
          <w:rFonts w:ascii="仿宋" w:hAnsi="仿宋" w:eastAsia="仿宋"/>
          <w:sz w:val="32"/>
          <w:szCs w:val="32"/>
        </w:rPr>
      </w:pPr>
      <w:r>
        <w:rPr>
          <w:rFonts w:hint="eastAsia" w:ascii="仿宋" w:hAnsi="仿宋" w:eastAsia="仿宋"/>
          <w:sz w:val="32"/>
          <w:szCs w:val="32"/>
        </w:rPr>
        <w:t>五项工程按程序经市相关部门审定、省相关部门审批，符合专项债券支持领域和方向，得1分。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2.项目绩效（满分3分,得2.6分）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（1）绩效指标设定全面性、合理性（1.5分）。该指标主要评价项目是否按照《河北省政府专项债券项目资金绩效管理办法》设定绩效指标。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绩效指标应重点反映专项债券项目的产出数量、质量、时效、成本、经济效益、社会效益、生态效益、可持续影响、服务满意度等</w:t>
      </w:r>
      <w:r>
        <w:rPr>
          <w:rFonts w:hint="eastAsia" w:ascii="仿宋" w:hAnsi="仿宋" w:eastAsia="仿宋"/>
          <w:sz w:val="32"/>
          <w:szCs w:val="32"/>
          <w:lang w:eastAsia="zh-CN"/>
        </w:rPr>
        <w:t>。</w:t>
      </w:r>
      <w:r>
        <w:rPr>
          <w:rFonts w:hint="eastAsia" w:ascii="仿宋" w:hAnsi="仿宋" w:eastAsia="仿宋"/>
          <w:sz w:val="32"/>
          <w:szCs w:val="32"/>
        </w:rPr>
        <w:t>市城管局绩效自评表未按照文件要求设置经济效益、生态效益、可持续影响指标，扣0.3分。绩效指标设置不够细化，数量指标计划改造公里数，只有改造公里总数，无明细数据，扣0.1分。合计扣0.4分，得1.1分。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（2）绩效目标合理性、明确性（1.5分）。该指标主要评价绩效目标是否经过调查研究和科学论证，是否与预算和专项内容匹配，是否符合部门职能及事业发展规划，是否与财政支出范围、方向、效果密切相关。</w:t>
      </w:r>
    </w:p>
    <w:p>
      <w:pPr>
        <w:spacing w:line="560" w:lineRule="exact"/>
        <w:ind w:firstLine="640" w:firstLineChars="200"/>
        <w:rPr>
          <w:rFonts w:ascii="仿宋" w:hAnsi="仿宋" w:eastAsia="仿宋"/>
          <w:sz w:val="32"/>
          <w:szCs w:val="32"/>
          <w:highlight w:val="yellow"/>
        </w:rPr>
      </w:pPr>
      <w:r>
        <w:rPr>
          <w:rFonts w:hint="eastAsia" w:ascii="仿宋" w:hAnsi="仿宋" w:eastAsia="仿宋"/>
          <w:sz w:val="32"/>
          <w:szCs w:val="32"/>
        </w:rPr>
        <w:t>五项工程绩效目标经过调查研究和科学论证，通过第三方出具《河北省政府专项债券项目事前绩效评估报告》，绩效目标设置较合理，与现实需求相匹配。绩效目标合理、明确，得1.5分。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3.债券资金与实际需要匹配度（满分4分,得3.67分）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（1）债券额度与实际需要匹配性（2分）。该指标主要评价专项债券资金与项目实际需要的匹配程度。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五项工程概算总投资为</w:t>
      </w:r>
      <w:r>
        <w:rPr>
          <w:rFonts w:ascii="仿宋" w:hAnsi="仿宋" w:eastAsia="仿宋"/>
          <w:sz w:val="32"/>
          <w:szCs w:val="32"/>
        </w:rPr>
        <w:t>67,749.33万元</w:t>
      </w:r>
      <w:r>
        <w:rPr>
          <w:rFonts w:hint="eastAsia" w:ascii="仿宋" w:hAnsi="仿宋" w:eastAsia="仿宋"/>
          <w:sz w:val="32"/>
          <w:szCs w:val="32"/>
        </w:rPr>
        <w:t>，送审金额为</w:t>
      </w:r>
      <w:r>
        <w:rPr>
          <w:rFonts w:ascii="仿宋" w:hAnsi="仿宋" w:eastAsia="仿宋"/>
          <w:sz w:val="32"/>
          <w:szCs w:val="32"/>
        </w:rPr>
        <w:fldChar w:fldCharType="begin"/>
      </w:r>
      <w:r>
        <w:rPr>
          <w:rFonts w:ascii="仿宋" w:hAnsi="仿宋" w:eastAsia="仿宋"/>
          <w:sz w:val="32"/>
          <w:szCs w:val="32"/>
        </w:rPr>
        <w:instrText xml:space="preserve"> =SUM(ABOVE) </w:instrText>
      </w:r>
      <w:r>
        <w:rPr>
          <w:rFonts w:ascii="仿宋" w:hAnsi="仿宋" w:eastAsia="仿宋"/>
          <w:sz w:val="32"/>
          <w:szCs w:val="32"/>
        </w:rPr>
        <w:fldChar w:fldCharType="separate"/>
      </w:r>
      <w:r>
        <w:rPr>
          <w:rFonts w:ascii="仿宋" w:hAnsi="仿宋" w:eastAsia="仿宋"/>
          <w:sz w:val="32"/>
          <w:szCs w:val="32"/>
        </w:rPr>
        <w:t>56,432.52</w:t>
      </w:r>
      <w:r>
        <w:rPr>
          <w:rFonts w:ascii="仿宋" w:hAnsi="仿宋" w:eastAsia="仿宋"/>
          <w:sz w:val="32"/>
          <w:szCs w:val="32"/>
        </w:rPr>
        <w:fldChar w:fldCharType="end"/>
      </w:r>
      <w:r>
        <w:rPr>
          <w:rFonts w:ascii="仿宋" w:hAnsi="仿宋" w:eastAsia="仿宋"/>
          <w:sz w:val="32"/>
          <w:szCs w:val="32"/>
        </w:rPr>
        <w:t>万元</w:t>
      </w:r>
      <w:r>
        <w:rPr>
          <w:rFonts w:hint="eastAsia" w:ascii="仿宋" w:hAnsi="仿宋" w:eastAsia="仿宋"/>
          <w:sz w:val="32"/>
          <w:szCs w:val="32"/>
        </w:rPr>
        <w:t>，实际需要占概算比例为83.30%，得分为83.30%</w:t>
      </w:r>
      <w:r>
        <w:rPr>
          <w:rFonts w:ascii="Arial" w:hAnsi="Arial" w:eastAsia="仿宋" w:cs="Arial"/>
          <w:sz w:val="32"/>
          <w:szCs w:val="32"/>
        </w:rPr>
        <w:t>×</w:t>
      </w:r>
      <w:r>
        <w:rPr>
          <w:rFonts w:hint="eastAsia" w:ascii="仿宋" w:hAnsi="仿宋" w:eastAsia="仿宋"/>
          <w:sz w:val="32"/>
          <w:szCs w:val="32"/>
        </w:rPr>
        <w:t>2分=1.67分，扣0.33分。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（2）资金分配合理性（2分）。该指标主要评价专项债券资金分配依据是否充分、额度是否合理，与项目实际适应程度。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olor w:val="C00000"/>
          <w:sz w:val="32"/>
          <w:szCs w:val="32"/>
        </w:rPr>
      </w:pPr>
      <w:r>
        <w:rPr>
          <w:rFonts w:hint="eastAsia" w:ascii="仿宋" w:hAnsi="仿宋" w:eastAsia="仿宋"/>
          <w:sz w:val="32"/>
          <w:szCs w:val="32"/>
        </w:rPr>
        <w:t>专项债券依据《实施方案》、《专项债券法律意见书》、《财务评估咨询报告》的要求，分别按照各工程需求编制概算，经相关部门审核后进行资金分配，依据充分,额度合理，与项目实际适应，得2分。</w:t>
      </w:r>
    </w:p>
    <w:p>
      <w:pPr>
        <w:pStyle w:val="6"/>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ascii="楷体" w:hAnsi="楷体" w:eastAsia="楷体" w:cs="楷体"/>
          <w:sz w:val="32"/>
          <w:szCs w:val="32"/>
        </w:rPr>
      </w:pPr>
      <w:r>
        <w:rPr>
          <w:rFonts w:hint="eastAsia" w:ascii="楷体" w:hAnsi="楷体" w:eastAsia="楷体" w:cs="楷体"/>
          <w:sz w:val="32"/>
          <w:szCs w:val="32"/>
        </w:rPr>
        <w:t>（二）管理情况（满分25分，得24.51分）</w:t>
      </w: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ascii="黑体" w:hAnsi="黑体" w:eastAsia="黑体" w:cs="黑体"/>
          <w:sz w:val="28"/>
          <w:szCs w:val="28"/>
        </w:rPr>
      </w:pPr>
      <w:r>
        <w:rPr>
          <w:rFonts w:hint="eastAsia" w:ascii="黑体" w:hAnsi="黑体" w:eastAsia="黑体" w:cs="黑体"/>
          <w:sz w:val="28"/>
          <w:szCs w:val="28"/>
        </w:rPr>
        <w:t>表3：管理情况绩效评价得分表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03"/>
        <w:gridCol w:w="2483"/>
        <w:gridCol w:w="4143"/>
        <w:gridCol w:w="1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trPr>
        <w:tc>
          <w:tcPr>
            <w:tcW w:w="1203" w:type="dxa"/>
            <w:tcBorders>
              <w:top w:val="single" w:color="auto" w:sz="12" w:space="0"/>
              <w:left w:val="single" w:color="auto" w:sz="12" w:space="0"/>
            </w:tcBorders>
            <w:shd w:val="clear" w:color="auto" w:fill="auto"/>
            <w:vAlign w:val="bottom"/>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一级指标</w:t>
            </w:r>
          </w:p>
        </w:tc>
        <w:tc>
          <w:tcPr>
            <w:tcW w:w="2483" w:type="dxa"/>
            <w:tcBorders>
              <w:top w:val="single" w:color="auto" w:sz="12" w:space="0"/>
            </w:tcBorders>
            <w:shd w:val="clear" w:color="auto" w:fill="auto"/>
            <w:vAlign w:val="bottom"/>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二级指标</w:t>
            </w:r>
          </w:p>
        </w:tc>
        <w:tc>
          <w:tcPr>
            <w:tcW w:w="4143" w:type="dxa"/>
            <w:tcBorders>
              <w:top w:val="single" w:color="auto" w:sz="12" w:space="0"/>
            </w:tcBorders>
            <w:shd w:val="clear" w:color="auto" w:fill="auto"/>
            <w:vAlign w:val="bottom"/>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三级指标</w:t>
            </w:r>
          </w:p>
        </w:tc>
        <w:tc>
          <w:tcPr>
            <w:tcW w:w="1120" w:type="dxa"/>
            <w:tcBorders>
              <w:top w:val="single" w:color="auto" w:sz="12" w:space="0"/>
              <w:right w:val="single" w:color="auto" w:sz="12" w:space="0"/>
            </w:tcBorders>
            <w:shd w:val="clear" w:color="auto" w:fill="auto"/>
            <w:vAlign w:val="bottom"/>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exact"/>
        </w:trPr>
        <w:tc>
          <w:tcPr>
            <w:tcW w:w="1203" w:type="dxa"/>
            <w:vMerge w:val="restart"/>
            <w:tcBorders>
              <w:left w:val="single" w:color="auto" w:sz="12" w:space="0"/>
            </w:tcBorders>
            <w:shd w:val="clear" w:color="auto" w:fill="auto"/>
            <w:vAlign w:val="center"/>
          </w:tcPr>
          <w:p>
            <w:pPr>
              <w:snapToGrid w:val="0"/>
              <w:jc w:val="center"/>
              <w:rPr>
                <w:rFonts w:ascii="仿宋" w:hAnsi="仿宋" w:eastAsia="仿宋" w:cs="仿宋"/>
                <w:szCs w:val="21"/>
              </w:rPr>
            </w:pPr>
            <w:r>
              <w:rPr>
                <w:rFonts w:hint="eastAsia" w:ascii="仿宋" w:hAnsi="仿宋" w:eastAsia="仿宋" w:cs="仿宋"/>
                <w:szCs w:val="21"/>
              </w:rPr>
              <w:t>管理</w:t>
            </w:r>
          </w:p>
          <w:p>
            <w:pPr>
              <w:snapToGrid w:val="0"/>
              <w:jc w:val="center"/>
              <w:rPr>
                <w:rFonts w:ascii="仿宋" w:hAnsi="仿宋" w:eastAsia="仿宋" w:cs="仿宋"/>
                <w:szCs w:val="21"/>
              </w:rPr>
            </w:pPr>
            <w:r>
              <w:rPr>
                <w:rFonts w:hint="eastAsia" w:ascii="仿宋" w:hAnsi="仿宋" w:eastAsia="仿宋" w:cs="仿宋"/>
                <w:szCs w:val="21"/>
              </w:rPr>
              <w:t>（25分）</w:t>
            </w:r>
          </w:p>
        </w:tc>
        <w:tc>
          <w:tcPr>
            <w:tcW w:w="2483" w:type="dxa"/>
            <w:shd w:val="clear" w:color="auto" w:fill="auto"/>
            <w:vAlign w:val="center"/>
          </w:tcPr>
          <w:p>
            <w:pPr>
              <w:snapToGrid w:val="0"/>
              <w:rPr>
                <w:rFonts w:ascii="仿宋" w:hAnsi="仿宋" w:eastAsia="仿宋" w:cs="仿宋"/>
                <w:szCs w:val="21"/>
              </w:rPr>
            </w:pPr>
            <w:r>
              <w:rPr>
                <w:rFonts w:hint="eastAsia" w:ascii="仿宋" w:hAnsi="仿宋" w:eastAsia="仿宋" w:cs="仿宋"/>
                <w:szCs w:val="21"/>
              </w:rPr>
              <w:t>预算管理情况（3分）</w:t>
            </w:r>
          </w:p>
        </w:tc>
        <w:tc>
          <w:tcPr>
            <w:tcW w:w="4143" w:type="dxa"/>
            <w:shd w:val="clear" w:color="auto" w:fill="auto"/>
            <w:vAlign w:val="center"/>
          </w:tcPr>
          <w:p>
            <w:pPr>
              <w:snapToGrid w:val="0"/>
              <w:rPr>
                <w:rFonts w:ascii="仿宋" w:hAnsi="仿宋" w:eastAsia="仿宋" w:cs="仿宋"/>
                <w:szCs w:val="21"/>
              </w:rPr>
            </w:pPr>
            <w:r>
              <w:rPr>
                <w:rFonts w:hint="eastAsia" w:ascii="仿宋" w:hAnsi="仿宋" w:eastAsia="仿宋" w:cs="仿宋"/>
                <w:szCs w:val="21"/>
              </w:rPr>
              <w:t>专项债券收支、还本付息及专项收入纳入政府性基金预算管理情况（3分）</w:t>
            </w:r>
          </w:p>
        </w:tc>
        <w:tc>
          <w:tcPr>
            <w:tcW w:w="1120" w:type="dxa"/>
            <w:tcBorders>
              <w:right w:val="single" w:color="auto" w:sz="12" w:space="0"/>
            </w:tcBorders>
            <w:shd w:val="clear" w:color="auto" w:fill="auto"/>
            <w:vAlign w:val="center"/>
          </w:tcPr>
          <w:p>
            <w:pPr>
              <w:snapToGrid w:val="0"/>
              <w:jc w:val="center"/>
              <w:rPr>
                <w:rFonts w:ascii="仿宋" w:hAnsi="仿宋" w:eastAsia="仿宋" w:cs="仿宋"/>
                <w:szCs w:val="21"/>
              </w:rPr>
            </w:pPr>
            <w:r>
              <w:rPr>
                <w:rFonts w:ascii="仿宋" w:hAnsi="仿宋" w:eastAsia="仿宋" w:cs="仿宋"/>
                <w:szCs w:val="21"/>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vMerge w:val="restart"/>
            <w:shd w:val="clear" w:color="auto" w:fill="auto"/>
            <w:vAlign w:val="center"/>
          </w:tcPr>
          <w:p>
            <w:pPr>
              <w:rPr>
                <w:rFonts w:ascii="仿宋" w:hAnsi="仿宋" w:eastAsia="仿宋" w:cs="仿宋"/>
                <w:szCs w:val="21"/>
              </w:rPr>
            </w:pPr>
            <w:r>
              <w:rPr>
                <w:rFonts w:hint="eastAsia" w:ascii="仿宋" w:hAnsi="仿宋" w:eastAsia="仿宋" w:cs="仿宋"/>
                <w:szCs w:val="21"/>
              </w:rPr>
              <w:t>拨付与进度匹配性（4分）</w:t>
            </w: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资金到位率（实际到位资金/预算资金×100%）（2分）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vMerge w:val="continue"/>
            <w:shd w:val="clear" w:color="auto" w:fill="auto"/>
            <w:vAlign w:val="center"/>
          </w:tcPr>
          <w:p>
            <w:pPr>
              <w:rPr>
                <w:rFonts w:ascii="仿宋" w:hAnsi="仿宋" w:eastAsia="仿宋" w:cs="仿宋"/>
                <w:szCs w:val="21"/>
              </w:rPr>
            </w:pP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预算执行率(实际支出资金/实际到位资金×100%)(2分)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1.5</w:t>
            </w:r>
            <w:r>
              <w:rPr>
                <w:rFonts w:hint="eastAsia" w:ascii="仿宋" w:hAnsi="仿宋" w:eastAsia="仿宋" w:cs="仿宋"/>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shd w:val="clear" w:color="auto" w:fill="auto"/>
            <w:vAlign w:val="center"/>
          </w:tcPr>
          <w:p>
            <w:pPr>
              <w:rPr>
                <w:rFonts w:ascii="仿宋" w:hAnsi="仿宋" w:eastAsia="仿宋" w:cs="仿宋"/>
                <w:szCs w:val="21"/>
              </w:rPr>
            </w:pPr>
            <w:r>
              <w:rPr>
                <w:rFonts w:hint="eastAsia" w:ascii="仿宋" w:hAnsi="仿宋" w:eastAsia="仿宋" w:cs="仿宋"/>
                <w:szCs w:val="21"/>
              </w:rPr>
              <w:t>债券资金使用情况（5分）</w:t>
            </w: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资金使用合规性（5分）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hint="eastAsia" w:ascii="仿宋" w:hAnsi="仿宋" w:eastAsia="仿宋" w:cs="仿宋"/>
                <w:szCs w:val="21"/>
              </w:rPr>
              <w:t>5</w:t>
            </w:r>
            <w:r>
              <w:rPr>
                <w:rFonts w:ascii="仿宋" w:hAnsi="仿宋" w:eastAsia="仿宋" w:cs="仿宋"/>
                <w:szCs w:val="21"/>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shd w:val="clear" w:color="auto" w:fill="auto"/>
            <w:vAlign w:val="center"/>
          </w:tcPr>
          <w:p>
            <w:pPr>
              <w:rPr>
                <w:rFonts w:ascii="仿宋" w:hAnsi="仿宋" w:eastAsia="仿宋" w:cs="仿宋"/>
                <w:szCs w:val="21"/>
              </w:rPr>
            </w:pPr>
            <w:r>
              <w:rPr>
                <w:rFonts w:hint="eastAsia" w:ascii="仿宋" w:hAnsi="仿宋" w:eastAsia="仿宋" w:cs="仿宋"/>
                <w:szCs w:val="21"/>
              </w:rPr>
              <w:t>本息偿还（2分）</w:t>
            </w: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专项债券本息偿还计划执行情况（2分）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shd w:val="clear" w:color="auto" w:fill="auto"/>
            <w:vAlign w:val="center"/>
          </w:tcPr>
          <w:p>
            <w:pPr>
              <w:rPr>
                <w:rFonts w:ascii="仿宋" w:hAnsi="仿宋" w:eastAsia="仿宋" w:cs="仿宋"/>
                <w:szCs w:val="21"/>
              </w:rPr>
            </w:pPr>
            <w:r>
              <w:rPr>
                <w:rFonts w:hint="eastAsia" w:ascii="仿宋" w:hAnsi="仿宋" w:eastAsia="仿宋" w:cs="仿宋"/>
                <w:szCs w:val="21"/>
              </w:rPr>
              <w:t>预期收益匹配性（3分）</w:t>
            </w: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项目全生命周期预期收益与专项债券规模匹配程度（3分）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hint="eastAsia" w:ascii="仿宋" w:hAnsi="仿宋" w:eastAsia="仿宋" w:cs="仿宋"/>
                <w:szCs w:val="21"/>
              </w:rPr>
              <w:t>3</w:t>
            </w:r>
            <w:r>
              <w:rPr>
                <w:rFonts w:ascii="仿宋" w:hAnsi="仿宋" w:eastAsia="仿宋" w:cs="仿宋"/>
                <w:szCs w:val="21"/>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shd w:val="clear" w:color="auto" w:fill="auto"/>
            <w:vAlign w:val="center"/>
          </w:tcPr>
          <w:p>
            <w:pPr>
              <w:rPr>
                <w:rFonts w:ascii="仿宋" w:hAnsi="仿宋" w:eastAsia="仿宋" w:cs="仿宋"/>
                <w:szCs w:val="21"/>
              </w:rPr>
            </w:pPr>
            <w:r>
              <w:rPr>
                <w:rFonts w:hint="eastAsia" w:ascii="仿宋" w:hAnsi="仿宋" w:eastAsia="仿宋" w:cs="仿宋"/>
                <w:szCs w:val="21"/>
              </w:rPr>
              <w:t>项目期限匹配性（3分）</w:t>
            </w: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专项债券期限与项目期限匹配情况（3分）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hint="eastAsia" w:ascii="仿宋" w:hAnsi="仿宋" w:eastAsia="仿宋" w:cs="仿宋"/>
                <w:szCs w:val="21"/>
              </w:rPr>
              <w:t>3</w:t>
            </w:r>
            <w:r>
              <w:rPr>
                <w:rFonts w:ascii="仿宋" w:hAnsi="仿宋" w:eastAsia="仿宋" w:cs="仿宋"/>
                <w:szCs w:val="21"/>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vMerge w:val="restart"/>
            <w:shd w:val="clear" w:color="auto" w:fill="auto"/>
            <w:vAlign w:val="center"/>
          </w:tcPr>
          <w:p>
            <w:pPr>
              <w:rPr>
                <w:rFonts w:ascii="仿宋" w:hAnsi="仿宋" w:eastAsia="仿宋" w:cs="仿宋"/>
                <w:szCs w:val="21"/>
              </w:rPr>
            </w:pPr>
            <w:r>
              <w:rPr>
                <w:rFonts w:hint="eastAsia" w:ascii="仿宋" w:hAnsi="仿宋" w:eastAsia="仿宋" w:cs="仿宋"/>
                <w:szCs w:val="21"/>
              </w:rPr>
              <w:t>其他管理情况（5分）</w:t>
            </w: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管理制度健全性（2分）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vMerge w:val="continue"/>
            <w:shd w:val="clear" w:color="auto" w:fill="auto"/>
            <w:vAlign w:val="center"/>
          </w:tcPr>
          <w:p>
            <w:pPr>
              <w:rPr>
                <w:rFonts w:ascii="仿宋" w:hAnsi="仿宋" w:eastAsia="仿宋" w:cs="仿宋"/>
                <w:szCs w:val="21"/>
              </w:rPr>
            </w:pP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管理制度执行有效性（2分）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exact"/>
        </w:trPr>
        <w:tc>
          <w:tcPr>
            <w:tcW w:w="1203" w:type="dxa"/>
            <w:vMerge w:val="continue"/>
            <w:tcBorders>
              <w:left w:val="single" w:color="auto" w:sz="12" w:space="0"/>
            </w:tcBorders>
            <w:shd w:val="clear" w:color="auto" w:fill="auto"/>
            <w:vAlign w:val="center"/>
          </w:tcPr>
          <w:p>
            <w:pPr>
              <w:jc w:val="center"/>
              <w:rPr>
                <w:rFonts w:ascii="仿宋" w:hAnsi="仿宋" w:eastAsia="仿宋" w:cs="仿宋"/>
                <w:szCs w:val="21"/>
              </w:rPr>
            </w:pPr>
          </w:p>
        </w:tc>
        <w:tc>
          <w:tcPr>
            <w:tcW w:w="2483" w:type="dxa"/>
            <w:vMerge w:val="continue"/>
            <w:shd w:val="clear" w:color="auto" w:fill="auto"/>
            <w:vAlign w:val="center"/>
          </w:tcPr>
          <w:p>
            <w:pPr>
              <w:rPr>
                <w:rFonts w:ascii="仿宋" w:hAnsi="仿宋" w:eastAsia="仿宋" w:cs="仿宋"/>
                <w:szCs w:val="21"/>
              </w:rPr>
            </w:pPr>
          </w:p>
        </w:tc>
        <w:tc>
          <w:tcPr>
            <w:tcW w:w="4143" w:type="dxa"/>
            <w:shd w:val="clear" w:color="auto" w:fill="auto"/>
            <w:vAlign w:val="center"/>
          </w:tcPr>
          <w:p>
            <w:pPr>
              <w:rPr>
                <w:rFonts w:ascii="仿宋" w:hAnsi="仿宋" w:eastAsia="仿宋" w:cs="仿宋"/>
                <w:szCs w:val="21"/>
              </w:rPr>
            </w:pPr>
            <w:r>
              <w:rPr>
                <w:rFonts w:hint="eastAsia" w:ascii="仿宋" w:hAnsi="仿宋" w:eastAsia="仿宋" w:cs="仿宋"/>
                <w:szCs w:val="21"/>
              </w:rPr>
              <w:t>政府采购执行情况（1分）</w:t>
            </w:r>
          </w:p>
        </w:tc>
        <w:tc>
          <w:tcPr>
            <w:tcW w:w="1120" w:type="dxa"/>
            <w:tcBorders>
              <w:right w:val="single" w:color="auto" w:sz="12" w:space="0"/>
            </w:tcBorders>
            <w:shd w:val="clear" w:color="auto" w:fill="auto"/>
            <w:vAlign w:val="center"/>
          </w:tcPr>
          <w:p>
            <w:pPr>
              <w:jc w:val="center"/>
              <w:rPr>
                <w:rFonts w:ascii="仿宋" w:hAnsi="仿宋" w:eastAsia="仿宋" w:cs="仿宋"/>
                <w:szCs w:val="21"/>
              </w:rPr>
            </w:pPr>
            <w:r>
              <w:rPr>
                <w:rFonts w:ascii="仿宋" w:hAnsi="仿宋" w:eastAsia="仿宋" w:cs="仿宋"/>
                <w:szCs w:val="21"/>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exact"/>
        </w:trPr>
        <w:tc>
          <w:tcPr>
            <w:tcW w:w="7829" w:type="dxa"/>
            <w:gridSpan w:val="3"/>
            <w:tcBorders>
              <w:left w:val="single" w:color="auto" w:sz="12" w:space="0"/>
              <w:bottom w:val="single" w:color="auto" w:sz="12" w:space="0"/>
            </w:tcBorders>
            <w:shd w:val="clear" w:color="auto" w:fill="auto"/>
            <w:vAlign w:val="center"/>
          </w:tcPr>
          <w:p>
            <w:pPr>
              <w:jc w:val="center"/>
              <w:rPr>
                <w:rFonts w:ascii="仿宋" w:hAnsi="仿宋" w:eastAsia="仿宋" w:cs="仿宋"/>
                <w:szCs w:val="21"/>
              </w:rPr>
            </w:pPr>
            <w:r>
              <w:rPr>
                <w:rFonts w:hint="eastAsia" w:ascii="仿宋" w:hAnsi="仿宋" w:eastAsia="仿宋" w:cs="仿宋"/>
                <w:szCs w:val="21"/>
              </w:rPr>
              <w:t>合计</w:t>
            </w:r>
          </w:p>
        </w:tc>
        <w:tc>
          <w:tcPr>
            <w:tcW w:w="1120" w:type="dxa"/>
            <w:tcBorders>
              <w:bottom w:val="single" w:color="auto" w:sz="12" w:space="0"/>
              <w:right w:val="single" w:color="auto" w:sz="12" w:space="0"/>
            </w:tcBorders>
            <w:shd w:val="clear" w:color="auto" w:fill="auto"/>
            <w:vAlign w:val="center"/>
          </w:tcPr>
          <w:p>
            <w:pPr>
              <w:jc w:val="center"/>
              <w:rPr>
                <w:rFonts w:ascii="仿宋" w:hAnsi="仿宋" w:eastAsia="仿宋" w:cs="仿宋"/>
                <w:szCs w:val="21"/>
              </w:rPr>
            </w:pPr>
            <w:r>
              <w:rPr>
                <w:rFonts w:hint="eastAsia" w:ascii="仿宋" w:hAnsi="仿宋" w:eastAsia="仿宋" w:cs="仿宋"/>
                <w:szCs w:val="21"/>
              </w:rPr>
              <w:t>24.51</w:t>
            </w:r>
          </w:p>
        </w:tc>
      </w:tr>
    </w:tbl>
    <w:p>
      <w:pPr>
        <w:spacing w:line="560" w:lineRule="exact"/>
        <w:ind w:firstLine="640" w:firstLineChars="200"/>
        <w:rPr>
          <w:rFonts w:ascii="仿宋" w:hAnsi="仿宋" w:eastAsia="仿宋"/>
          <w:sz w:val="32"/>
          <w:szCs w:val="32"/>
        </w:rPr>
      </w:pPr>
      <w:r>
        <w:rPr>
          <w:rFonts w:hint="eastAsia" w:ascii="仿宋" w:hAnsi="仿宋" w:eastAsia="仿宋"/>
          <w:sz w:val="32"/>
          <w:szCs w:val="32"/>
        </w:rPr>
        <w:t>1.预算管理情况（满分3分，得3分）。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专项债券收支、还本付息及专项收入纳入政府性基金预算管理情况（3分）。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经查阅相关资料，确认专项债券收支、还本付息及专项收入均纳入政府性基金预算管理，得3分。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2.拨付与进度匹配性（满分4分，得3.51分）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（1）资金到位率（2分）。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根据石家庄市财政局《关于批复2022年第二批新增政府债券预算调整事项的通知》（石财预〔2022〕31号）批复五项工程政府专项债券预算，专项债券资金全部到位，得2分。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（2）预算执行率（2分）。</w:t>
      </w:r>
    </w:p>
    <w:p>
      <w:pPr>
        <w:spacing w:line="560" w:lineRule="exact"/>
        <w:ind w:firstLine="640" w:firstLineChars="200"/>
        <w:rPr>
          <w:rFonts w:ascii="仿宋" w:hAnsi="仿宋" w:eastAsia="仿宋"/>
          <w:sz w:val="32"/>
          <w:szCs w:val="32"/>
          <w:highlight w:val="yellow"/>
        </w:rPr>
      </w:pPr>
      <w:r>
        <w:rPr>
          <w:rFonts w:hint="eastAsia" w:ascii="仿宋" w:hAnsi="仿宋" w:eastAsia="仿宋"/>
          <w:sz w:val="32"/>
          <w:szCs w:val="32"/>
        </w:rPr>
        <w:t>五项工程专项债券资金到位</w:t>
      </w:r>
      <w:r>
        <w:rPr>
          <w:rFonts w:ascii="仿宋" w:hAnsi="仿宋" w:eastAsia="仿宋"/>
          <w:sz w:val="32"/>
          <w:szCs w:val="32"/>
        </w:rPr>
        <w:t>56,700.00万元</w:t>
      </w:r>
      <w:r>
        <w:rPr>
          <w:rFonts w:hint="eastAsia" w:ascii="仿宋" w:hAnsi="仿宋" w:eastAsia="仿宋"/>
          <w:sz w:val="32"/>
          <w:szCs w:val="32"/>
        </w:rPr>
        <w:t>，截至2</w:t>
      </w:r>
      <w:r>
        <w:rPr>
          <w:rFonts w:ascii="仿宋" w:hAnsi="仿宋" w:eastAsia="仿宋"/>
          <w:sz w:val="32"/>
          <w:szCs w:val="32"/>
        </w:rPr>
        <w:t>022</w:t>
      </w:r>
      <w:r>
        <w:rPr>
          <w:rFonts w:hint="eastAsia" w:ascii="仿宋" w:hAnsi="仿宋" w:eastAsia="仿宋"/>
          <w:sz w:val="32"/>
          <w:szCs w:val="32"/>
        </w:rPr>
        <w:t>年末实际支出</w:t>
      </w:r>
      <w:r>
        <w:rPr>
          <w:rFonts w:ascii="仿宋" w:hAnsi="仿宋" w:eastAsia="仿宋"/>
          <w:sz w:val="32"/>
          <w:szCs w:val="32"/>
        </w:rPr>
        <w:t>42,813.4</w:t>
      </w:r>
      <w:r>
        <w:rPr>
          <w:rFonts w:hint="eastAsia" w:ascii="仿宋" w:hAnsi="仿宋" w:eastAsia="仿宋"/>
          <w:sz w:val="32"/>
          <w:szCs w:val="32"/>
        </w:rPr>
        <w:t>4万元，预算执行率75.51%，余款待项目评审或审计后再支付。得分为75.51%</w:t>
      </w:r>
      <w:r>
        <w:rPr>
          <w:rFonts w:ascii="Arial" w:hAnsi="Arial" w:eastAsia="仿宋" w:cs="Arial"/>
          <w:sz w:val="32"/>
          <w:szCs w:val="32"/>
        </w:rPr>
        <w:t>×</w:t>
      </w:r>
      <w:r>
        <w:rPr>
          <w:rFonts w:hint="eastAsia" w:ascii="仿宋" w:hAnsi="仿宋" w:eastAsia="仿宋"/>
          <w:sz w:val="32"/>
          <w:szCs w:val="32"/>
        </w:rPr>
        <w:t>2分=1.51分，扣0.49分。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3.债券资金使用情况（满分5分，得5分）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资金使用合规性（5分）。该指标主要评价债券资金是否存在虚列（套取）、截留、挤占、挪用、超标准开支及支出等不合规情况。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评价组通过查看党组织会议纪要、工程结算审核定案表、合同、发票、单位支付申请单，均按照相关程序审批后支付，不存在虚列（套取）、截留、挤占、挪用的情况，资金使用合规，得5分。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4.本息偿还（满分2分，得2分）。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专项债券本息偿还计划执行情况（2分）。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经了解，已按照《实施方案》计划偿还2022年债券利息，当年不需偿还本金，得2分。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5.预期收益匹配性（满分3分，得3分）。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项目全生命周期预期收益与专项债券规模匹配程度（3分）。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通过查看《实施方案》及《财务评估咨询报告》，项目预计净收益149,859.87万元，债券本息88,466.00万元，预期收益能够覆盖债券本息，得3分。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6.项目期限匹配性（满分3分，得3分）。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专项债券期限与项目期限匹配情况（3分）。主要评价项目预计收益期限是否能够涵盖债券的偿还期限。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经查看《实施方案》及《财务评估咨询报告》，项目预计收益期限为15年，能够涵盖专项债券偿还期限，得3分。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7.其他管理情况（满分5分，得5分）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（1）管理制度健全性（2分）。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市城管局制定《项目资金管理规定》、《机关经费支出审批管理规定》等制度。以上制度对项目申报（请）、资金管理使用、绩效评价、资金监督均作出详细规定。得2分。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（2）管理制度执行有效性（2分）。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市城管局依照《项目资金管理规定》、《机关经费支出审批管理规定》等制度进行专项资金的使用和管理，得2分。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（3）政府采购执行情况（1分）。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招标方案和不招标申请表经过了市行政审批局核准，市城管局按照核准表对设计、建筑安装、勘察、监理进行了公开招标。资料齐全，遵守政府采购相关政策规定，得1分。</w:t>
      </w:r>
    </w:p>
    <w:bookmarkEnd w:id="12"/>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sz w:val="28"/>
          <w:szCs w:val="28"/>
        </w:rPr>
      </w:pPr>
      <w:bookmarkStart w:id="13" w:name="_Toc27158"/>
      <w:r>
        <w:rPr>
          <w:rFonts w:hint="eastAsia" w:ascii="楷体" w:hAnsi="楷体" w:eastAsia="楷体" w:cs="楷体"/>
          <w:sz w:val="32"/>
          <w:szCs w:val="32"/>
        </w:rPr>
        <w:t>（三）产出情况（满分25分，得分1</w:t>
      </w:r>
      <w:r>
        <w:rPr>
          <w:rFonts w:hint="eastAsia" w:ascii="楷体" w:hAnsi="楷体" w:eastAsia="楷体" w:cs="楷体"/>
          <w:sz w:val="32"/>
          <w:szCs w:val="32"/>
          <w:lang w:val="en-US" w:eastAsia="zh-CN"/>
        </w:rPr>
        <w:t>5</w:t>
      </w:r>
      <w:r>
        <w:rPr>
          <w:rFonts w:hint="eastAsia" w:ascii="楷体" w:hAnsi="楷体" w:eastAsia="楷体" w:cs="楷体"/>
          <w:sz w:val="32"/>
          <w:szCs w:val="32"/>
        </w:rPr>
        <w:t>分）</w:t>
      </w: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eastAsia" w:ascii="黑体" w:hAnsi="黑体" w:eastAsia="黑体" w:cs="黑体"/>
          <w:sz w:val="28"/>
          <w:szCs w:val="28"/>
        </w:rPr>
      </w:pP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ascii="黑体" w:hAnsi="黑体" w:eastAsia="黑体" w:cs="黑体"/>
          <w:sz w:val="28"/>
          <w:szCs w:val="28"/>
        </w:rPr>
      </w:pPr>
      <w:r>
        <w:rPr>
          <w:rFonts w:hint="eastAsia" w:ascii="黑体" w:hAnsi="黑体" w:eastAsia="黑体" w:cs="黑体"/>
          <w:sz w:val="28"/>
          <w:szCs w:val="28"/>
        </w:rPr>
        <w:t>表4：产出情况绩效评价得分表</w:t>
      </w:r>
    </w:p>
    <w:tbl>
      <w:tblPr>
        <w:tblStyle w:val="12"/>
        <w:tblW w:w="8879" w:type="dxa"/>
        <w:tblInd w:w="1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4"/>
        <w:gridCol w:w="2835"/>
        <w:gridCol w:w="3203"/>
        <w:gridCol w:w="14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trPr>
        <w:tc>
          <w:tcPr>
            <w:tcW w:w="1404" w:type="dxa"/>
            <w:tcBorders>
              <w:top w:val="single" w:color="auto" w:sz="12" w:space="0"/>
              <w:left w:val="single" w:color="auto" w:sz="12" w:space="0"/>
            </w:tcBorders>
            <w:vAlign w:val="center"/>
          </w:tcPr>
          <w:p>
            <w:pPr>
              <w:snapToGrid w:val="0"/>
              <w:jc w:val="center"/>
              <w:rPr>
                <w:szCs w:val="21"/>
              </w:rPr>
            </w:pPr>
            <w:r>
              <w:rPr>
                <w:rFonts w:hint="eastAsia" w:ascii="仿宋" w:hAnsi="仿宋" w:eastAsia="仿宋" w:cs="仿宋"/>
                <w:szCs w:val="21"/>
              </w:rPr>
              <w:t>一级指标</w:t>
            </w:r>
          </w:p>
        </w:tc>
        <w:tc>
          <w:tcPr>
            <w:tcW w:w="2835" w:type="dxa"/>
            <w:tcBorders>
              <w:top w:val="single" w:color="auto" w:sz="12" w:space="0"/>
            </w:tcBorders>
            <w:vAlign w:val="center"/>
          </w:tcPr>
          <w:p>
            <w:pPr>
              <w:snapToGrid w:val="0"/>
              <w:jc w:val="center"/>
              <w:rPr>
                <w:szCs w:val="21"/>
              </w:rPr>
            </w:pPr>
            <w:r>
              <w:rPr>
                <w:rFonts w:hint="eastAsia" w:ascii="仿宋" w:hAnsi="仿宋" w:eastAsia="仿宋" w:cs="仿宋"/>
                <w:szCs w:val="21"/>
              </w:rPr>
              <w:t>二级指标</w:t>
            </w:r>
          </w:p>
        </w:tc>
        <w:tc>
          <w:tcPr>
            <w:tcW w:w="3203" w:type="dxa"/>
            <w:tcBorders>
              <w:top w:val="single" w:color="auto" w:sz="12" w:space="0"/>
            </w:tcBorders>
            <w:vAlign w:val="center"/>
          </w:tcPr>
          <w:p>
            <w:pPr>
              <w:snapToGrid w:val="0"/>
              <w:jc w:val="center"/>
              <w:rPr>
                <w:szCs w:val="21"/>
              </w:rPr>
            </w:pPr>
            <w:r>
              <w:rPr>
                <w:rFonts w:hint="eastAsia" w:ascii="仿宋" w:hAnsi="仿宋" w:eastAsia="仿宋" w:cs="仿宋"/>
                <w:szCs w:val="21"/>
              </w:rPr>
              <w:t>三级指标</w:t>
            </w:r>
          </w:p>
        </w:tc>
        <w:tc>
          <w:tcPr>
            <w:tcW w:w="1437" w:type="dxa"/>
            <w:tcBorders>
              <w:top w:val="single" w:color="auto" w:sz="12" w:space="0"/>
              <w:right w:val="single" w:color="auto" w:sz="12" w:space="0"/>
            </w:tcBorders>
            <w:vAlign w:val="center"/>
          </w:tcPr>
          <w:p>
            <w:pPr>
              <w:snapToGrid w:val="0"/>
              <w:jc w:val="center"/>
              <w:rPr>
                <w:szCs w:val="21"/>
              </w:rPr>
            </w:pPr>
            <w:r>
              <w:rPr>
                <w:rFonts w:hint="eastAsia" w:ascii="仿宋" w:hAnsi="仿宋" w:eastAsia="仿宋" w:cs="仿宋"/>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exact"/>
        </w:trPr>
        <w:tc>
          <w:tcPr>
            <w:tcW w:w="1404" w:type="dxa"/>
            <w:vMerge w:val="restart"/>
            <w:tcBorders>
              <w:lef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产出</w:t>
            </w:r>
          </w:p>
          <w:p>
            <w:pPr>
              <w:jc w:val="center"/>
              <w:rPr>
                <w:rFonts w:ascii="仿宋" w:hAnsi="仿宋" w:eastAsia="仿宋" w:cs="仿宋"/>
                <w:szCs w:val="21"/>
              </w:rPr>
            </w:pPr>
            <w:r>
              <w:rPr>
                <w:rFonts w:hint="eastAsia" w:ascii="仿宋" w:hAnsi="仿宋" w:eastAsia="仿宋" w:cs="仿宋"/>
                <w:szCs w:val="21"/>
              </w:rPr>
              <w:t>（25分）</w:t>
            </w:r>
          </w:p>
          <w:p>
            <w:pPr>
              <w:pStyle w:val="2"/>
              <w:ind w:firstLine="0" w:firstLineChars="0"/>
              <w:rPr>
                <w:rFonts w:ascii="仿宋" w:hAnsi="仿宋" w:eastAsia="仿宋" w:cs="仿宋"/>
                <w:szCs w:val="21"/>
              </w:rPr>
            </w:pPr>
          </w:p>
        </w:tc>
        <w:tc>
          <w:tcPr>
            <w:tcW w:w="2835" w:type="dxa"/>
            <w:vAlign w:val="center"/>
          </w:tcPr>
          <w:p>
            <w:pPr>
              <w:snapToGrid w:val="0"/>
              <w:rPr>
                <w:rFonts w:ascii="仿宋" w:hAnsi="仿宋" w:eastAsia="仿宋" w:cs="仿宋"/>
                <w:szCs w:val="21"/>
              </w:rPr>
            </w:pPr>
            <w:r>
              <w:rPr>
                <w:rFonts w:hint="eastAsia" w:ascii="仿宋" w:hAnsi="仿宋" w:eastAsia="仿宋" w:cs="仿宋"/>
                <w:szCs w:val="21"/>
              </w:rPr>
              <w:t>形成资产(4分）</w:t>
            </w:r>
          </w:p>
        </w:tc>
        <w:tc>
          <w:tcPr>
            <w:tcW w:w="3203" w:type="dxa"/>
            <w:vAlign w:val="center"/>
          </w:tcPr>
          <w:p>
            <w:pPr>
              <w:snapToGrid w:val="0"/>
              <w:rPr>
                <w:rFonts w:ascii="仿宋" w:hAnsi="仿宋" w:eastAsia="仿宋" w:cs="仿宋"/>
                <w:szCs w:val="21"/>
              </w:rPr>
            </w:pPr>
            <w:r>
              <w:rPr>
                <w:rFonts w:hint="eastAsia" w:ascii="仿宋" w:hAnsi="仿宋" w:eastAsia="仿宋" w:cs="仿宋"/>
                <w:szCs w:val="21"/>
              </w:rPr>
              <w:t>全部交付使用并形成固定资产（4分）</w:t>
            </w:r>
          </w:p>
        </w:tc>
        <w:tc>
          <w:tcPr>
            <w:tcW w:w="1437" w:type="dxa"/>
            <w:tcBorders>
              <w:righ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exact"/>
        </w:trPr>
        <w:tc>
          <w:tcPr>
            <w:tcW w:w="1404" w:type="dxa"/>
            <w:vMerge w:val="continue"/>
            <w:tcBorders>
              <w:left w:val="single" w:color="auto" w:sz="12" w:space="0"/>
            </w:tcBorders>
            <w:vAlign w:val="center"/>
          </w:tcPr>
          <w:p>
            <w:pPr>
              <w:jc w:val="center"/>
              <w:rPr>
                <w:rFonts w:ascii="仿宋" w:hAnsi="仿宋" w:eastAsia="仿宋" w:cs="仿宋"/>
                <w:szCs w:val="21"/>
              </w:rPr>
            </w:pPr>
          </w:p>
        </w:tc>
        <w:tc>
          <w:tcPr>
            <w:tcW w:w="2835" w:type="dxa"/>
            <w:vAlign w:val="center"/>
          </w:tcPr>
          <w:p>
            <w:pPr>
              <w:snapToGrid w:val="0"/>
              <w:rPr>
                <w:rFonts w:ascii="仿宋" w:hAnsi="仿宋" w:eastAsia="仿宋" w:cs="仿宋"/>
                <w:szCs w:val="21"/>
              </w:rPr>
            </w:pPr>
            <w:r>
              <w:rPr>
                <w:rFonts w:hint="eastAsia" w:ascii="仿宋" w:hAnsi="仿宋" w:eastAsia="仿宋" w:cs="仿宋"/>
                <w:szCs w:val="21"/>
              </w:rPr>
              <w:t>建设质量(6分）</w:t>
            </w:r>
          </w:p>
        </w:tc>
        <w:tc>
          <w:tcPr>
            <w:tcW w:w="3203" w:type="dxa"/>
            <w:vAlign w:val="center"/>
          </w:tcPr>
          <w:p>
            <w:pPr>
              <w:snapToGrid w:val="0"/>
              <w:rPr>
                <w:rFonts w:ascii="仿宋" w:hAnsi="仿宋" w:eastAsia="仿宋" w:cs="仿宋"/>
                <w:szCs w:val="21"/>
              </w:rPr>
            </w:pPr>
            <w:r>
              <w:rPr>
                <w:rFonts w:hint="eastAsia" w:ascii="仿宋" w:hAnsi="仿宋" w:eastAsia="仿宋" w:cs="仿宋"/>
                <w:szCs w:val="21"/>
              </w:rPr>
              <w:t>工程验收合格情况（</w:t>
            </w:r>
            <w:r>
              <w:rPr>
                <w:rFonts w:ascii="仿宋" w:hAnsi="仿宋" w:eastAsia="仿宋" w:cs="仿宋"/>
                <w:szCs w:val="21"/>
              </w:rPr>
              <w:t>6</w:t>
            </w:r>
            <w:r>
              <w:rPr>
                <w:rFonts w:hint="eastAsia" w:ascii="仿宋" w:hAnsi="仿宋" w:eastAsia="仿宋" w:cs="仿宋"/>
                <w:szCs w:val="21"/>
              </w:rPr>
              <w:t>分）</w:t>
            </w:r>
          </w:p>
        </w:tc>
        <w:tc>
          <w:tcPr>
            <w:tcW w:w="1437" w:type="dxa"/>
            <w:tcBorders>
              <w:righ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lang w:val="en-US" w:eastAsia="zh-CN"/>
              </w:rPr>
              <w:t>2</w:t>
            </w:r>
            <w:r>
              <w:rPr>
                <w:rFonts w:hint="eastAsia" w:ascii="仿宋" w:hAnsi="仿宋" w:eastAsia="仿宋" w:cs="仿宋"/>
                <w:szCs w:val="21"/>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exact"/>
        </w:trPr>
        <w:tc>
          <w:tcPr>
            <w:tcW w:w="1404" w:type="dxa"/>
            <w:vMerge w:val="continue"/>
            <w:tcBorders>
              <w:left w:val="single" w:color="auto" w:sz="12" w:space="0"/>
            </w:tcBorders>
            <w:vAlign w:val="center"/>
          </w:tcPr>
          <w:p>
            <w:pPr>
              <w:jc w:val="center"/>
              <w:rPr>
                <w:rFonts w:ascii="仿宋" w:hAnsi="仿宋" w:eastAsia="仿宋" w:cs="仿宋"/>
                <w:szCs w:val="21"/>
              </w:rPr>
            </w:pPr>
          </w:p>
        </w:tc>
        <w:tc>
          <w:tcPr>
            <w:tcW w:w="2835" w:type="dxa"/>
            <w:vAlign w:val="center"/>
          </w:tcPr>
          <w:p>
            <w:pPr>
              <w:snapToGrid w:val="0"/>
              <w:rPr>
                <w:rFonts w:ascii="仿宋" w:hAnsi="仿宋" w:eastAsia="仿宋" w:cs="仿宋"/>
                <w:szCs w:val="21"/>
              </w:rPr>
            </w:pPr>
            <w:r>
              <w:rPr>
                <w:rFonts w:hint="eastAsia" w:ascii="仿宋" w:hAnsi="仿宋" w:eastAsia="仿宋" w:cs="仿宋"/>
                <w:szCs w:val="21"/>
              </w:rPr>
              <w:t>建设进度(6分）</w:t>
            </w:r>
          </w:p>
        </w:tc>
        <w:tc>
          <w:tcPr>
            <w:tcW w:w="3203" w:type="dxa"/>
            <w:vAlign w:val="center"/>
          </w:tcPr>
          <w:p>
            <w:pPr>
              <w:snapToGrid w:val="0"/>
              <w:rPr>
                <w:rFonts w:ascii="仿宋" w:hAnsi="仿宋" w:eastAsia="仿宋" w:cs="仿宋"/>
                <w:szCs w:val="21"/>
              </w:rPr>
            </w:pPr>
            <w:r>
              <w:rPr>
                <w:rFonts w:hint="eastAsia" w:ascii="仿宋" w:hAnsi="仿宋" w:eastAsia="仿宋" w:cs="仿宋"/>
                <w:szCs w:val="21"/>
              </w:rPr>
              <w:t>项目完工、验收、交付使用的情况（6分）</w:t>
            </w:r>
          </w:p>
        </w:tc>
        <w:tc>
          <w:tcPr>
            <w:tcW w:w="1437" w:type="dxa"/>
            <w:tcBorders>
              <w:right w:val="single" w:color="auto" w:sz="12" w:space="0"/>
            </w:tcBorders>
            <w:vAlign w:val="center"/>
          </w:tcPr>
          <w:p>
            <w:pPr>
              <w:widowControl/>
              <w:jc w:val="center"/>
              <w:textAlignment w:val="center"/>
              <w:rPr>
                <w:rFonts w:ascii="仿宋" w:hAnsi="仿宋" w:eastAsia="仿宋" w:cs="宋体"/>
                <w:color w:val="000000"/>
                <w:kern w:val="0"/>
                <w:szCs w:val="21"/>
              </w:rPr>
            </w:pPr>
            <w:r>
              <w:rPr>
                <w:rFonts w:hint="eastAsia" w:ascii="仿宋" w:hAnsi="仿宋" w:eastAsia="仿宋" w:cs="宋体"/>
                <w:color w:val="000000"/>
                <w:kern w:val="0"/>
                <w:szCs w:val="21"/>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exact"/>
        </w:trPr>
        <w:tc>
          <w:tcPr>
            <w:tcW w:w="1404" w:type="dxa"/>
            <w:vMerge w:val="continue"/>
            <w:tcBorders>
              <w:left w:val="single" w:color="auto" w:sz="12" w:space="0"/>
            </w:tcBorders>
            <w:vAlign w:val="center"/>
          </w:tcPr>
          <w:p>
            <w:pPr>
              <w:jc w:val="center"/>
              <w:rPr>
                <w:rFonts w:ascii="仿宋" w:hAnsi="仿宋" w:eastAsia="仿宋" w:cs="仿宋"/>
                <w:szCs w:val="21"/>
              </w:rPr>
            </w:pPr>
          </w:p>
        </w:tc>
        <w:tc>
          <w:tcPr>
            <w:tcW w:w="2835" w:type="dxa"/>
            <w:vAlign w:val="center"/>
          </w:tcPr>
          <w:p>
            <w:pPr>
              <w:snapToGrid w:val="0"/>
              <w:rPr>
                <w:rFonts w:ascii="仿宋" w:hAnsi="仿宋" w:eastAsia="仿宋" w:cs="仿宋"/>
                <w:szCs w:val="21"/>
              </w:rPr>
            </w:pPr>
            <w:r>
              <w:rPr>
                <w:rFonts w:hint="eastAsia" w:ascii="仿宋" w:hAnsi="仿宋" w:eastAsia="仿宋" w:cs="仿宋"/>
                <w:szCs w:val="21"/>
              </w:rPr>
              <w:t>建设成本(5分）</w:t>
            </w:r>
          </w:p>
        </w:tc>
        <w:tc>
          <w:tcPr>
            <w:tcW w:w="3203" w:type="dxa"/>
            <w:vAlign w:val="center"/>
          </w:tcPr>
          <w:p>
            <w:pPr>
              <w:snapToGrid w:val="0"/>
              <w:rPr>
                <w:rFonts w:ascii="仿宋" w:hAnsi="仿宋" w:eastAsia="仿宋" w:cs="仿宋"/>
                <w:szCs w:val="21"/>
              </w:rPr>
            </w:pPr>
            <w:r>
              <w:rPr>
                <w:rFonts w:hint="eastAsia" w:ascii="仿宋" w:hAnsi="仿宋" w:eastAsia="仿宋" w:cs="仿宋"/>
                <w:szCs w:val="21"/>
              </w:rPr>
              <w:t>成本控制情况（5分）</w:t>
            </w:r>
          </w:p>
        </w:tc>
        <w:tc>
          <w:tcPr>
            <w:tcW w:w="1437" w:type="dxa"/>
            <w:tcBorders>
              <w:right w:val="single" w:color="auto" w:sz="12" w:space="0"/>
            </w:tcBorders>
            <w:vAlign w:val="center"/>
          </w:tcPr>
          <w:p>
            <w:pPr>
              <w:widowControl/>
              <w:jc w:val="center"/>
              <w:textAlignment w:val="center"/>
              <w:rPr>
                <w:rFonts w:ascii="仿宋" w:hAnsi="仿宋" w:eastAsia="仿宋" w:cs="宋体"/>
                <w:color w:val="000000"/>
                <w:kern w:val="0"/>
                <w:szCs w:val="21"/>
              </w:rPr>
            </w:pPr>
            <w:r>
              <w:rPr>
                <w:rFonts w:hint="eastAsia" w:ascii="仿宋" w:hAnsi="仿宋" w:eastAsia="仿宋" w:cs="宋体"/>
                <w:color w:val="000000"/>
                <w:kern w:val="0"/>
                <w:szCs w:val="21"/>
              </w:rPr>
              <w:t>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exact"/>
        </w:trPr>
        <w:tc>
          <w:tcPr>
            <w:tcW w:w="1404" w:type="dxa"/>
            <w:vMerge w:val="continue"/>
            <w:tcBorders>
              <w:left w:val="single" w:color="auto" w:sz="12" w:space="0"/>
            </w:tcBorders>
            <w:vAlign w:val="center"/>
          </w:tcPr>
          <w:p>
            <w:pPr>
              <w:pStyle w:val="2"/>
              <w:ind w:firstLine="0" w:firstLineChars="0"/>
              <w:rPr>
                <w:rFonts w:ascii="仿宋" w:hAnsi="仿宋" w:eastAsia="仿宋" w:cs="仿宋"/>
                <w:szCs w:val="21"/>
              </w:rPr>
            </w:pPr>
          </w:p>
        </w:tc>
        <w:tc>
          <w:tcPr>
            <w:tcW w:w="2835" w:type="dxa"/>
            <w:vAlign w:val="center"/>
          </w:tcPr>
          <w:p>
            <w:pPr>
              <w:snapToGrid w:val="0"/>
              <w:rPr>
                <w:rFonts w:ascii="仿宋" w:hAnsi="仿宋" w:eastAsia="仿宋" w:cs="仿宋"/>
                <w:szCs w:val="21"/>
              </w:rPr>
            </w:pPr>
            <w:r>
              <w:rPr>
                <w:rFonts w:hint="eastAsia" w:ascii="仿宋" w:hAnsi="仿宋" w:eastAsia="仿宋" w:cs="仿宋"/>
                <w:szCs w:val="21"/>
              </w:rPr>
              <w:t>产出数量</w:t>
            </w:r>
            <w:r>
              <w:rPr>
                <w:rFonts w:ascii="仿宋" w:hAnsi="仿宋" w:eastAsia="仿宋" w:cs="仿宋"/>
                <w:szCs w:val="21"/>
              </w:rPr>
              <w:t>(</w:t>
            </w:r>
            <w:r>
              <w:rPr>
                <w:rFonts w:hint="eastAsia" w:ascii="仿宋" w:hAnsi="仿宋" w:eastAsia="仿宋" w:cs="仿宋"/>
                <w:szCs w:val="21"/>
              </w:rPr>
              <w:t>4</w:t>
            </w:r>
            <w:r>
              <w:rPr>
                <w:rFonts w:ascii="仿宋" w:hAnsi="仿宋" w:eastAsia="仿宋" w:cs="仿宋"/>
                <w:szCs w:val="21"/>
              </w:rPr>
              <w:t>分）</w:t>
            </w:r>
          </w:p>
        </w:tc>
        <w:tc>
          <w:tcPr>
            <w:tcW w:w="3203" w:type="dxa"/>
            <w:vAlign w:val="center"/>
          </w:tcPr>
          <w:p>
            <w:pPr>
              <w:snapToGrid w:val="0"/>
              <w:rPr>
                <w:rFonts w:ascii="仿宋" w:hAnsi="仿宋" w:eastAsia="仿宋" w:cs="仿宋"/>
                <w:szCs w:val="21"/>
              </w:rPr>
            </w:pPr>
            <w:r>
              <w:rPr>
                <w:rFonts w:hint="eastAsia" w:ascii="仿宋" w:hAnsi="仿宋" w:eastAsia="仿宋" w:cs="仿宋"/>
                <w:szCs w:val="21"/>
              </w:rPr>
              <w:t>项目建成后提供公共产品情况（4分）</w:t>
            </w:r>
          </w:p>
        </w:tc>
        <w:tc>
          <w:tcPr>
            <w:tcW w:w="1437" w:type="dxa"/>
            <w:tcBorders>
              <w:righ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exact"/>
        </w:trPr>
        <w:tc>
          <w:tcPr>
            <w:tcW w:w="7442" w:type="dxa"/>
            <w:gridSpan w:val="3"/>
            <w:tcBorders>
              <w:left w:val="single" w:color="auto" w:sz="12" w:space="0"/>
              <w:bottom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合计</w:t>
            </w:r>
          </w:p>
        </w:tc>
        <w:tc>
          <w:tcPr>
            <w:tcW w:w="1437" w:type="dxa"/>
            <w:tcBorders>
              <w:bottom w:val="single" w:color="auto" w:sz="12" w:space="0"/>
              <w:righ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1</w:t>
            </w:r>
            <w:r>
              <w:rPr>
                <w:rFonts w:hint="eastAsia" w:ascii="仿宋" w:hAnsi="仿宋" w:eastAsia="仿宋" w:cs="仿宋"/>
                <w:szCs w:val="21"/>
                <w:lang w:val="en-US" w:eastAsia="zh-CN"/>
              </w:rPr>
              <w:t>5</w:t>
            </w:r>
            <w:r>
              <w:rPr>
                <w:rFonts w:hint="eastAsia" w:ascii="仿宋" w:hAnsi="仿宋" w:eastAsia="仿宋" w:cs="仿宋"/>
                <w:szCs w:val="21"/>
              </w:rPr>
              <w:t>.</w:t>
            </w:r>
            <w:r>
              <w:rPr>
                <w:rFonts w:ascii="仿宋" w:hAnsi="仿宋" w:eastAsia="仿宋" w:cs="仿宋"/>
                <w:szCs w:val="21"/>
              </w:rPr>
              <w:t>0</w:t>
            </w:r>
            <w:r>
              <w:rPr>
                <w:rFonts w:hint="eastAsia" w:ascii="仿宋" w:hAnsi="仿宋" w:eastAsia="仿宋" w:cs="仿宋"/>
                <w:szCs w:val="21"/>
              </w:rPr>
              <w:t>0</w:t>
            </w:r>
          </w:p>
        </w:tc>
      </w:tr>
    </w:tbl>
    <w:p>
      <w:pPr>
        <w:spacing w:line="560" w:lineRule="exact"/>
        <w:ind w:firstLine="640" w:firstLineChars="200"/>
        <w:rPr>
          <w:rFonts w:ascii="仿宋" w:hAnsi="仿宋" w:eastAsia="仿宋"/>
          <w:sz w:val="32"/>
          <w:szCs w:val="32"/>
        </w:rPr>
      </w:pPr>
      <w:r>
        <w:rPr>
          <w:rFonts w:hint="eastAsia" w:ascii="仿宋" w:hAnsi="仿宋" w:eastAsia="仿宋"/>
          <w:sz w:val="32"/>
          <w:szCs w:val="32"/>
        </w:rPr>
        <w:t>1.形成资产（满分</w:t>
      </w:r>
      <w:r>
        <w:rPr>
          <w:rFonts w:ascii="仿宋" w:hAnsi="仿宋" w:eastAsia="仿宋"/>
          <w:sz w:val="32"/>
          <w:szCs w:val="32"/>
        </w:rPr>
        <w:t>4</w:t>
      </w:r>
      <w:r>
        <w:rPr>
          <w:rFonts w:hint="eastAsia" w:ascii="仿宋" w:hAnsi="仿宋" w:eastAsia="仿宋"/>
          <w:sz w:val="32"/>
          <w:szCs w:val="32"/>
        </w:rPr>
        <w:t>分，得0分）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全部交付使用并形成固定资产（</w:t>
      </w:r>
      <w:r>
        <w:rPr>
          <w:rFonts w:ascii="仿宋" w:hAnsi="仿宋" w:eastAsia="仿宋"/>
          <w:sz w:val="32"/>
          <w:szCs w:val="32"/>
        </w:rPr>
        <w:t>4</w:t>
      </w:r>
      <w:r>
        <w:rPr>
          <w:rFonts w:hint="eastAsia" w:ascii="仿宋" w:hAnsi="仿宋" w:eastAsia="仿宋"/>
          <w:sz w:val="32"/>
          <w:szCs w:val="32"/>
        </w:rPr>
        <w:t>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截至2022年底，五项工程均已交付使用，尚未办理竣工决算手续，应按照估计价值（送审金额）计入固定资产，但市城管局财务账面并未形成固定资产，扣</w:t>
      </w:r>
      <w:r>
        <w:rPr>
          <w:rFonts w:hint="eastAsia" w:ascii="仿宋" w:hAnsi="仿宋" w:eastAsia="仿宋"/>
          <w:sz w:val="32"/>
          <w:szCs w:val="32"/>
          <w:lang w:val="en-US" w:eastAsia="zh-CN"/>
        </w:rPr>
        <w:t>4</w:t>
      </w:r>
      <w:r>
        <w:rPr>
          <w:rFonts w:hint="eastAsia" w:ascii="仿宋" w:hAnsi="仿宋" w:eastAsia="仿宋"/>
          <w:sz w:val="32"/>
          <w:szCs w:val="32"/>
        </w:rPr>
        <w:t>分，得0分。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2.建设质量（满分</w:t>
      </w:r>
      <w:r>
        <w:rPr>
          <w:rFonts w:ascii="仿宋" w:hAnsi="仿宋" w:eastAsia="仿宋"/>
          <w:sz w:val="32"/>
          <w:szCs w:val="32"/>
        </w:rPr>
        <w:t>6</w:t>
      </w:r>
      <w:r>
        <w:rPr>
          <w:rFonts w:hint="eastAsia" w:ascii="仿宋" w:hAnsi="仿宋" w:eastAsia="仿宋"/>
          <w:sz w:val="32"/>
          <w:szCs w:val="32"/>
        </w:rPr>
        <w:t>分，得</w:t>
      </w:r>
      <w:r>
        <w:rPr>
          <w:rFonts w:hint="eastAsia" w:ascii="仿宋" w:hAnsi="仿宋" w:eastAsia="仿宋"/>
          <w:sz w:val="32"/>
          <w:szCs w:val="32"/>
          <w:lang w:val="en-US" w:eastAsia="zh-CN"/>
        </w:rPr>
        <w:t>2</w:t>
      </w:r>
      <w:r>
        <w:rPr>
          <w:rFonts w:hint="eastAsia" w:ascii="仿宋" w:hAnsi="仿宋" w:eastAsia="仿宋"/>
          <w:sz w:val="32"/>
          <w:szCs w:val="32"/>
        </w:rPr>
        <w:t>分）</w:t>
      </w:r>
    </w:p>
    <w:p>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工程验收合格情况（</w:t>
      </w:r>
      <w:r>
        <w:rPr>
          <w:rFonts w:ascii="仿宋" w:hAnsi="仿宋" w:eastAsia="仿宋"/>
          <w:sz w:val="32"/>
          <w:szCs w:val="32"/>
        </w:rPr>
        <w:t>6</w:t>
      </w:r>
      <w:r>
        <w:rPr>
          <w:rFonts w:hint="eastAsia" w:ascii="仿宋" w:hAnsi="仿宋" w:eastAsia="仿宋"/>
          <w:sz w:val="32"/>
          <w:szCs w:val="32"/>
        </w:rPr>
        <w:t>分）。</w:t>
      </w:r>
    </w:p>
    <w:p>
      <w:pPr>
        <w:spacing w:line="560" w:lineRule="exact"/>
        <w:ind w:firstLine="640" w:firstLineChars="200"/>
        <w:jc w:val="left"/>
        <w:rPr>
          <w:rFonts w:ascii="仿宋" w:hAnsi="仿宋" w:eastAsia="仿宋"/>
          <w:sz w:val="32"/>
          <w:szCs w:val="32"/>
          <w:u w:val="single"/>
        </w:rPr>
      </w:pPr>
      <w:r>
        <w:rPr>
          <w:rFonts w:hint="eastAsia" w:ascii="仿宋" w:hAnsi="仿宋" w:eastAsia="仿宋"/>
          <w:sz w:val="32"/>
          <w:szCs w:val="32"/>
        </w:rPr>
        <w:t>该五项工程于2022年11月底完工并交付使用，严格按照施工图设计进行施工，并由第三方监理单位进行监督，未发生质量及安全问题。验收移交证书中建设单位、勘察、设计、施工、监理五方已盖章确认达到验收状态，接收部门未盖章</w:t>
      </w:r>
      <w:r>
        <w:rPr>
          <w:rFonts w:hint="eastAsia" w:ascii="仿宋" w:hAnsi="仿宋" w:eastAsia="仿宋"/>
          <w:sz w:val="32"/>
          <w:szCs w:val="32"/>
          <w:lang w:eastAsia="zh-CN"/>
        </w:rPr>
        <w:t>，</w:t>
      </w:r>
      <w:r>
        <w:rPr>
          <w:rFonts w:hint="eastAsia" w:ascii="仿宋" w:hAnsi="仿宋" w:eastAsia="仿宋"/>
          <w:sz w:val="32"/>
          <w:szCs w:val="32"/>
        </w:rPr>
        <w:t>主要原因是需先经相关市政、园林部门及排水管护中心验收通过后，市城管局才能验收盖章，目前已向市政及园林部门提交验收资料，</w:t>
      </w:r>
      <w:r>
        <w:rPr>
          <w:rFonts w:hint="eastAsia" w:ascii="仿宋" w:hAnsi="仿宋" w:eastAsia="仿宋"/>
          <w:sz w:val="32"/>
          <w:szCs w:val="32"/>
          <w:lang w:eastAsia="zh-CN"/>
        </w:rPr>
        <w:t>后续将</w:t>
      </w:r>
      <w:r>
        <w:rPr>
          <w:rFonts w:hint="eastAsia" w:ascii="仿宋" w:hAnsi="仿宋" w:eastAsia="仿宋"/>
          <w:sz w:val="32"/>
          <w:szCs w:val="32"/>
        </w:rPr>
        <w:t>进行现场验收。市政、园林、排水管护中心及市城管局未</w:t>
      </w:r>
      <w:r>
        <w:rPr>
          <w:rFonts w:hint="eastAsia" w:ascii="仿宋" w:hAnsi="仿宋" w:eastAsia="仿宋"/>
          <w:sz w:val="32"/>
          <w:szCs w:val="32"/>
          <w:lang w:eastAsia="zh-CN"/>
        </w:rPr>
        <w:t>在</w:t>
      </w:r>
      <w:r>
        <w:rPr>
          <w:rFonts w:hint="eastAsia" w:ascii="仿宋" w:hAnsi="仿宋" w:eastAsia="仿宋"/>
          <w:sz w:val="32"/>
          <w:szCs w:val="32"/>
        </w:rPr>
        <w:t>验收移交证书形成最终验收意见，</w:t>
      </w:r>
      <w:r>
        <w:rPr>
          <w:rFonts w:hint="eastAsia" w:ascii="仿宋" w:hAnsi="仿宋" w:eastAsia="仿宋"/>
          <w:sz w:val="32"/>
          <w:szCs w:val="32"/>
          <w:lang w:eastAsia="zh-CN"/>
        </w:rPr>
        <w:t>暂不能评价工程验收合格情况，</w:t>
      </w:r>
      <w:r>
        <w:rPr>
          <w:rFonts w:hint="eastAsia" w:ascii="仿宋" w:hAnsi="仿宋" w:eastAsia="仿宋"/>
          <w:sz w:val="32"/>
          <w:szCs w:val="32"/>
        </w:rPr>
        <w:t>扣4分，</w:t>
      </w:r>
      <w:r>
        <w:rPr>
          <w:rFonts w:hint="eastAsia" w:ascii="仿宋" w:hAnsi="仿宋" w:eastAsia="仿宋"/>
          <w:sz w:val="32"/>
          <w:szCs w:val="32"/>
          <w:lang w:eastAsia="zh-CN"/>
        </w:rPr>
        <w:t>基于项目正常使用且达到验收状态，</w:t>
      </w:r>
      <w:r>
        <w:rPr>
          <w:rFonts w:hint="eastAsia" w:ascii="仿宋" w:hAnsi="仿宋" w:eastAsia="仿宋"/>
          <w:sz w:val="32"/>
          <w:szCs w:val="32"/>
        </w:rPr>
        <w:t>得2分。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3.建设进度（满分</w:t>
      </w:r>
      <w:r>
        <w:rPr>
          <w:rFonts w:ascii="仿宋" w:hAnsi="仿宋" w:eastAsia="仿宋"/>
          <w:sz w:val="32"/>
          <w:szCs w:val="32"/>
        </w:rPr>
        <w:t>6</w:t>
      </w:r>
      <w:r>
        <w:rPr>
          <w:rFonts w:hint="eastAsia" w:ascii="仿宋" w:hAnsi="仿宋" w:eastAsia="仿宋"/>
          <w:sz w:val="32"/>
          <w:szCs w:val="32"/>
        </w:rPr>
        <w:t>分，得</w:t>
      </w:r>
      <w:r>
        <w:rPr>
          <w:rFonts w:hint="eastAsia" w:ascii="仿宋" w:hAnsi="仿宋" w:eastAsia="仿宋"/>
          <w:sz w:val="32"/>
          <w:szCs w:val="32"/>
          <w:lang w:val="en-US" w:eastAsia="zh-CN"/>
        </w:rPr>
        <w:t>5</w:t>
      </w:r>
      <w:r>
        <w:rPr>
          <w:rFonts w:hint="eastAsia" w:ascii="仿宋" w:hAnsi="仿宋" w:eastAsia="仿宋"/>
          <w:sz w:val="32"/>
          <w:szCs w:val="32"/>
        </w:rPr>
        <w:t>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项目完工、验收、交付使用的情况（</w:t>
      </w:r>
      <w:r>
        <w:rPr>
          <w:rFonts w:ascii="仿宋" w:hAnsi="仿宋" w:eastAsia="仿宋"/>
          <w:sz w:val="32"/>
          <w:szCs w:val="32"/>
        </w:rPr>
        <w:t>6</w:t>
      </w:r>
      <w:r>
        <w:rPr>
          <w:rFonts w:hint="eastAsia" w:ascii="仿宋" w:hAnsi="仿宋" w:eastAsia="仿宋"/>
          <w:sz w:val="32"/>
          <w:szCs w:val="32"/>
        </w:rPr>
        <w:t>分）。</w:t>
      </w:r>
    </w:p>
    <w:p>
      <w:pPr>
        <w:spacing w:line="560" w:lineRule="exact"/>
        <w:ind w:firstLine="640" w:firstLineChars="200"/>
        <w:jc w:val="left"/>
        <w:rPr>
          <w:rFonts w:ascii="仿宋" w:hAnsi="仿宋" w:eastAsia="仿宋"/>
          <w:sz w:val="32"/>
          <w:szCs w:val="32"/>
        </w:rPr>
      </w:pPr>
      <w:r>
        <w:rPr>
          <w:rFonts w:hint="eastAsia" w:ascii="仿宋" w:hAnsi="仿宋" w:eastAsia="仿宋"/>
          <w:sz w:val="32"/>
          <w:szCs w:val="32"/>
        </w:rPr>
        <w:t>按照实施方案，五项工程应于2022年底前完成验收并交付使用。截至2022年底，工程已完工并交付使用，但验收手续</w:t>
      </w:r>
      <w:r>
        <w:rPr>
          <w:rFonts w:hint="eastAsia" w:ascii="仿宋" w:hAnsi="仿宋" w:eastAsia="仿宋"/>
          <w:sz w:val="32"/>
          <w:szCs w:val="32"/>
          <w:lang w:eastAsia="zh-CN"/>
        </w:rPr>
        <w:t>未完成</w:t>
      </w:r>
      <w:r>
        <w:rPr>
          <w:rFonts w:hint="eastAsia" w:ascii="仿宋" w:hAnsi="仿宋" w:eastAsia="仿宋"/>
          <w:sz w:val="32"/>
          <w:szCs w:val="32"/>
        </w:rPr>
        <w:t>，扣</w:t>
      </w:r>
      <w:r>
        <w:rPr>
          <w:rFonts w:hint="eastAsia" w:ascii="仿宋" w:hAnsi="仿宋" w:eastAsia="仿宋"/>
          <w:sz w:val="32"/>
          <w:szCs w:val="32"/>
          <w:lang w:val="en-US" w:eastAsia="zh-CN"/>
        </w:rPr>
        <w:t>1</w:t>
      </w:r>
      <w:r>
        <w:rPr>
          <w:rFonts w:hint="eastAsia" w:ascii="仿宋" w:hAnsi="仿宋" w:eastAsia="仿宋"/>
          <w:sz w:val="32"/>
          <w:szCs w:val="32"/>
        </w:rPr>
        <w:t>分，得</w:t>
      </w:r>
      <w:r>
        <w:rPr>
          <w:rFonts w:hint="eastAsia" w:ascii="仿宋" w:hAnsi="仿宋" w:eastAsia="仿宋"/>
          <w:sz w:val="32"/>
          <w:szCs w:val="32"/>
          <w:lang w:val="en-US" w:eastAsia="zh-CN"/>
        </w:rPr>
        <w:t>5</w:t>
      </w:r>
      <w:r>
        <w:rPr>
          <w:rFonts w:hint="eastAsia" w:ascii="仿宋" w:hAnsi="仿宋" w:eastAsia="仿宋"/>
          <w:sz w:val="32"/>
          <w:szCs w:val="32"/>
        </w:rPr>
        <w:t>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4.建设成本（满分5分，得</w:t>
      </w:r>
      <w:r>
        <w:rPr>
          <w:rFonts w:ascii="仿宋" w:hAnsi="仿宋" w:eastAsia="仿宋"/>
          <w:sz w:val="32"/>
          <w:szCs w:val="32"/>
        </w:rPr>
        <w:t>4</w:t>
      </w:r>
      <w:r>
        <w:rPr>
          <w:rFonts w:hint="eastAsia" w:ascii="仿宋" w:hAnsi="仿宋" w:eastAsia="仿宋"/>
          <w:sz w:val="32"/>
          <w:szCs w:val="32"/>
        </w:rPr>
        <w:t>分）</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成本控制情况（</w:t>
      </w:r>
      <w:r>
        <w:rPr>
          <w:rFonts w:ascii="仿宋" w:hAnsi="仿宋" w:eastAsia="仿宋"/>
          <w:sz w:val="32"/>
          <w:szCs w:val="32"/>
        </w:rPr>
        <w:t>5</w:t>
      </w:r>
      <w:r>
        <w:rPr>
          <w:rFonts w:hint="eastAsia" w:ascii="仿宋" w:hAnsi="仿宋" w:eastAsia="仿宋"/>
          <w:sz w:val="32"/>
          <w:szCs w:val="32"/>
        </w:rPr>
        <w:t>分）。该指标主要评价项目实际成本(送审金额)是否超出概算总投资的情况。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排水管网改造项目（新华区五项工程）实际成本（送审金额）6,700.05万元，概算总投资6,511.02万元，实际成本超出概算</w:t>
      </w:r>
      <w:r>
        <w:rPr>
          <w:rFonts w:ascii="仿宋" w:hAnsi="仿宋" w:eastAsia="仿宋"/>
          <w:sz w:val="32"/>
          <w:szCs w:val="32"/>
        </w:rPr>
        <w:t>189.03 万元</w:t>
      </w:r>
      <w:r>
        <w:rPr>
          <w:rFonts w:hint="eastAsia" w:ascii="仿宋" w:hAnsi="仿宋" w:eastAsia="仿宋" w:cs="仿宋"/>
          <w:sz w:val="32"/>
          <w:szCs w:val="32"/>
        </w:rPr>
        <w:t>，主要因排水管网改造隐蔽工程较多，对工程勘察费测算不准确，导致工程勘察费增加；</w:t>
      </w:r>
      <w:r>
        <w:rPr>
          <w:rFonts w:ascii="仿宋" w:hAnsi="仿宋" w:eastAsia="仿宋"/>
          <w:sz w:val="32"/>
          <w:szCs w:val="32"/>
        </w:rPr>
        <w:t>其余四项工程</w:t>
      </w:r>
      <w:r>
        <w:rPr>
          <w:rFonts w:hint="eastAsia" w:ascii="仿宋" w:hAnsi="仿宋" w:eastAsia="仿宋"/>
          <w:sz w:val="32"/>
          <w:szCs w:val="32"/>
        </w:rPr>
        <w:t>实际成本未超出概算。五项工程每项</w:t>
      </w:r>
      <w:r>
        <w:rPr>
          <w:rFonts w:ascii="仿宋" w:hAnsi="仿宋" w:eastAsia="仿宋"/>
          <w:sz w:val="32"/>
          <w:szCs w:val="32"/>
        </w:rPr>
        <w:t>1</w:t>
      </w:r>
      <w:r>
        <w:rPr>
          <w:rFonts w:hint="eastAsia" w:ascii="仿宋" w:hAnsi="仿宋" w:eastAsia="仿宋"/>
          <w:sz w:val="32"/>
          <w:szCs w:val="32"/>
        </w:rPr>
        <w:t>分，超概算一项，扣</w:t>
      </w:r>
      <w:r>
        <w:rPr>
          <w:rFonts w:ascii="仿宋" w:hAnsi="仿宋" w:eastAsia="仿宋"/>
          <w:sz w:val="32"/>
          <w:szCs w:val="32"/>
        </w:rPr>
        <w:t>1</w:t>
      </w:r>
      <w:r>
        <w:rPr>
          <w:rFonts w:hint="eastAsia" w:ascii="仿宋" w:hAnsi="仿宋" w:eastAsia="仿宋"/>
          <w:sz w:val="32"/>
          <w:szCs w:val="32"/>
        </w:rPr>
        <w:t>分，得</w:t>
      </w:r>
      <w:r>
        <w:rPr>
          <w:rFonts w:ascii="仿宋" w:hAnsi="仿宋" w:eastAsia="仿宋"/>
          <w:sz w:val="32"/>
          <w:szCs w:val="32"/>
        </w:rPr>
        <w:t>4</w:t>
      </w:r>
      <w:r>
        <w:rPr>
          <w:rFonts w:hint="eastAsia" w:ascii="仿宋" w:hAnsi="仿宋" w:eastAsia="仿宋"/>
          <w:sz w:val="32"/>
          <w:szCs w:val="32"/>
        </w:rPr>
        <w:t>分。</w:t>
      </w:r>
    </w:p>
    <w:p>
      <w:pPr>
        <w:pStyle w:val="2"/>
        <w:keepNext w:val="0"/>
        <w:keepLines w:val="0"/>
        <w:pageBreakBefore w:val="0"/>
        <w:widowControl w:val="0"/>
        <w:kinsoku/>
        <w:wordWrap/>
        <w:overflowPunct/>
        <w:topLinePunct w:val="0"/>
        <w:autoSpaceDE/>
        <w:autoSpaceDN/>
        <w:bidi w:val="0"/>
        <w:adjustRightInd/>
        <w:spacing w:before="0" w:after="0" w:line="560" w:lineRule="exact"/>
        <w:ind w:firstLine="640"/>
        <w:textAlignment w:val="auto"/>
        <w:rPr>
          <w:rFonts w:ascii="仿宋" w:hAnsi="仿宋" w:eastAsia="仿宋"/>
          <w:sz w:val="32"/>
          <w:szCs w:val="32"/>
        </w:rPr>
      </w:pPr>
      <w:r>
        <w:rPr>
          <w:rFonts w:hint="eastAsia" w:ascii="仿宋" w:hAnsi="仿宋" w:eastAsia="仿宋"/>
          <w:sz w:val="32"/>
          <w:szCs w:val="32"/>
        </w:rPr>
        <w:t>5.产出数量(满分4分，得4分）</w:t>
      </w:r>
    </w:p>
    <w:p>
      <w:pPr>
        <w:pStyle w:val="2"/>
        <w:keepNext w:val="0"/>
        <w:keepLines w:val="0"/>
        <w:pageBreakBefore w:val="0"/>
        <w:widowControl w:val="0"/>
        <w:kinsoku/>
        <w:wordWrap/>
        <w:overflowPunct/>
        <w:topLinePunct w:val="0"/>
        <w:autoSpaceDE/>
        <w:autoSpaceDN/>
        <w:bidi w:val="0"/>
        <w:adjustRightInd/>
        <w:spacing w:before="0" w:after="0" w:line="560" w:lineRule="exact"/>
        <w:ind w:firstLine="640"/>
        <w:textAlignment w:val="auto"/>
        <w:rPr>
          <w:rFonts w:ascii="仿宋" w:hAnsi="仿宋" w:eastAsia="仿宋"/>
          <w:sz w:val="32"/>
          <w:szCs w:val="32"/>
          <w:highlight w:val="yellow"/>
        </w:rPr>
      </w:pPr>
      <w:r>
        <w:rPr>
          <w:rFonts w:hint="eastAsia" w:ascii="仿宋" w:hAnsi="仿宋" w:eastAsia="仿宋"/>
          <w:sz w:val="32"/>
          <w:szCs w:val="32"/>
        </w:rPr>
        <w:t>项目建成后提供公共产品情况（4分）。该指标主要评价项目是否按照计划里程或实际需求完成排水管网改造。</w:t>
      </w:r>
    </w:p>
    <w:p>
      <w:pPr>
        <w:pStyle w:val="2"/>
        <w:keepNext w:val="0"/>
        <w:keepLines w:val="0"/>
        <w:pageBreakBefore w:val="0"/>
        <w:widowControl w:val="0"/>
        <w:kinsoku/>
        <w:wordWrap/>
        <w:overflowPunct/>
        <w:topLinePunct w:val="0"/>
        <w:autoSpaceDE/>
        <w:autoSpaceDN/>
        <w:bidi w:val="0"/>
        <w:adjustRightInd/>
        <w:snapToGrid/>
        <w:spacing w:before="0" w:after="0" w:line="560" w:lineRule="exact"/>
        <w:ind w:firstLine="640"/>
        <w:textAlignment w:val="auto"/>
        <w:rPr>
          <w:rFonts w:ascii="仿宋" w:hAnsi="仿宋" w:eastAsia="仿宋"/>
          <w:sz w:val="32"/>
          <w:szCs w:val="32"/>
        </w:rPr>
      </w:pPr>
      <w:r>
        <w:rPr>
          <w:rFonts w:hint="eastAsia" w:ascii="仿宋" w:hAnsi="仿宋" w:eastAsia="仿宋"/>
          <w:sz w:val="32"/>
          <w:szCs w:val="32"/>
        </w:rPr>
        <w:t>经过评价组现场勘察和查阅相关资料，五项工程计划完成排水管网改造65.28公里，实际完成52.51公里,主要因市区支路项目中涉及老旧小区、城中村、棚户区改造，取消了部分道路，排水管网改造相应取消，已根据实际情况全部完成，得4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sz w:val="32"/>
          <w:szCs w:val="32"/>
        </w:rPr>
      </w:pPr>
      <w:r>
        <w:rPr>
          <w:rFonts w:hint="eastAsia" w:ascii="楷体" w:hAnsi="楷体" w:eastAsia="楷体" w:cs="楷体"/>
          <w:sz w:val="32"/>
          <w:szCs w:val="32"/>
          <w:lang w:eastAsia="zh-CN"/>
        </w:rPr>
        <w:t>（四）</w:t>
      </w:r>
      <w:r>
        <w:rPr>
          <w:rFonts w:hint="eastAsia" w:ascii="楷体" w:hAnsi="楷体" w:eastAsia="楷体" w:cs="楷体"/>
          <w:sz w:val="32"/>
          <w:szCs w:val="32"/>
        </w:rPr>
        <w:t>效益情况（满分40分，得39分）</w:t>
      </w: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eastAsia" w:ascii="黑体" w:hAnsi="黑体" w:eastAsia="黑体" w:cs="黑体"/>
          <w:sz w:val="28"/>
          <w:szCs w:val="28"/>
        </w:rPr>
      </w:pP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eastAsia" w:ascii="黑体" w:hAnsi="黑体" w:eastAsia="黑体" w:cs="黑体"/>
          <w:sz w:val="28"/>
          <w:szCs w:val="28"/>
        </w:rPr>
      </w:pPr>
    </w:p>
    <w:p>
      <w:pPr>
        <w:pStyle w:val="6"/>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ascii="黑体" w:hAnsi="黑体" w:eastAsia="黑体" w:cs="黑体"/>
          <w:sz w:val="28"/>
          <w:szCs w:val="28"/>
        </w:rPr>
      </w:pPr>
      <w:r>
        <w:rPr>
          <w:rFonts w:hint="eastAsia" w:ascii="黑体" w:hAnsi="黑体" w:eastAsia="黑体" w:cs="黑体"/>
          <w:sz w:val="28"/>
          <w:szCs w:val="28"/>
        </w:rPr>
        <w:t>表5：效益情况绩效评价得分表</w:t>
      </w:r>
    </w:p>
    <w:tbl>
      <w:tblPr>
        <w:tblStyle w:val="12"/>
        <w:tblW w:w="8800" w:type="dxa"/>
        <w:tblInd w:w="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0"/>
        <w:gridCol w:w="2520"/>
        <w:gridCol w:w="3386"/>
        <w:gridCol w:w="13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trPr>
        <w:tc>
          <w:tcPr>
            <w:tcW w:w="1520" w:type="dxa"/>
            <w:tcBorders>
              <w:top w:val="single" w:color="auto" w:sz="12" w:space="0"/>
              <w:left w:val="single" w:color="auto" w:sz="12" w:space="0"/>
            </w:tcBorders>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一级指标</w:t>
            </w:r>
          </w:p>
        </w:tc>
        <w:tc>
          <w:tcPr>
            <w:tcW w:w="2520" w:type="dxa"/>
            <w:tcBorders>
              <w:top w:val="single" w:color="auto" w:sz="12" w:space="0"/>
            </w:tcBorders>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二级指标</w:t>
            </w:r>
          </w:p>
        </w:tc>
        <w:tc>
          <w:tcPr>
            <w:tcW w:w="3386" w:type="dxa"/>
            <w:tcBorders>
              <w:top w:val="single" w:color="auto" w:sz="12" w:space="0"/>
            </w:tcBorders>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三级指标</w:t>
            </w:r>
          </w:p>
        </w:tc>
        <w:tc>
          <w:tcPr>
            <w:tcW w:w="1374" w:type="dxa"/>
            <w:tcBorders>
              <w:top w:val="single" w:color="auto" w:sz="12" w:space="0"/>
              <w:right w:val="single" w:color="auto" w:sz="12" w:space="0"/>
            </w:tcBorders>
            <w:vAlign w:val="center"/>
          </w:tcPr>
          <w:p>
            <w:pPr>
              <w:widowControl/>
              <w:spacing w:line="360" w:lineRule="auto"/>
              <w:jc w:val="center"/>
              <w:textAlignment w:val="center"/>
              <w:rPr>
                <w:rStyle w:val="36"/>
                <w:rFonts w:ascii="仿宋" w:hAnsi="仿宋" w:eastAsia="仿宋" w:cs="仿宋"/>
                <w:szCs w:val="21"/>
              </w:rPr>
            </w:pPr>
            <w:r>
              <w:rPr>
                <w:rFonts w:hint="eastAsia" w:ascii="仿宋" w:hAnsi="仿宋" w:eastAsia="仿宋" w:cs="仿宋"/>
                <w:kern w:val="0"/>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20" w:type="dxa"/>
            <w:vMerge w:val="restart"/>
            <w:tcBorders>
              <w:lef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效益</w:t>
            </w:r>
          </w:p>
          <w:p>
            <w:pPr>
              <w:jc w:val="center"/>
              <w:rPr>
                <w:rFonts w:ascii="仿宋" w:hAnsi="仿宋" w:eastAsia="仿宋" w:cs="仿宋"/>
                <w:szCs w:val="21"/>
              </w:rPr>
            </w:pPr>
            <w:r>
              <w:rPr>
                <w:rFonts w:hint="eastAsia" w:ascii="仿宋" w:hAnsi="仿宋" w:eastAsia="仿宋" w:cs="仿宋"/>
                <w:szCs w:val="21"/>
              </w:rPr>
              <w:t>（40分）</w:t>
            </w:r>
          </w:p>
        </w:tc>
        <w:tc>
          <w:tcPr>
            <w:tcW w:w="2520" w:type="dxa"/>
            <w:vMerge w:val="restart"/>
            <w:vAlign w:val="center"/>
          </w:tcPr>
          <w:p>
            <w:pPr>
              <w:widowControl/>
              <w:rPr>
                <w:rFonts w:ascii="仿宋" w:hAnsi="仿宋" w:eastAsia="仿宋" w:cs="仿宋"/>
                <w:szCs w:val="21"/>
              </w:rPr>
            </w:pPr>
            <w:r>
              <w:rPr>
                <w:rFonts w:hint="eastAsia" w:ascii="仿宋" w:hAnsi="仿宋" w:eastAsia="仿宋" w:cs="仿宋"/>
                <w:color w:val="000000"/>
                <w:kern w:val="0"/>
                <w:szCs w:val="21"/>
              </w:rPr>
              <w:t>项目的综合效益（30分）</w:t>
            </w:r>
          </w:p>
        </w:tc>
        <w:tc>
          <w:tcPr>
            <w:tcW w:w="3386" w:type="dxa"/>
            <w:vAlign w:val="center"/>
          </w:tcPr>
          <w:p>
            <w:pPr>
              <w:widowControl/>
              <w:rPr>
                <w:rFonts w:ascii="仿宋" w:hAnsi="仿宋" w:eastAsia="仿宋" w:cs="仿宋"/>
                <w:color w:val="000000"/>
                <w:kern w:val="0"/>
                <w:szCs w:val="21"/>
              </w:rPr>
            </w:pPr>
            <w:r>
              <w:rPr>
                <w:rFonts w:hint="eastAsia" w:ascii="仿宋" w:hAnsi="仿宋" w:eastAsia="仿宋" w:cs="仿宋"/>
                <w:color w:val="000000"/>
                <w:kern w:val="0"/>
                <w:szCs w:val="21"/>
              </w:rPr>
              <w:t>社会效益（10分）</w:t>
            </w:r>
          </w:p>
        </w:tc>
        <w:tc>
          <w:tcPr>
            <w:tcW w:w="1374" w:type="dxa"/>
            <w:tcBorders>
              <w:right w:val="single" w:color="auto" w:sz="12" w:space="0"/>
            </w:tcBorders>
            <w:vAlign w:val="center"/>
          </w:tcPr>
          <w:p>
            <w:pPr>
              <w:widowControl/>
              <w:jc w:val="center"/>
              <w:rPr>
                <w:rFonts w:ascii="仿宋" w:hAnsi="仿宋" w:eastAsia="仿宋" w:cs="仿宋"/>
                <w:szCs w:val="21"/>
              </w:rPr>
            </w:pPr>
            <w:r>
              <w:rPr>
                <w:rFonts w:hint="eastAsia" w:ascii="仿宋" w:hAnsi="仿宋" w:eastAsia="仿宋" w:cs="仿宋"/>
                <w:szCs w:val="21"/>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20" w:type="dxa"/>
            <w:vMerge w:val="continue"/>
            <w:tcBorders>
              <w:left w:val="single" w:color="auto" w:sz="12" w:space="0"/>
            </w:tcBorders>
            <w:vAlign w:val="center"/>
          </w:tcPr>
          <w:p>
            <w:pPr>
              <w:pStyle w:val="6"/>
              <w:spacing w:after="0" w:line="360" w:lineRule="auto"/>
              <w:jc w:val="center"/>
              <w:rPr>
                <w:rFonts w:ascii="仿宋" w:hAnsi="仿宋" w:eastAsia="仿宋" w:cs="仿宋"/>
                <w:szCs w:val="21"/>
              </w:rPr>
            </w:pPr>
          </w:p>
        </w:tc>
        <w:tc>
          <w:tcPr>
            <w:tcW w:w="2520" w:type="dxa"/>
            <w:vMerge w:val="continue"/>
            <w:vAlign w:val="center"/>
          </w:tcPr>
          <w:p>
            <w:pPr>
              <w:widowControl/>
              <w:rPr>
                <w:rFonts w:ascii="仿宋" w:hAnsi="仿宋" w:eastAsia="仿宋" w:cs="仿宋"/>
                <w:szCs w:val="21"/>
              </w:rPr>
            </w:pPr>
          </w:p>
        </w:tc>
        <w:tc>
          <w:tcPr>
            <w:tcW w:w="3386" w:type="dxa"/>
            <w:vAlign w:val="center"/>
          </w:tcPr>
          <w:p>
            <w:pPr>
              <w:widowControl/>
              <w:rPr>
                <w:rFonts w:ascii="仿宋" w:hAnsi="仿宋" w:eastAsia="仿宋" w:cs="仿宋"/>
                <w:szCs w:val="21"/>
              </w:rPr>
            </w:pPr>
            <w:r>
              <w:rPr>
                <w:rFonts w:hint="eastAsia" w:ascii="仿宋" w:hAnsi="仿宋" w:eastAsia="仿宋" w:cs="仿宋"/>
                <w:color w:val="000000"/>
                <w:kern w:val="0"/>
                <w:szCs w:val="21"/>
              </w:rPr>
              <w:t>生态效益（10分）</w:t>
            </w:r>
          </w:p>
        </w:tc>
        <w:tc>
          <w:tcPr>
            <w:tcW w:w="1374" w:type="dxa"/>
            <w:tcBorders>
              <w:right w:val="single" w:color="auto" w:sz="12" w:space="0"/>
            </w:tcBorders>
            <w:vAlign w:val="center"/>
          </w:tcPr>
          <w:p>
            <w:pPr>
              <w:widowControl/>
              <w:jc w:val="center"/>
              <w:rPr>
                <w:rFonts w:ascii="仿宋" w:hAnsi="仿宋" w:eastAsia="仿宋" w:cs="仿宋"/>
                <w:szCs w:val="21"/>
              </w:rPr>
            </w:pPr>
            <w:r>
              <w:rPr>
                <w:rFonts w:hint="eastAsia" w:ascii="仿宋" w:hAnsi="仿宋" w:eastAsia="仿宋" w:cs="仿宋"/>
                <w:szCs w:val="21"/>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20" w:type="dxa"/>
            <w:vMerge w:val="continue"/>
            <w:tcBorders>
              <w:left w:val="single" w:color="auto" w:sz="12" w:space="0"/>
            </w:tcBorders>
            <w:vAlign w:val="center"/>
          </w:tcPr>
          <w:p>
            <w:pPr>
              <w:pStyle w:val="6"/>
              <w:spacing w:after="0" w:line="360" w:lineRule="auto"/>
              <w:jc w:val="center"/>
              <w:rPr>
                <w:rFonts w:ascii="仿宋" w:hAnsi="仿宋" w:eastAsia="仿宋" w:cs="仿宋"/>
                <w:szCs w:val="21"/>
              </w:rPr>
            </w:pPr>
          </w:p>
        </w:tc>
        <w:tc>
          <w:tcPr>
            <w:tcW w:w="2520" w:type="dxa"/>
            <w:vMerge w:val="continue"/>
            <w:vAlign w:val="center"/>
          </w:tcPr>
          <w:p>
            <w:pPr>
              <w:widowControl/>
              <w:rPr>
                <w:rFonts w:ascii="仿宋" w:hAnsi="仿宋" w:eastAsia="仿宋" w:cs="仿宋"/>
                <w:color w:val="000000"/>
                <w:kern w:val="0"/>
                <w:szCs w:val="21"/>
              </w:rPr>
            </w:pPr>
          </w:p>
        </w:tc>
        <w:tc>
          <w:tcPr>
            <w:tcW w:w="3386" w:type="dxa"/>
            <w:vAlign w:val="center"/>
          </w:tcPr>
          <w:p>
            <w:pPr>
              <w:widowControl/>
              <w:rPr>
                <w:rFonts w:ascii="仿宋" w:hAnsi="仿宋" w:eastAsia="仿宋"/>
                <w:szCs w:val="21"/>
              </w:rPr>
            </w:pPr>
            <w:r>
              <w:rPr>
                <w:rFonts w:hint="eastAsia" w:ascii="仿宋" w:hAnsi="仿宋" w:eastAsia="仿宋" w:cs="仿宋"/>
                <w:color w:val="000000"/>
                <w:kern w:val="0"/>
                <w:szCs w:val="21"/>
              </w:rPr>
              <w:t>经济效益（5分）</w:t>
            </w:r>
          </w:p>
        </w:tc>
        <w:tc>
          <w:tcPr>
            <w:tcW w:w="1374" w:type="dxa"/>
            <w:tcBorders>
              <w:right w:val="single" w:color="auto" w:sz="12" w:space="0"/>
            </w:tcBorders>
            <w:vAlign w:val="center"/>
          </w:tcPr>
          <w:p>
            <w:pPr>
              <w:widowControl/>
              <w:jc w:val="center"/>
              <w:rPr>
                <w:rFonts w:ascii="仿宋" w:hAnsi="仿宋" w:eastAsia="仿宋" w:cs="仿宋"/>
                <w:szCs w:val="21"/>
              </w:rPr>
            </w:pPr>
            <w:r>
              <w:rPr>
                <w:rFonts w:hint="eastAsia" w:ascii="仿宋" w:hAnsi="仿宋" w:eastAsia="仿宋" w:cs="仿宋"/>
                <w:szCs w:val="21"/>
              </w:rPr>
              <w:t xml:space="preserve">4.00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20" w:type="dxa"/>
            <w:vMerge w:val="continue"/>
            <w:tcBorders>
              <w:left w:val="single" w:color="auto" w:sz="12" w:space="0"/>
            </w:tcBorders>
            <w:vAlign w:val="center"/>
          </w:tcPr>
          <w:p>
            <w:pPr>
              <w:pStyle w:val="6"/>
              <w:spacing w:after="0" w:line="360" w:lineRule="auto"/>
              <w:jc w:val="center"/>
              <w:rPr>
                <w:rFonts w:ascii="仿宋" w:hAnsi="仿宋" w:eastAsia="仿宋" w:cs="仿宋"/>
                <w:szCs w:val="21"/>
              </w:rPr>
            </w:pPr>
          </w:p>
        </w:tc>
        <w:tc>
          <w:tcPr>
            <w:tcW w:w="2520" w:type="dxa"/>
            <w:vMerge w:val="continue"/>
            <w:vAlign w:val="center"/>
          </w:tcPr>
          <w:p>
            <w:pPr>
              <w:widowControl/>
              <w:rPr>
                <w:rFonts w:ascii="仿宋" w:hAnsi="仿宋" w:eastAsia="仿宋" w:cs="仿宋"/>
                <w:szCs w:val="21"/>
              </w:rPr>
            </w:pPr>
          </w:p>
        </w:tc>
        <w:tc>
          <w:tcPr>
            <w:tcW w:w="3386" w:type="dxa"/>
            <w:vAlign w:val="center"/>
          </w:tcPr>
          <w:p>
            <w:pPr>
              <w:widowControl/>
              <w:rPr>
                <w:rFonts w:ascii="仿宋" w:hAnsi="仿宋" w:eastAsia="仿宋" w:cs="仿宋"/>
                <w:szCs w:val="21"/>
              </w:rPr>
            </w:pPr>
            <w:r>
              <w:rPr>
                <w:rFonts w:hint="eastAsia" w:ascii="仿宋" w:hAnsi="仿宋" w:eastAsia="仿宋" w:cs="仿宋"/>
                <w:color w:val="000000"/>
                <w:kern w:val="0"/>
                <w:szCs w:val="21"/>
              </w:rPr>
              <w:t>可持续影响（5分）</w:t>
            </w:r>
          </w:p>
        </w:tc>
        <w:tc>
          <w:tcPr>
            <w:tcW w:w="1374" w:type="dxa"/>
            <w:tcBorders>
              <w:right w:val="single" w:color="auto" w:sz="12" w:space="0"/>
            </w:tcBorders>
            <w:vAlign w:val="center"/>
          </w:tcPr>
          <w:p>
            <w:pPr>
              <w:widowControl/>
              <w:jc w:val="center"/>
              <w:rPr>
                <w:rFonts w:ascii="仿宋" w:hAnsi="仿宋" w:eastAsia="仿宋" w:cs="仿宋"/>
                <w:szCs w:val="21"/>
              </w:rPr>
            </w:pPr>
            <w:r>
              <w:rPr>
                <w:rFonts w:hint="eastAsia" w:ascii="仿宋" w:hAnsi="仿宋" w:eastAsia="仿宋" w:cs="仿宋"/>
                <w:color w:val="000000"/>
                <w:kern w:val="0"/>
                <w:szCs w:val="21"/>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20" w:type="dxa"/>
            <w:vMerge w:val="continue"/>
            <w:tcBorders>
              <w:left w:val="single" w:color="auto" w:sz="12" w:space="0"/>
            </w:tcBorders>
            <w:vAlign w:val="center"/>
          </w:tcPr>
          <w:p>
            <w:pPr>
              <w:pStyle w:val="6"/>
              <w:spacing w:after="0" w:line="360" w:lineRule="auto"/>
              <w:jc w:val="center"/>
              <w:rPr>
                <w:rFonts w:ascii="仿宋" w:hAnsi="仿宋" w:eastAsia="仿宋" w:cs="仿宋"/>
                <w:szCs w:val="21"/>
              </w:rPr>
            </w:pPr>
          </w:p>
        </w:tc>
        <w:tc>
          <w:tcPr>
            <w:tcW w:w="2520" w:type="dxa"/>
            <w:vAlign w:val="center"/>
          </w:tcPr>
          <w:p>
            <w:pPr>
              <w:widowControl/>
              <w:rPr>
                <w:rFonts w:ascii="仿宋" w:hAnsi="仿宋" w:eastAsia="仿宋" w:cs="仿宋"/>
                <w:szCs w:val="21"/>
              </w:rPr>
            </w:pPr>
            <w:r>
              <w:rPr>
                <w:rFonts w:hint="eastAsia" w:ascii="仿宋" w:hAnsi="仿宋" w:eastAsia="仿宋" w:cs="仿宋"/>
                <w:color w:val="000000"/>
                <w:kern w:val="0"/>
                <w:szCs w:val="21"/>
              </w:rPr>
              <w:t>满意度（10分）</w:t>
            </w:r>
          </w:p>
        </w:tc>
        <w:tc>
          <w:tcPr>
            <w:tcW w:w="3386" w:type="dxa"/>
            <w:vAlign w:val="center"/>
          </w:tcPr>
          <w:p>
            <w:pPr>
              <w:widowControl/>
              <w:rPr>
                <w:rFonts w:ascii="仿宋" w:hAnsi="仿宋" w:eastAsia="仿宋" w:cs="仿宋"/>
                <w:szCs w:val="21"/>
              </w:rPr>
            </w:pPr>
            <w:r>
              <w:rPr>
                <w:rFonts w:hint="eastAsia" w:ascii="仿宋" w:hAnsi="仿宋" w:eastAsia="仿宋" w:cs="仿宋"/>
                <w:color w:val="000000"/>
                <w:kern w:val="0"/>
                <w:szCs w:val="21"/>
              </w:rPr>
              <w:t>市民满意度（10分）</w:t>
            </w:r>
          </w:p>
        </w:tc>
        <w:tc>
          <w:tcPr>
            <w:tcW w:w="1374" w:type="dxa"/>
            <w:tcBorders>
              <w:right w:val="single" w:color="auto" w:sz="12" w:space="0"/>
            </w:tcBorders>
            <w:vAlign w:val="center"/>
          </w:tcPr>
          <w:p>
            <w:pPr>
              <w:widowControl/>
              <w:jc w:val="center"/>
              <w:rPr>
                <w:rFonts w:ascii="仿宋" w:hAnsi="仿宋" w:eastAsia="仿宋" w:cs="仿宋"/>
                <w:szCs w:val="21"/>
              </w:rPr>
            </w:pPr>
            <w:r>
              <w:rPr>
                <w:rFonts w:hint="eastAsia" w:ascii="仿宋" w:hAnsi="仿宋" w:eastAsia="仿宋" w:cs="仿宋"/>
                <w:color w:val="000000"/>
                <w:kern w:val="0"/>
                <w:szCs w:val="21"/>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7426" w:type="dxa"/>
            <w:gridSpan w:val="3"/>
            <w:tcBorders>
              <w:left w:val="single" w:color="auto" w:sz="12" w:space="0"/>
              <w:bottom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合计</w:t>
            </w:r>
          </w:p>
        </w:tc>
        <w:tc>
          <w:tcPr>
            <w:tcW w:w="1374" w:type="dxa"/>
            <w:tcBorders>
              <w:bottom w:val="single" w:color="auto" w:sz="12" w:space="0"/>
              <w:right w:val="single" w:color="auto" w:sz="12" w:space="0"/>
            </w:tcBorders>
            <w:vAlign w:val="center"/>
          </w:tcPr>
          <w:p>
            <w:pPr>
              <w:jc w:val="center"/>
              <w:rPr>
                <w:rFonts w:ascii="仿宋" w:hAnsi="仿宋" w:eastAsia="仿宋" w:cs="仿宋"/>
                <w:szCs w:val="21"/>
              </w:rPr>
            </w:pPr>
            <w:r>
              <w:rPr>
                <w:rFonts w:hint="eastAsia" w:ascii="仿宋" w:hAnsi="仿宋" w:eastAsia="仿宋" w:cs="仿宋"/>
                <w:szCs w:val="21"/>
              </w:rPr>
              <w:t>39.00</w:t>
            </w:r>
          </w:p>
        </w:tc>
      </w:tr>
    </w:tbl>
    <w:p>
      <w:pPr>
        <w:spacing w:line="560" w:lineRule="exact"/>
        <w:ind w:firstLine="640" w:firstLineChars="200"/>
        <w:rPr>
          <w:rFonts w:ascii="仿宋" w:hAnsi="仿宋" w:eastAsia="仿宋"/>
          <w:sz w:val="32"/>
          <w:szCs w:val="32"/>
        </w:rPr>
      </w:pPr>
      <w:r>
        <w:rPr>
          <w:rFonts w:hint="eastAsia" w:ascii="仿宋" w:hAnsi="仿宋" w:eastAsia="仿宋"/>
          <w:sz w:val="32"/>
          <w:szCs w:val="32"/>
        </w:rPr>
        <w:t>1.项目的综合效益（满分30分，得29分）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(1)社会效益（满分10分，得10分）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五项工程新建污水管道19,992.39m、雨水管道22,102.66m、雨水管涵674.83m、雨水方沟2,114.99 m、钢筋砼方涵1,396.47 m、卵形槽3,211.00 m等排水设施，完善了市政基础设施，解决了部分路段无排水管线、管线老旧淤堵、排水能力不足等问题，实现了排水能力的提高。例如，红旗大街（学院路-宫北路（规划仓盛路））改造前管道为钢筋混凝土管道，管径DN1200mm，过流能力为1,102L/s，改造后管径为WXH=2000mmX2000mm钢筋混凝土方沟，过流能力为5,482L/s，提升了4,380L/S；育才街（和平路-方北路、裕华路-民心河）改造前大部分为雨污合流管道，钢筋混凝土管，最大管径为d800，过流能力为758.18L/s，改造后污水采用PE管，最大管径为DN700，最大过流能力227.7L/s，雨水采用PE管和钢筋混凝土箱涵，最大管径为WxH=3600x2000mm，最大过流能力10,105.11L/s，过流能力提升了9,346.93L/s。项目实施在一定程度上减少了城市内涝的风险，有效保护了居民的人身财产安全及保障企业的日常生产工作，为社会稳定发展、人民安居乐业、优化招商引资环境奠定了基础，社会效益显著，得10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（2）生态效益（满分10分，得10分）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一是市区支路项目恢复道路面积111,982㎡，恢复人行道面积47,837㎡，泰华街项目新建道路2,660m、车行道46,505㎡、人行道5,827㎡。通过现场查看改造路段道路状况和周边环境情况发现，道路干净整洁、绿化带恢复完整，改变了之前路面龟裂、雨后低洼处积水等问题。二是改造后实现雨污分流。如泰华街雨污水干管新建工程，新建雨污管道3,739m，雨水收水井84座、双雨水口50座，有效地减少</w:t>
      </w:r>
      <w:r>
        <w:rPr>
          <w:rFonts w:hint="eastAsia" w:ascii="仿宋" w:hAnsi="仿宋" w:eastAsia="仿宋"/>
          <w:sz w:val="32"/>
          <w:szCs w:val="32"/>
          <w:lang w:eastAsia="zh-CN"/>
        </w:rPr>
        <w:t>了</w:t>
      </w:r>
      <w:r>
        <w:rPr>
          <w:rFonts w:hint="eastAsia" w:ascii="仿宋" w:hAnsi="仿宋" w:eastAsia="仿宋"/>
          <w:sz w:val="32"/>
          <w:szCs w:val="32"/>
        </w:rPr>
        <w:t>管道合流、淤堵、排水量小污水漫溢造成的水质污染，实现了雨水入河顺畅，增加了河水量，提升了城市水体生态和景观功能。环境得到显著改善，得10分。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（3）经济效益（满分5分，得</w:t>
      </w:r>
      <w:r>
        <w:rPr>
          <w:rFonts w:ascii="仿宋" w:hAnsi="仿宋" w:eastAsia="仿宋"/>
          <w:sz w:val="32"/>
          <w:szCs w:val="32"/>
        </w:rPr>
        <w:t>4</w:t>
      </w:r>
      <w:r>
        <w:rPr>
          <w:rFonts w:hint="eastAsia" w:ascii="仿宋" w:hAnsi="仿宋" w:eastAsia="仿宋"/>
          <w:sz w:val="32"/>
          <w:szCs w:val="32"/>
        </w:rPr>
        <w:t>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五项工程属惠民工程，随着排水设施的完善，解决了雨污混排问题，节约了污水处理成本，减少积水污泥清理和突发事件支出，相对比改造前支出大幅减少，但市城管局只负责使用（运营），未能提供运营收入相关资料，不能完整的对照实施方案中经济效益进行评价。扣</w:t>
      </w:r>
      <w:r>
        <w:rPr>
          <w:rFonts w:ascii="仿宋" w:hAnsi="仿宋" w:eastAsia="仿宋"/>
          <w:sz w:val="32"/>
          <w:szCs w:val="32"/>
        </w:rPr>
        <w:t>1</w:t>
      </w:r>
      <w:r>
        <w:rPr>
          <w:rFonts w:hint="eastAsia" w:ascii="仿宋" w:hAnsi="仿宋" w:eastAsia="仿宋"/>
          <w:sz w:val="32"/>
          <w:szCs w:val="32"/>
        </w:rPr>
        <w:t>分，得</w:t>
      </w:r>
      <w:r>
        <w:rPr>
          <w:rFonts w:ascii="仿宋" w:hAnsi="仿宋" w:eastAsia="仿宋"/>
          <w:sz w:val="32"/>
          <w:szCs w:val="32"/>
        </w:rPr>
        <w:t>4</w:t>
      </w:r>
      <w:r>
        <w:rPr>
          <w:rFonts w:hint="eastAsia" w:ascii="仿宋" w:hAnsi="仿宋" w:eastAsia="仿宋"/>
          <w:sz w:val="32"/>
          <w:szCs w:val="32"/>
        </w:rPr>
        <w:t>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（4）可持续影响（满分5分，得5分）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评价组对照项目实施方案，结合工程合同，经现场勘察，各项工程基本能按照方案要求持续运营,达到服务期限15年。该项目实施后</w:t>
      </w:r>
      <w:r>
        <w:rPr>
          <w:rFonts w:ascii="仿宋" w:hAnsi="仿宋" w:eastAsia="仿宋"/>
          <w:sz w:val="32"/>
          <w:szCs w:val="32"/>
        </w:rPr>
        <w:t>改善了周边区域</w:t>
      </w:r>
      <w:r>
        <w:rPr>
          <w:rFonts w:hint="eastAsia" w:ascii="仿宋" w:hAnsi="仿宋" w:eastAsia="仿宋"/>
          <w:sz w:val="32"/>
          <w:szCs w:val="32"/>
        </w:rPr>
        <w:t>积水的</w:t>
      </w:r>
      <w:r>
        <w:rPr>
          <w:rFonts w:ascii="仿宋" w:hAnsi="仿宋" w:eastAsia="仿宋"/>
          <w:sz w:val="32"/>
          <w:szCs w:val="32"/>
        </w:rPr>
        <w:t>状况，</w:t>
      </w:r>
      <w:r>
        <w:rPr>
          <w:rFonts w:hint="eastAsia" w:ascii="仿宋" w:hAnsi="仿宋" w:eastAsia="仿宋"/>
          <w:sz w:val="32"/>
          <w:szCs w:val="32"/>
        </w:rPr>
        <w:t>消除了周边居民出行的安全隐患，</w:t>
      </w:r>
      <w:r>
        <w:rPr>
          <w:rFonts w:ascii="仿宋" w:hAnsi="仿宋" w:eastAsia="仿宋"/>
          <w:sz w:val="32"/>
          <w:szCs w:val="32"/>
        </w:rPr>
        <w:t>对于城市</w:t>
      </w:r>
      <w:r>
        <w:rPr>
          <w:rFonts w:hint="eastAsia" w:ascii="仿宋" w:hAnsi="仿宋" w:eastAsia="仿宋"/>
          <w:sz w:val="32"/>
          <w:szCs w:val="32"/>
        </w:rPr>
        <w:t>可持续性发展</w:t>
      </w:r>
      <w:r>
        <w:rPr>
          <w:rFonts w:ascii="仿宋" w:hAnsi="仿宋" w:eastAsia="仿宋"/>
          <w:sz w:val="32"/>
          <w:szCs w:val="32"/>
        </w:rPr>
        <w:t>具有积极</w:t>
      </w:r>
      <w:r>
        <w:rPr>
          <w:rFonts w:hint="eastAsia" w:ascii="仿宋" w:hAnsi="仿宋" w:eastAsia="仿宋"/>
          <w:sz w:val="32"/>
          <w:szCs w:val="32"/>
        </w:rPr>
        <w:t>的</w:t>
      </w:r>
      <w:r>
        <w:rPr>
          <w:rFonts w:ascii="仿宋" w:hAnsi="仿宋" w:eastAsia="仿宋"/>
          <w:sz w:val="32"/>
          <w:szCs w:val="32"/>
        </w:rPr>
        <w:t>作用</w:t>
      </w:r>
      <w:r>
        <w:rPr>
          <w:rFonts w:hint="eastAsia" w:ascii="仿宋" w:hAnsi="仿宋" w:eastAsia="仿宋"/>
          <w:sz w:val="32"/>
          <w:szCs w:val="32"/>
        </w:rPr>
        <w:t>，得5分。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2.满意度（满分10分，得10分）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市民满意度（10分）。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对五项工程各随机抽取了20位市民进行满意度调查，调查内容包含排水效果、周边环境改善情况、雨天出行路况、路面和绿化带恢复情况等。市民对排水改造整体效果比较满意，改造后解决了雨天积水的问题，路更好走了，周边环境也得到提升，但也存在一些小问题，如排水改造占路导致机动车占用便道，短期内影响通行等。五项工程满意度均达90%以上，得10分。</w:t>
      </w:r>
    </w:p>
    <w:p>
      <w:pPr>
        <w:pStyle w:val="26"/>
        <w:numPr>
          <w:ilvl w:val="0"/>
          <w:numId w:val="3"/>
        </w:numPr>
        <w:adjustRightInd w:val="0"/>
        <w:snapToGrid w:val="0"/>
        <w:spacing w:line="560" w:lineRule="exact"/>
        <w:ind w:firstLineChars="0"/>
        <w:outlineLvl w:val="0"/>
        <w:rPr>
          <w:rFonts w:ascii="黑体" w:hAnsi="黑体" w:eastAsia="黑体" w:cs="黑体"/>
          <w:sz w:val="32"/>
          <w:szCs w:val="32"/>
        </w:rPr>
      </w:pPr>
      <w:r>
        <w:rPr>
          <w:rFonts w:hint="eastAsia" w:ascii="黑体" w:hAnsi="黑体" w:eastAsia="黑体" w:cs="黑体"/>
          <w:sz w:val="32"/>
          <w:szCs w:val="32"/>
        </w:rPr>
        <w:t>总体评价情况及评价结论</w:t>
      </w:r>
      <w:bookmarkEnd w:id="13"/>
    </w:p>
    <w:p>
      <w:pPr>
        <w:spacing w:line="560" w:lineRule="exact"/>
        <w:ind w:firstLine="640" w:firstLineChars="200"/>
        <w:rPr>
          <w:rFonts w:ascii="仿宋" w:hAnsi="仿宋" w:eastAsia="仿宋"/>
          <w:sz w:val="32"/>
          <w:szCs w:val="32"/>
        </w:rPr>
      </w:pPr>
      <w:r>
        <w:rPr>
          <w:rFonts w:hint="eastAsia" w:ascii="仿宋" w:hAnsi="仿宋" w:eastAsia="仿宋"/>
          <w:sz w:val="32"/>
          <w:szCs w:val="32"/>
        </w:rPr>
        <w:t>五项工程改造完成后，疏通了城区雨水管网“毛细血管”，增设雨水管道、卵形槽、雨水口、截流沟等排水设施，将原排放量小的管道扩容增加排放量，改善了居民道路出行、生活环境，提升了居民幸福生活指数。截至2022年底，工程已全部完工，工程质量符合标准，但相关手续还需完善。</w:t>
      </w:r>
    </w:p>
    <w:p>
      <w:pPr>
        <w:pStyle w:val="6"/>
        <w:spacing w:after="0" w:line="360" w:lineRule="auto"/>
        <w:jc w:val="left"/>
        <w:rPr>
          <w:rFonts w:hint="eastAsia" w:ascii="黑体" w:hAnsi="黑体" w:eastAsia="仿宋" w:cs="黑体"/>
          <w:sz w:val="28"/>
          <w:szCs w:val="28"/>
          <w:lang w:eastAsia="zh-CN"/>
        </w:rPr>
      </w:pPr>
      <w:r>
        <w:rPr>
          <w:rFonts w:hint="eastAsia" w:ascii="仿宋" w:hAnsi="仿宋" w:eastAsia="仿宋"/>
          <w:sz w:val="32"/>
          <w:szCs w:val="32"/>
        </w:rPr>
        <w:t>按照客观、公正、实事求是的原则，根据绩效评价指标体系， 2022年度市城管局政府债券资金支出项目绩效评价得分</w:t>
      </w:r>
      <w:r>
        <w:rPr>
          <w:rFonts w:hint="eastAsia" w:ascii="仿宋" w:hAnsi="仿宋" w:eastAsia="仿宋"/>
          <w:sz w:val="32"/>
          <w:szCs w:val="32"/>
          <w:lang w:val="en-US" w:eastAsia="zh-CN"/>
        </w:rPr>
        <w:t>87</w:t>
      </w:r>
      <w:r>
        <w:rPr>
          <w:rFonts w:hint="eastAsia" w:ascii="仿宋" w:hAnsi="仿宋" w:eastAsia="仿宋"/>
          <w:sz w:val="32"/>
          <w:szCs w:val="32"/>
        </w:rPr>
        <w:t>.28分，评价等级为“</w:t>
      </w:r>
      <w:r>
        <w:rPr>
          <w:rFonts w:hint="eastAsia" w:ascii="仿宋" w:hAnsi="仿宋" w:eastAsia="仿宋"/>
          <w:sz w:val="32"/>
          <w:szCs w:val="32"/>
          <w:lang w:eastAsia="zh-CN"/>
        </w:rPr>
        <w:t>良</w:t>
      </w:r>
      <w:r>
        <w:rPr>
          <w:rFonts w:hint="eastAsia" w:ascii="仿宋" w:hAnsi="仿宋" w:eastAsia="仿宋"/>
          <w:sz w:val="32"/>
          <w:szCs w:val="32"/>
        </w:rPr>
        <w:t>”</w:t>
      </w:r>
      <w:r>
        <w:rPr>
          <w:rFonts w:hint="eastAsia" w:ascii="仿宋" w:hAnsi="仿宋" w:eastAsia="仿宋"/>
          <w:sz w:val="32"/>
          <w:szCs w:val="32"/>
          <w:lang w:eastAsia="zh-CN"/>
        </w:rPr>
        <w:t>。</w:t>
      </w:r>
    </w:p>
    <w:p>
      <w:pPr>
        <w:pStyle w:val="26"/>
        <w:adjustRightInd w:val="0"/>
        <w:snapToGrid w:val="0"/>
        <w:spacing w:line="560" w:lineRule="exact"/>
        <w:ind w:firstLine="640"/>
        <w:outlineLvl w:val="0"/>
        <w:rPr>
          <w:rFonts w:ascii="黑体" w:hAnsi="黑体" w:eastAsia="黑体" w:cs="黑体"/>
          <w:sz w:val="32"/>
          <w:szCs w:val="32"/>
        </w:rPr>
      </w:pPr>
      <w:bookmarkStart w:id="14" w:name="_Toc7033"/>
      <w:bookmarkStart w:id="15" w:name="_Toc7923"/>
      <w:bookmarkStart w:id="16" w:name="_Toc79484431"/>
      <w:bookmarkStart w:id="17" w:name="_Toc30611"/>
      <w:bookmarkStart w:id="18" w:name="_Toc18803"/>
      <w:bookmarkStart w:id="19" w:name="_Toc27828"/>
      <w:bookmarkStart w:id="20" w:name="_Toc19918"/>
      <w:bookmarkStart w:id="21" w:name="_Toc336506972"/>
      <w:bookmarkStart w:id="22" w:name="_Toc336506907"/>
      <w:r>
        <w:rPr>
          <w:rFonts w:hint="eastAsia" w:ascii="黑体" w:hAnsi="黑体" w:eastAsia="黑体" w:cs="黑体"/>
          <w:sz w:val="32"/>
          <w:szCs w:val="32"/>
        </w:rPr>
        <w:t>五、</w:t>
      </w:r>
      <w:bookmarkEnd w:id="14"/>
      <w:r>
        <w:rPr>
          <w:rFonts w:hint="eastAsia" w:ascii="黑体" w:hAnsi="黑体" w:eastAsia="黑体" w:cs="黑体"/>
          <w:sz w:val="32"/>
          <w:szCs w:val="32"/>
        </w:rPr>
        <w:t>相关建议</w:t>
      </w:r>
      <w:bookmarkEnd w:id="15"/>
      <w:bookmarkEnd w:id="16"/>
      <w:bookmarkEnd w:id="17"/>
      <w:bookmarkEnd w:id="18"/>
      <w:bookmarkEnd w:id="19"/>
    </w:p>
    <w:bookmarkEnd w:id="20"/>
    <w:bookmarkEnd w:id="21"/>
    <w:bookmarkEnd w:id="22"/>
    <w:p>
      <w:pPr>
        <w:pStyle w:val="26"/>
        <w:spacing w:line="560" w:lineRule="exact"/>
        <w:ind w:firstLine="640"/>
        <w:outlineLvl w:val="2"/>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w:t>
      </w:r>
      <w:r>
        <w:rPr>
          <w:rFonts w:hint="eastAsia" w:ascii="仿宋" w:hAnsi="仿宋" w:eastAsia="仿宋" w:cs="仿宋"/>
          <w:sz w:val="32"/>
          <w:szCs w:val="32"/>
          <w:lang w:eastAsia="zh-CN"/>
        </w:rPr>
        <w:t>类似项目实行全过程绩效管理</w:t>
      </w:r>
      <w:r>
        <w:rPr>
          <w:rFonts w:hint="eastAsia" w:ascii="仿宋" w:hAnsi="仿宋" w:eastAsia="仿宋" w:cs="仿宋"/>
          <w:sz w:val="32"/>
          <w:szCs w:val="32"/>
        </w:rPr>
        <w:t>。</w:t>
      </w:r>
    </w:p>
    <w:p>
      <w:pPr>
        <w:pStyle w:val="26"/>
        <w:spacing w:line="560" w:lineRule="exact"/>
        <w:ind w:firstLine="640"/>
        <w:outlineLvl w:val="2"/>
        <w:rPr>
          <w:rFonts w:hint="eastAsia" w:ascii="仿宋" w:hAnsi="仿宋" w:eastAsia="仿宋"/>
          <w:sz w:val="32"/>
        </w:rPr>
      </w:pPr>
      <w:r>
        <w:rPr>
          <w:rFonts w:hint="eastAsia" w:ascii="仿宋" w:hAnsi="仿宋" w:eastAsia="仿宋" w:cs="仿宋"/>
          <w:sz w:val="32"/>
          <w:szCs w:val="32"/>
        </w:rPr>
        <w:t>一是建立绩效目标审核机制</w:t>
      </w:r>
      <w:r>
        <w:rPr>
          <w:rFonts w:hint="eastAsia" w:ascii="仿宋" w:hAnsi="仿宋" w:eastAsia="仿宋" w:cs="仿宋"/>
          <w:sz w:val="32"/>
          <w:szCs w:val="32"/>
          <w:lang w:eastAsia="zh-CN"/>
        </w:rPr>
        <w:t>。</w:t>
      </w:r>
      <w:r>
        <w:rPr>
          <w:rFonts w:hint="eastAsia" w:ascii="仿宋" w:hAnsi="仿宋" w:eastAsia="仿宋" w:cs="仿宋"/>
          <w:sz w:val="32"/>
          <w:szCs w:val="32"/>
        </w:rPr>
        <w:t>债券资金应按照专项的绩效管理办法设置绩效目标和指标，且在债券申报、事前评估、事中监督、自评、事后评价等环节均保持绩效目标和指标的一致性，对于不符合要求的应及时修改、完善。二是</w:t>
      </w:r>
      <w:r>
        <w:rPr>
          <w:rFonts w:hint="eastAsia" w:ascii="仿宋" w:hAnsi="仿宋" w:eastAsia="仿宋"/>
          <w:sz w:val="32"/>
        </w:rPr>
        <w:t>科学合理设置绩效指标。按照</w:t>
      </w:r>
      <w:r>
        <w:rPr>
          <w:rFonts w:hint="eastAsia" w:ascii="仿宋" w:hAnsi="仿宋" w:eastAsia="仿宋"/>
          <w:sz w:val="32"/>
          <w:szCs w:val="32"/>
        </w:rPr>
        <w:t>《河北省政府专项债券项目资金绩效管理办法》</w:t>
      </w:r>
      <w:r>
        <w:rPr>
          <w:rFonts w:hint="eastAsia" w:ascii="仿宋" w:hAnsi="仿宋" w:eastAsia="仿宋"/>
          <w:sz w:val="32"/>
        </w:rPr>
        <w:t>的要求，从决策、管理、产出、效益四方面体现项目工作重点，设置绩效目标和指标，确保绩效指标规范完整。三是绩效指标设置应明确、精准、有效，做好前期调研与勘察，尽可能贴合实际工作量，为后期开展评价工作奠定基础。四是</w:t>
      </w:r>
      <w:r>
        <w:rPr>
          <w:rFonts w:hint="eastAsia" w:ascii="仿宋" w:hAnsi="仿宋" w:eastAsia="仿宋" w:cs="仿宋"/>
          <w:sz w:val="32"/>
          <w:szCs w:val="32"/>
        </w:rPr>
        <w:t>加强部门内部预算绩效管理工作的相关培训，提高人员的绩效管理意识、能力和水平，确保资</w:t>
      </w:r>
      <w:r>
        <w:rPr>
          <w:rFonts w:hint="eastAsia" w:ascii="仿宋" w:hAnsi="仿宋" w:eastAsia="仿宋"/>
          <w:sz w:val="32"/>
        </w:rPr>
        <w:t>金的高效利用。</w:t>
      </w:r>
    </w:p>
    <w:p>
      <w:pPr>
        <w:pStyle w:val="26"/>
        <w:spacing w:line="560" w:lineRule="exact"/>
        <w:ind w:firstLine="640"/>
        <w:outlineLvl w:val="2"/>
        <w:rPr>
          <w:rFonts w:hint="eastAsia" w:ascii="仿宋" w:hAnsi="仿宋" w:eastAsia="仿宋"/>
          <w:sz w:val="32"/>
        </w:rPr>
      </w:pPr>
      <w:r>
        <w:rPr>
          <w:rFonts w:hint="eastAsia" w:ascii="仿宋" w:hAnsi="仿宋" w:eastAsia="仿宋"/>
          <w:sz w:val="32"/>
        </w:rPr>
        <w:t>2.</w:t>
      </w:r>
      <w:r>
        <w:rPr>
          <w:rFonts w:hint="eastAsia" w:ascii="仿宋" w:hAnsi="仿宋" w:eastAsia="仿宋"/>
          <w:sz w:val="32"/>
          <w:lang w:eastAsia="zh-CN"/>
        </w:rPr>
        <w:t>加强成本控制，合理测算费用</w:t>
      </w:r>
      <w:r>
        <w:rPr>
          <w:rFonts w:hint="eastAsia" w:ascii="仿宋" w:hAnsi="仿宋" w:eastAsia="仿宋"/>
          <w:sz w:val="32"/>
        </w:rPr>
        <w:t>。</w:t>
      </w:r>
    </w:p>
    <w:p>
      <w:pPr>
        <w:pStyle w:val="26"/>
        <w:spacing w:line="560" w:lineRule="exact"/>
        <w:ind w:firstLine="640"/>
        <w:outlineLvl w:val="2"/>
        <w:rPr>
          <w:rFonts w:hint="eastAsia" w:ascii="仿宋" w:hAnsi="仿宋" w:eastAsia="仿宋"/>
          <w:sz w:val="32"/>
        </w:rPr>
      </w:pPr>
      <w:r>
        <w:rPr>
          <w:rFonts w:hint="eastAsia" w:ascii="仿宋" w:hAnsi="仿宋" w:eastAsia="仿宋"/>
          <w:sz w:val="32"/>
        </w:rPr>
        <w:t>建议市城管局按照建筑及施工行业相关规定做好项目前期调研论证，</w:t>
      </w:r>
      <w:r>
        <w:rPr>
          <w:rFonts w:hint="eastAsia" w:ascii="仿宋" w:hAnsi="仿宋" w:eastAsia="仿宋"/>
          <w:sz w:val="32"/>
          <w:lang w:eastAsia="zh-CN"/>
        </w:rPr>
        <w:t>结合市政排水工程属于隐蔽工程的特点，选择经验更丰富的设计单位，减少人为因素导致的</w:t>
      </w:r>
      <w:r>
        <w:rPr>
          <w:rFonts w:hint="eastAsia" w:ascii="仿宋" w:hAnsi="仿宋" w:eastAsia="仿宋"/>
          <w:sz w:val="32"/>
        </w:rPr>
        <w:t>工程项目变更</w:t>
      </w:r>
      <w:r>
        <w:rPr>
          <w:rFonts w:hint="eastAsia" w:ascii="仿宋" w:hAnsi="仿宋" w:eastAsia="仿宋"/>
          <w:sz w:val="32"/>
          <w:lang w:eastAsia="zh-CN"/>
        </w:rPr>
        <w:t>，避免实际成本与可研或初设差异过大造成的超概算情况发生</w:t>
      </w:r>
      <w:r>
        <w:rPr>
          <w:rFonts w:hint="eastAsia" w:ascii="仿宋" w:hAnsi="仿宋" w:eastAsia="仿宋"/>
          <w:sz w:val="32"/>
        </w:rPr>
        <w:t>。</w:t>
      </w:r>
    </w:p>
    <w:p>
      <w:pPr>
        <w:pStyle w:val="26"/>
        <w:spacing w:line="560" w:lineRule="exact"/>
        <w:ind w:firstLine="640"/>
        <w:outlineLvl w:val="2"/>
        <w:rPr>
          <w:rFonts w:hint="eastAsia" w:ascii="仿宋" w:hAnsi="仿宋" w:eastAsia="仿宋"/>
          <w:sz w:val="32"/>
        </w:rPr>
      </w:pPr>
      <w:r>
        <w:rPr>
          <w:rFonts w:hint="eastAsia" w:ascii="仿宋" w:hAnsi="仿宋" w:eastAsia="仿宋"/>
          <w:sz w:val="32"/>
        </w:rPr>
        <w:t>3.加快推进项目验收及资金支付。</w:t>
      </w:r>
    </w:p>
    <w:p>
      <w:pPr>
        <w:pStyle w:val="26"/>
        <w:spacing w:line="560" w:lineRule="exact"/>
        <w:ind w:firstLine="640"/>
        <w:outlineLvl w:val="2"/>
        <w:rPr>
          <w:rFonts w:hint="eastAsia" w:ascii="仿宋" w:hAnsi="仿宋" w:eastAsia="仿宋"/>
          <w:sz w:val="32"/>
          <w:szCs w:val="32"/>
        </w:rPr>
      </w:pPr>
      <w:r>
        <w:rPr>
          <w:rFonts w:hint="eastAsia" w:ascii="仿宋" w:hAnsi="仿宋" w:eastAsia="仿宋" w:cs="仿宋"/>
          <w:sz w:val="32"/>
          <w:szCs w:val="32"/>
        </w:rPr>
        <w:t>建议市城管局落实主体责任，发挥好部门统筹协调和监督管理的职责，严格执行项目实施</w:t>
      </w:r>
      <w:r>
        <w:rPr>
          <w:rFonts w:hint="eastAsia" w:ascii="仿宋" w:hAnsi="仿宋" w:eastAsia="仿宋" w:cs="仿宋"/>
          <w:sz w:val="32"/>
          <w:szCs w:val="32"/>
          <w:lang w:eastAsia="zh-CN"/>
        </w:rPr>
        <w:t>方案</w:t>
      </w:r>
      <w:r>
        <w:rPr>
          <w:rFonts w:hint="eastAsia" w:ascii="仿宋" w:hAnsi="仿宋" w:eastAsia="仿宋" w:cs="仿宋"/>
          <w:sz w:val="32"/>
          <w:szCs w:val="32"/>
        </w:rPr>
        <w:t>，分析项目进度滞后的原因并及时进行调整，建立应对机制，推进已完工项目验收等工作的开展，确保各项目按计划进行验收、移交及资金支付。</w:t>
      </w:r>
    </w:p>
    <w:p>
      <w:pPr>
        <w:spacing w:line="560" w:lineRule="exact"/>
        <w:ind w:firstLine="640" w:firstLineChars="200"/>
        <w:outlineLvl w:val="0"/>
        <w:rPr>
          <w:rFonts w:hint="eastAsia" w:ascii="仿宋" w:hAnsi="仿宋" w:eastAsia="仿宋"/>
          <w:sz w:val="32"/>
          <w:szCs w:val="32"/>
        </w:rPr>
      </w:pPr>
    </w:p>
    <w:p>
      <w:pPr>
        <w:snapToGrid w:val="0"/>
        <w:spacing w:line="560" w:lineRule="exact"/>
        <w:ind w:firstLine="640" w:firstLineChars="200"/>
        <w:jc w:val="left"/>
        <w:rPr>
          <w:rFonts w:ascii="Times New Roman" w:hAnsi="Times New Roman" w:eastAsia="仿宋_GB2312"/>
          <w:sz w:val="32"/>
          <w:szCs w:val="32"/>
        </w:rPr>
      </w:pPr>
      <w:bookmarkStart w:id="23" w:name="_GoBack"/>
      <w:bookmarkEnd w:id="23"/>
      <w:r>
        <w:rPr>
          <w:rFonts w:hint="eastAsia" w:ascii="仿宋" w:hAnsi="仿宋" w:eastAsia="仿宋"/>
          <w:sz w:val="32"/>
          <w:szCs w:val="32"/>
        </w:rPr>
        <w:t xml:space="preserve">                              2023年6月2</w:t>
      </w:r>
      <w:r>
        <w:rPr>
          <w:rFonts w:hint="eastAsia" w:ascii="仿宋" w:hAnsi="仿宋" w:eastAsia="仿宋"/>
          <w:sz w:val="32"/>
          <w:szCs w:val="32"/>
          <w:lang w:val="en-US" w:eastAsia="zh-CN"/>
        </w:rPr>
        <w:t>9</w:t>
      </w:r>
      <w:r>
        <w:rPr>
          <w:rFonts w:hint="eastAsia" w:ascii="仿宋" w:hAnsi="仿宋" w:eastAsia="仿宋"/>
          <w:sz w:val="32"/>
          <w:szCs w:val="32"/>
        </w:rPr>
        <w:t>日</w:t>
      </w:r>
    </w:p>
    <w:sectPr>
      <w:footerReference r:id="rId4" w:type="default"/>
      <w:pgSz w:w="11906" w:h="16838"/>
      <w:pgMar w:top="2098" w:right="1474" w:bottom="1701" w:left="1587"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center" w:pos="4422"/>
        <w:tab w:val="clear" w:pos="4153"/>
      </w:tabs>
    </w:pPr>
    <w:r>
      <w:rPr>
        <w:rFonts w:hint="eastAsia"/>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center" w:pos="4422"/>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8"/>
                          </w:pPr>
                          <w:r>
                            <w:fldChar w:fldCharType="begin"/>
                          </w:r>
                          <w:r>
                            <w:instrText xml:space="preserve"> PAGE  \* MERGEFORMAT </w:instrText>
                          </w:r>
                          <w:r>
                            <w:fldChar w:fldCharType="separate"/>
                          </w:r>
                          <w:r>
                            <w:t>17</w:t>
                          </w:r>
                          <w:r>
                            <w:fldChar w:fldCharType="end"/>
                          </w: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MbCJ88BAACqAwAADgAAAGRycy9lMm9Eb2MueG1srVPNjtMwEL4j8Q6W&#10;7zRpkaCKmq5A1SIkBEjLPoDrOI0l/2nGbdIXgDfgxIU7z9XnYOwkXVgue+DizJ+/me/zZHMzWMNO&#10;ClB7V/PlouRMOekb7Q41v/9y+2LNGUbhGmG8UzU/K+Q32+fPNn2o1Mp33jQKGIE4rPpQ8y7GUBUF&#10;yk5ZgQsflKNk68GKSC4cigZET+jWFKuyfFX0HpoAXipEiu7GJJ8Q4SmAvm21VDsvj1a5OKKCMiIS&#10;Jex0QL7N07atkvFT26KKzNScmMZ8UhOy9+ksthtRHUCETstpBPGUER5xskI7anqF2oko2BH0P1BW&#10;S/Do27iQ3hYjkawIsViWj7S560RQmQtJjeEqOv4/WPnx9BmYbmr+kjMnLD345fu3y49fl59f2bJc&#10;vU4K9QErKrwLVBqHt36gvZnjSMFEfGjBpi9RYpQnfc9XfdUQmUyX1qv1uqSUpNzsEH7xcD0AxnfK&#10;W5aMmgM9YNZVnD5gHEvnktTN+VttTH5E4/4KEOYYUXkLptuJyThxsuKwHyZ6e9+ciV1Pm1BzR4vP&#10;mXnvSOi0NLMBs7GfjWMAfeho0GWeEsObY6SR8qSpwwhLDJNDT5i5TuuWduRPP1c9/GLb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QxsInzwEAAKoDAAAOAAAAAAAAAAEAIAAAAB4BAABkcnMv&#10;ZTJvRG9jLnhtbFBLBQYAAAAABgAGAFkBAABfBQAAAAA=&#10;">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17</w:t>
                    </w:r>
                    <w:r>
                      <w:fldChar w:fldCharType="end"/>
                    </w:r>
                  </w:p>
                </w:txbxContent>
              </v:textbox>
            </v:shape>
          </w:pict>
        </mc:Fallback>
      </mc:AlternateContent>
    </w:r>
    <w: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4"/>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0000000B"/>
    <w:multiLevelType w:val="singleLevel"/>
    <w:tmpl w:val="0000000B"/>
    <w:lvl w:ilvl="0" w:tentative="0">
      <w:start w:val="2"/>
      <w:numFmt w:val="chineseCounting"/>
      <w:suff w:val="nothing"/>
      <w:lvlText w:val="（%1）"/>
      <w:lvlJc w:val="left"/>
      <w:rPr>
        <w:rFonts w:hint="eastAsia"/>
      </w:rPr>
    </w:lvl>
  </w:abstractNum>
  <w:abstractNum w:abstractNumId="2">
    <w:nsid w:val="3238ECBF"/>
    <w:multiLevelType w:val="singleLevel"/>
    <w:tmpl w:val="3238ECBF"/>
    <w:lvl w:ilvl="0" w:tentative="0">
      <w:start w:val="3"/>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Y3M2E1Y2JjNTA2ZDQ2MjM5YjA5OTc0MGIzMzNhMzUifQ=="/>
  </w:docVars>
  <w:rsids>
    <w:rsidRoot w:val="00DF6BC0"/>
    <w:rsid w:val="0000678D"/>
    <w:rsid w:val="00007172"/>
    <w:rsid w:val="00040970"/>
    <w:rsid w:val="00055FF8"/>
    <w:rsid w:val="000772F0"/>
    <w:rsid w:val="000B1DDB"/>
    <w:rsid w:val="000C4B99"/>
    <w:rsid w:val="000D06C9"/>
    <w:rsid w:val="000D410C"/>
    <w:rsid w:val="000E2EF3"/>
    <w:rsid w:val="000F6D08"/>
    <w:rsid w:val="0010147D"/>
    <w:rsid w:val="00117192"/>
    <w:rsid w:val="0013371E"/>
    <w:rsid w:val="001465A3"/>
    <w:rsid w:val="001675A6"/>
    <w:rsid w:val="00197751"/>
    <w:rsid w:val="001A0A02"/>
    <w:rsid w:val="001C276F"/>
    <w:rsid w:val="00204DCC"/>
    <w:rsid w:val="00213A78"/>
    <w:rsid w:val="00214771"/>
    <w:rsid w:val="00225A44"/>
    <w:rsid w:val="002506FA"/>
    <w:rsid w:val="002736EA"/>
    <w:rsid w:val="002737F1"/>
    <w:rsid w:val="002A56AC"/>
    <w:rsid w:val="002B7D3B"/>
    <w:rsid w:val="002D234B"/>
    <w:rsid w:val="002E7BDA"/>
    <w:rsid w:val="002F250A"/>
    <w:rsid w:val="00300DDC"/>
    <w:rsid w:val="0030117A"/>
    <w:rsid w:val="0031263D"/>
    <w:rsid w:val="00314B89"/>
    <w:rsid w:val="0032196E"/>
    <w:rsid w:val="003541EA"/>
    <w:rsid w:val="003659CF"/>
    <w:rsid w:val="00380DCD"/>
    <w:rsid w:val="003952B8"/>
    <w:rsid w:val="0039592B"/>
    <w:rsid w:val="003A1ED9"/>
    <w:rsid w:val="003A5940"/>
    <w:rsid w:val="003C22CB"/>
    <w:rsid w:val="003D0951"/>
    <w:rsid w:val="0040326B"/>
    <w:rsid w:val="00412BF3"/>
    <w:rsid w:val="00415839"/>
    <w:rsid w:val="0042209C"/>
    <w:rsid w:val="00425939"/>
    <w:rsid w:val="00463F5D"/>
    <w:rsid w:val="004767D6"/>
    <w:rsid w:val="004B05E5"/>
    <w:rsid w:val="004B5872"/>
    <w:rsid w:val="004B5E41"/>
    <w:rsid w:val="004C0DA7"/>
    <w:rsid w:val="004D181E"/>
    <w:rsid w:val="00505183"/>
    <w:rsid w:val="005277B3"/>
    <w:rsid w:val="005752F7"/>
    <w:rsid w:val="005B22DA"/>
    <w:rsid w:val="005D7425"/>
    <w:rsid w:val="00606A9F"/>
    <w:rsid w:val="00624F61"/>
    <w:rsid w:val="00641781"/>
    <w:rsid w:val="00656B05"/>
    <w:rsid w:val="00656F5B"/>
    <w:rsid w:val="00666983"/>
    <w:rsid w:val="00686FE1"/>
    <w:rsid w:val="006949C5"/>
    <w:rsid w:val="006A66BB"/>
    <w:rsid w:val="006B79B1"/>
    <w:rsid w:val="006C2FCE"/>
    <w:rsid w:val="006C6530"/>
    <w:rsid w:val="006D3AAC"/>
    <w:rsid w:val="006D76F3"/>
    <w:rsid w:val="006E5398"/>
    <w:rsid w:val="006F56D7"/>
    <w:rsid w:val="00703701"/>
    <w:rsid w:val="007050B7"/>
    <w:rsid w:val="00705DAD"/>
    <w:rsid w:val="007515EF"/>
    <w:rsid w:val="007B03DB"/>
    <w:rsid w:val="007C016E"/>
    <w:rsid w:val="008071A1"/>
    <w:rsid w:val="0081444E"/>
    <w:rsid w:val="00823AA7"/>
    <w:rsid w:val="00830FE0"/>
    <w:rsid w:val="00832E9D"/>
    <w:rsid w:val="00833C55"/>
    <w:rsid w:val="00842F53"/>
    <w:rsid w:val="008442E5"/>
    <w:rsid w:val="0084686E"/>
    <w:rsid w:val="008517EC"/>
    <w:rsid w:val="00866A88"/>
    <w:rsid w:val="00873295"/>
    <w:rsid w:val="008927D3"/>
    <w:rsid w:val="008B4B84"/>
    <w:rsid w:val="008C6372"/>
    <w:rsid w:val="008E22EE"/>
    <w:rsid w:val="009139EE"/>
    <w:rsid w:val="00915B1F"/>
    <w:rsid w:val="00916F83"/>
    <w:rsid w:val="00946694"/>
    <w:rsid w:val="00952B5F"/>
    <w:rsid w:val="00961CA6"/>
    <w:rsid w:val="00984176"/>
    <w:rsid w:val="009B744A"/>
    <w:rsid w:val="009D0406"/>
    <w:rsid w:val="00A22D82"/>
    <w:rsid w:val="00A4206C"/>
    <w:rsid w:val="00A66A61"/>
    <w:rsid w:val="00A74A79"/>
    <w:rsid w:val="00A8121D"/>
    <w:rsid w:val="00A87A23"/>
    <w:rsid w:val="00A96FBB"/>
    <w:rsid w:val="00AA6D64"/>
    <w:rsid w:val="00AB38D3"/>
    <w:rsid w:val="00AB4813"/>
    <w:rsid w:val="00AC5491"/>
    <w:rsid w:val="00AC5A9F"/>
    <w:rsid w:val="00AD6C0C"/>
    <w:rsid w:val="00B33A01"/>
    <w:rsid w:val="00B50524"/>
    <w:rsid w:val="00B50627"/>
    <w:rsid w:val="00B5143B"/>
    <w:rsid w:val="00B64578"/>
    <w:rsid w:val="00B77751"/>
    <w:rsid w:val="00B96A3C"/>
    <w:rsid w:val="00B976F8"/>
    <w:rsid w:val="00BB69B1"/>
    <w:rsid w:val="00BD419C"/>
    <w:rsid w:val="00BE1EE9"/>
    <w:rsid w:val="00BE46FD"/>
    <w:rsid w:val="00BF575D"/>
    <w:rsid w:val="00C02F3C"/>
    <w:rsid w:val="00C24D15"/>
    <w:rsid w:val="00C71FC8"/>
    <w:rsid w:val="00C863CF"/>
    <w:rsid w:val="00C96DD7"/>
    <w:rsid w:val="00CA7D54"/>
    <w:rsid w:val="00CB035D"/>
    <w:rsid w:val="00CB5E25"/>
    <w:rsid w:val="00CC2E12"/>
    <w:rsid w:val="00CC51D9"/>
    <w:rsid w:val="00CC62A7"/>
    <w:rsid w:val="00CF1554"/>
    <w:rsid w:val="00D005F2"/>
    <w:rsid w:val="00D10A8B"/>
    <w:rsid w:val="00D15A07"/>
    <w:rsid w:val="00D41587"/>
    <w:rsid w:val="00D74F6D"/>
    <w:rsid w:val="00DD5DEE"/>
    <w:rsid w:val="00DE18C6"/>
    <w:rsid w:val="00DF1C3B"/>
    <w:rsid w:val="00DF6BC0"/>
    <w:rsid w:val="00E041BB"/>
    <w:rsid w:val="00E210AF"/>
    <w:rsid w:val="00E210FF"/>
    <w:rsid w:val="00E320C2"/>
    <w:rsid w:val="00E45D39"/>
    <w:rsid w:val="00E45D8E"/>
    <w:rsid w:val="00E55B68"/>
    <w:rsid w:val="00E57A49"/>
    <w:rsid w:val="00E663E1"/>
    <w:rsid w:val="00E70F00"/>
    <w:rsid w:val="00E85AB2"/>
    <w:rsid w:val="00EB51C9"/>
    <w:rsid w:val="00EB6BE8"/>
    <w:rsid w:val="00ED48D0"/>
    <w:rsid w:val="00EE32F3"/>
    <w:rsid w:val="00EF5259"/>
    <w:rsid w:val="00F03D09"/>
    <w:rsid w:val="00F12BEA"/>
    <w:rsid w:val="00F21606"/>
    <w:rsid w:val="00F25E2F"/>
    <w:rsid w:val="00F2643C"/>
    <w:rsid w:val="00F266F5"/>
    <w:rsid w:val="00F51F42"/>
    <w:rsid w:val="00F55BCE"/>
    <w:rsid w:val="00F67101"/>
    <w:rsid w:val="00F73180"/>
    <w:rsid w:val="00FA3EB6"/>
    <w:rsid w:val="00FC6F38"/>
    <w:rsid w:val="00FC7B6B"/>
    <w:rsid w:val="00FE6197"/>
    <w:rsid w:val="00FE7012"/>
    <w:rsid w:val="00FF597D"/>
    <w:rsid w:val="013E1659"/>
    <w:rsid w:val="015148EF"/>
    <w:rsid w:val="01E6545D"/>
    <w:rsid w:val="02384E87"/>
    <w:rsid w:val="02524342"/>
    <w:rsid w:val="03176F6F"/>
    <w:rsid w:val="03394F93"/>
    <w:rsid w:val="0391535D"/>
    <w:rsid w:val="039A3118"/>
    <w:rsid w:val="03F34548"/>
    <w:rsid w:val="053D2B19"/>
    <w:rsid w:val="05533213"/>
    <w:rsid w:val="061E0B8A"/>
    <w:rsid w:val="068B2091"/>
    <w:rsid w:val="070D26E1"/>
    <w:rsid w:val="072E3EF2"/>
    <w:rsid w:val="07EF0236"/>
    <w:rsid w:val="0A6D0696"/>
    <w:rsid w:val="0A6F7C96"/>
    <w:rsid w:val="0B2700A3"/>
    <w:rsid w:val="0B551BC3"/>
    <w:rsid w:val="0C702B85"/>
    <w:rsid w:val="0C762CD4"/>
    <w:rsid w:val="0D951A3B"/>
    <w:rsid w:val="0F3D451B"/>
    <w:rsid w:val="0FA66539"/>
    <w:rsid w:val="0FFE5298"/>
    <w:rsid w:val="101833B4"/>
    <w:rsid w:val="103A05AB"/>
    <w:rsid w:val="1058427A"/>
    <w:rsid w:val="120619EE"/>
    <w:rsid w:val="12B73D27"/>
    <w:rsid w:val="12EC610C"/>
    <w:rsid w:val="13CA5B3F"/>
    <w:rsid w:val="144162BD"/>
    <w:rsid w:val="14A85B1A"/>
    <w:rsid w:val="14A86045"/>
    <w:rsid w:val="14E424E5"/>
    <w:rsid w:val="15685A60"/>
    <w:rsid w:val="16BA5494"/>
    <w:rsid w:val="171D4CAF"/>
    <w:rsid w:val="177F245A"/>
    <w:rsid w:val="18F1400C"/>
    <w:rsid w:val="19103DAC"/>
    <w:rsid w:val="193177BE"/>
    <w:rsid w:val="193C22F3"/>
    <w:rsid w:val="19E02523"/>
    <w:rsid w:val="1B530684"/>
    <w:rsid w:val="1B6233C8"/>
    <w:rsid w:val="1C1F3278"/>
    <w:rsid w:val="1C4C3A51"/>
    <w:rsid w:val="1C5C336C"/>
    <w:rsid w:val="1CD22D42"/>
    <w:rsid w:val="1E4465C6"/>
    <w:rsid w:val="1E575CCD"/>
    <w:rsid w:val="1EF6248C"/>
    <w:rsid w:val="1F256949"/>
    <w:rsid w:val="1F26038C"/>
    <w:rsid w:val="1F430A42"/>
    <w:rsid w:val="20427645"/>
    <w:rsid w:val="20B35CEE"/>
    <w:rsid w:val="215324A5"/>
    <w:rsid w:val="21D4251F"/>
    <w:rsid w:val="221B1EC0"/>
    <w:rsid w:val="222355AB"/>
    <w:rsid w:val="233D4FDC"/>
    <w:rsid w:val="23506070"/>
    <w:rsid w:val="237D091B"/>
    <w:rsid w:val="24AC0E4D"/>
    <w:rsid w:val="25FB1DFB"/>
    <w:rsid w:val="26075B3D"/>
    <w:rsid w:val="26B60377"/>
    <w:rsid w:val="26EC6E81"/>
    <w:rsid w:val="29002148"/>
    <w:rsid w:val="291855BA"/>
    <w:rsid w:val="297C7C3F"/>
    <w:rsid w:val="29835F30"/>
    <w:rsid w:val="29A30A29"/>
    <w:rsid w:val="29C37F84"/>
    <w:rsid w:val="2AB9225B"/>
    <w:rsid w:val="2B97384F"/>
    <w:rsid w:val="2B9E0B05"/>
    <w:rsid w:val="2DEF4F55"/>
    <w:rsid w:val="2E933762"/>
    <w:rsid w:val="2EE70EEC"/>
    <w:rsid w:val="2EFA558F"/>
    <w:rsid w:val="3015598B"/>
    <w:rsid w:val="30295295"/>
    <w:rsid w:val="31F72A86"/>
    <w:rsid w:val="332636B6"/>
    <w:rsid w:val="341E2E0A"/>
    <w:rsid w:val="34916A5A"/>
    <w:rsid w:val="35151C0C"/>
    <w:rsid w:val="3538471B"/>
    <w:rsid w:val="35500D94"/>
    <w:rsid w:val="3580243F"/>
    <w:rsid w:val="365C586C"/>
    <w:rsid w:val="366B677B"/>
    <w:rsid w:val="36B3435D"/>
    <w:rsid w:val="36BA7C1A"/>
    <w:rsid w:val="373125BA"/>
    <w:rsid w:val="37C321A6"/>
    <w:rsid w:val="38466530"/>
    <w:rsid w:val="38D940A3"/>
    <w:rsid w:val="39274492"/>
    <w:rsid w:val="39411259"/>
    <w:rsid w:val="399A0CE6"/>
    <w:rsid w:val="3A2D0B17"/>
    <w:rsid w:val="3C890038"/>
    <w:rsid w:val="3CD157EA"/>
    <w:rsid w:val="3CFB7CF1"/>
    <w:rsid w:val="3CFC6C08"/>
    <w:rsid w:val="3DAA4F54"/>
    <w:rsid w:val="3DF05AD7"/>
    <w:rsid w:val="3DF64D47"/>
    <w:rsid w:val="3E7D2F21"/>
    <w:rsid w:val="3EFE6FA3"/>
    <w:rsid w:val="40754B7A"/>
    <w:rsid w:val="40A86BF9"/>
    <w:rsid w:val="40C40198"/>
    <w:rsid w:val="41393CF5"/>
    <w:rsid w:val="43183588"/>
    <w:rsid w:val="436808C1"/>
    <w:rsid w:val="43BB4E95"/>
    <w:rsid w:val="44217E92"/>
    <w:rsid w:val="476E221E"/>
    <w:rsid w:val="47D72FE1"/>
    <w:rsid w:val="48A81372"/>
    <w:rsid w:val="48BD16AF"/>
    <w:rsid w:val="49565143"/>
    <w:rsid w:val="4B3E457C"/>
    <w:rsid w:val="4B525B2F"/>
    <w:rsid w:val="4C141988"/>
    <w:rsid w:val="4C172533"/>
    <w:rsid w:val="4C61656D"/>
    <w:rsid w:val="4D0A4EAC"/>
    <w:rsid w:val="4DB67CDD"/>
    <w:rsid w:val="4EE352D3"/>
    <w:rsid w:val="4EF9115A"/>
    <w:rsid w:val="4FF736F9"/>
    <w:rsid w:val="50814CB9"/>
    <w:rsid w:val="50D05C0A"/>
    <w:rsid w:val="51D51563"/>
    <w:rsid w:val="522827A9"/>
    <w:rsid w:val="525D2199"/>
    <w:rsid w:val="52754DA9"/>
    <w:rsid w:val="534F73A8"/>
    <w:rsid w:val="53723E9A"/>
    <w:rsid w:val="53ED0AB4"/>
    <w:rsid w:val="547009CE"/>
    <w:rsid w:val="5498776A"/>
    <w:rsid w:val="54A76ED9"/>
    <w:rsid w:val="54B9762A"/>
    <w:rsid w:val="54E3618B"/>
    <w:rsid w:val="55320C57"/>
    <w:rsid w:val="555747C6"/>
    <w:rsid w:val="55720674"/>
    <w:rsid w:val="5664702C"/>
    <w:rsid w:val="57A852D8"/>
    <w:rsid w:val="5818420C"/>
    <w:rsid w:val="589361B2"/>
    <w:rsid w:val="59851D75"/>
    <w:rsid w:val="59BA16DB"/>
    <w:rsid w:val="5A9621C3"/>
    <w:rsid w:val="5ADC2091"/>
    <w:rsid w:val="5BFB1340"/>
    <w:rsid w:val="5C043AA7"/>
    <w:rsid w:val="5CDD73CB"/>
    <w:rsid w:val="5DD26755"/>
    <w:rsid w:val="5DFB4449"/>
    <w:rsid w:val="5EB01BEC"/>
    <w:rsid w:val="5F907DDA"/>
    <w:rsid w:val="5F941C60"/>
    <w:rsid w:val="5FBD0D16"/>
    <w:rsid w:val="604970E3"/>
    <w:rsid w:val="60B90FAE"/>
    <w:rsid w:val="61013132"/>
    <w:rsid w:val="61653A35"/>
    <w:rsid w:val="61882403"/>
    <w:rsid w:val="61DA0220"/>
    <w:rsid w:val="62E53885"/>
    <w:rsid w:val="62E90A6F"/>
    <w:rsid w:val="63387E58"/>
    <w:rsid w:val="64451DE1"/>
    <w:rsid w:val="64CA3CB4"/>
    <w:rsid w:val="652B428C"/>
    <w:rsid w:val="656A2DED"/>
    <w:rsid w:val="66506058"/>
    <w:rsid w:val="67386BFA"/>
    <w:rsid w:val="68004BD8"/>
    <w:rsid w:val="695232F6"/>
    <w:rsid w:val="699A403A"/>
    <w:rsid w:val="69E44896"/>
    <w:rsid w:val="69EB68C7"/>
    <w:rsid w:val="69FD14B4"/>
    <w:rsid w:val="6A146813"/>
    <w:rsid w:val="6A1B2C1B"/>
    <w:rsid w:val="6A7158D1"/>
    <w:rsid w:val="6A8756D2"/>
    <w:rsid w:val="6AE34B4E"/>
    <w:rsid w:val="6AEF5E7F"/>
    <w:rsid w:val="6B205C17"/>
    <w:rsid w:val="6C134CC8"/>
    <w:rsid w:val="6D033070"/>
    <w:rsid w:val="6D135E9B"/>
    <w:rsid w:val="6DCF3167"/>
    <w:rsid w:val="70057DDA"/>
    <w:rsid w:val="70626515"/>
    <w:rsid w:val="715E5D14"/>
    <w:rsid w:val="71C71786"/>
    <w:rsid w:val="723B4133"/>
    <w:rsid w:val="725773BE"/>
    <w:rsid w:val="72FB5987"/>
    <w:rsid w:val="746E7EE3"/>
    <w:rsid w:val="75510759"/>
    <w:rsid w:val="780E1FFE"/>
    <w:rsid w:val="787923C8"/>
    <w:rsid w:val="78DC6613"/>
    <w:rsid w:val="78FD5AF8"/>
    <w:rsid w:val="79B82F8A"/>
    <w:rsid w:val="79E844B1"/>
    <w:rsid w:val="7A422487"/>
    <w:rsid w:val="7AB02158"/>
    <w:rsid w:val="7B2D4931"/>
    <w:rsid w:val="7B8D7477"/>
    <w:rsid w:val="7D9903EE"/>
    <w:rsid w:val="7DFC7D5A"/>
    <w:rsid w:val="7E54339D"/>
    <w:rsid w:val="7E9F2B69"/>
    <w:rsid w:val="7EB9294C"/>
    <w:rsid w:val="7EEB7AC2"/>
    <w:rsid w:val="7FCA6AFD"/>
    <w:rsid w:val="7FDA06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b/>
      <w:bCs/>
      <w:kern w:val="44"/>
      <w:sz w:val="48"/>
      <w:szCs w:val="48"/>
    </w:rPr>
  </w:style>
  <w:style w:type="paragraph" w:styleId="4">
    <w:name w:val="heading 6"/>
    <w:basedOn w:val="1"/>
    <w:next w:val="1"/>
    <w:qFormat/>
    <w:uiPriority w:val="0"/>
    <w:pPr>
      <w:keepNext/>
      <w:keepLines/>
      <w:spacing w:line="360" w:lineRule="auto"/>
      <w:outlineLvl w:val="5"/>
    </w:pPr>
    <w:rPr>
      <w:rFonts w:ascii="Cambria" w:hAnsi="Cambria"/>
      <w:bCs/>
      <w:sz w:val="24"/>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正文（缩进）"/>
    <w:basedOn w:val="1"/>
    <w:qFormat/>
    <w:uiPriority w:val="0"/>
    <w:pPr>
      <w:spacing w:before="50" w:after="50"/>
      <w:ind w:firstLine="200" w:firstLineChars="200"/>
    </w:pPr>
  </w:style>
  <w:style w:type="paragraph" w:styleId="5">
    <w:name w:val="annotation text"/>
    <w:basedOn w:val="1"/>
    <w:link w:val="20"/>
    <w:qFormat/>
    <w:uiPriority w:val="0"/>
    <w:pPr>
      <w:jc w:val="left"/>
    </w:pPr>
  </w:style>
  <w:style w:type="paragraph" w:styleId="6">
    <w:name w:val="Body Text"/>
    <w:basedOn w:val="1"/>
    <w:link w:val="41"/>
    <w:qFormat/>
    <w:uiPriority w:val="99"/>
    <w:pPr>
      <w:spacing w:after="120"/>
    </w:pPr>
  </w:style>
  <w:style w:type="paragraph" w:styleId="7">
    <w:name w:val="Balloon Text"/>
    <w:basedOn w:val="1"/>
    <w:link w:val="21"/>
    <w:qFormat/>
    <w:uiPriority w:val="0"/>
    <w:rPr>
      <w:sz w:val="18"/>
      <w:szCs w:val="18"/>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table" w:styleId="13">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qFormat/>
    <w:uiPriority w:val="0"/>
    <w:rPr>
      <w:b/>
    </w:rPr>
  </w:style>
  <w:style w:type="character" w:styleId="16">
    <w:name w:val="Hyperlink"/>
    <w:qFormat/>
    <w:uiPriority w:val="0"/>
    <w:rPr>
      <w:color w:val="0000FF"/>
      <w:u w:val="single"/>
    </w:rPr>
  </w:style>
  <w:style w:type="character" w:styleId="17">
    <w:name w:val="annotation reference"/>
    <w:semiHidden/>
    <w:unhideWhenUsed/>
    <w:qFormat/>
    <w:uiPriority w:val="99"/>
    <w:rPr>
      <w:sz w:val="21"/>
      <w:szCs w:val="21"/>
    </w:rPr>
  </w:style>
  <w:style w:type="character" w:customStyle="1" w:styleId="18">
    <w:name w:val="批注主题 Char"/>
    <w:link w:val="19"/>
    <w:semiHidden/>
    <w:qFormat/>
    <w:uiPriority w:val="0"/>
    <w:rPr>
      <w:rFonts w:ascii="Calibri" w:hAnsi="Calibri"/>
      <w:b/>
      <w:bCs/>
      <w:kern w:val="2"/>
      <w:sz w:val="21"/>
      <w:szCs w:val="22"/>
    </w:rPr>
  </w:style>
  <w:style w:type="paragraph" w:customStyle="1" w:styleId="19">
    <w:name w:val="批注主题1"/>
    <w:basedOn w:val="5"/>
    <w:next w:val="5"/>
    <w:link w:val="18"/>
    <w:qFormat/>
    <w:uiPriority w:val="0"/>
    <w:rPr>
      <w:b/>
      <w:bCs/>
    </w:rPr>
  </w:style>
  <w:style w:type="character" w:customStyle="1" w:styleId="20">
    <w:name w:val="批注文字 Char"/>
    <w:link w:val="5"/>
    <w:semiHidden/>
    <w:qFormat/>
    <w:uiPriority w:val="0"/>
    <w:rPr>
      <w:rFonts w:ascii="Calibri" w:hAnsi="Calibri"/>
      <w:kern w:val="2"/>
      <w:sz w:val="21"/>
      <w:szCs w:val="22"/>
    </w:rPr>
  </w:style>
  <w:style w:type="character" w:customStyle="1" w:styleId="21">
    <w:name w:val="批注框文本 Char"/>
    <w:link w:val="7"/>
    <w:semiHidden/>
    <w:qFormat/>
    <w:uiPriority w:val="0"/>
    <w:rPr>
      <w:rFonts w:ascii="Calibri" w:hAnsi="Calibri"/>
      <w:kern w:val="2"/>
      <w:sz w:val="18"/>
      <w:szCs w:val="18"/>
    </w:rPr>
  </w:style>
  <w:style w:type="paragraph" w:customStyle="1" w:styleId="22">
    <w:name w:val="正文缩进1"/>
    <w:basedOn w:val="1"/>
    <w:qFormat/>
    <w:uiPriority w:val="0"/>
    <w:pPr>
      <w:ind w:firstLine="420" w:firstLineChars="200"/>
    </w:pPr>
  </w:style>
  <w:style w:type="paragraph" w:customStyle="1" w:styleId="23">
    <w:name w:val="列表1"/>
    <w:basedOn w:val="1"/>
    <w:qFormat/>
    <w:uiPriority w:val="0"/>
    <w:pPr>
      <w:keepLines/>
      <w:spacing w:line="180" w:lineRule="atLeast"/>
      <w:jc w:val="center"/>
    </w:pPr>
    <w:rPr>
      <w:sz w:val="22"/>
    </w:rPr>
  </w:style>
  <w:style w:type="paragraph" w:customStyle="1" w:styleId="24">
    <w:name w:val="正文文本缩进1"/>
    <w:basedOn w:val="1"/>
    <w:qFormat/>
    <w:uiPriority w:val="0"/>
    <w:pPr>
      <w:autoSpaceDE w:val="0"/>
      <w:autoSpaceDN w:val="0"/>
      <w:adjustRightInd w:val="0"/>
      <w:snapToGrid w:val="0"/>
      <w:spacing w:line="588" w:lineRule="atLeast"/>
      <w:ind w:left="1596" w:hanging="969"/>
    </w:pPr>
    <w:rPr>
      <w:rFonts w:ascii="宋体" w:hAnsi="宋体" w:eastAsia="仿宋_GB2312"/>
      <w:spacing w:val="6"/>
      <w:sz w:val="30"/>
    </w:rPr>
  </w:style>
  <w:style w:type="paragraph" w:customStyle="1" w:styleId="25">
    <w:name w:val="普通(网站)1"/>
    <w:basedOn w:val="1"/>
    <w:qFormat/>
    <w:uiPriority w:val="0"/>
    <w:pPr>
      <w:spacing w:before="100" w:beforeAutospacing="1" w:after="100" w:afterAutospacing="1"/>
      <w:jc w:val="left"/>
    </w:pPr>
    <w:rPr>
      <w:kern w:val="0"/>
      <w:sz w:val="24"/>
    </w:rPr>
  </w:style>
  <w:style w:type="paragraph" w:customStyle="1" w:styleId="26">
    <w:name w:val="列表段落1"/>
    <w:basedOn w:val="1"/>
    <w:qFormat/>
    <w:uiPriority w:val="0"/>
    <w:pPr>
      <w:ind w:firstLine="420" w:firstLineChars="200"/>
    </w:pPr>
  </w:style>
  <w:style w:type="paragraph" w:customStyle="1" w:styleId="27">
    <w:name w:val="3级标题"/>
    <w:basedOn w:val="1"/>
    <w:qFormat/>
    <w:uiPriority w:val="0"/>
    <w:pPr>
      <w:spacing w:line="600" w:lineRule="exact"/>
      <w:ind w:firstLine="643" w:firstLineChars="200"/>
      <w:outlineLvl w:val="2"/>
    </w:pPr>
    <w:rPr>
      <w:rFonts w:ascii="仿宋" w:hAnsi="仿宋" w:eastAsia="仿宋"/>
      <w:b/>
      <w:sz w:val="32"/>
      <w:szCs w:val="32"/>
    </w:rPr>
  </w:style>
  <w:style w:type="paragraph" w:customStyle="1" w:styleId="28">
    <w:name w:val="UserStyle_0"/>
    <w:basedOn w:val="1"/>
    <w:qFormat/>
    <w:uiPriority w:val="0"/>
    <w:pPr>
      <w:ind w:firstLine="420" w:firstLineChars="200"/>
    </w:pPr>
  </w:style>
  <w:style w:type="paragraph" w:customStyle="1" w:styleId="29">
    <w:name w:val="WPSOffice手动目录 3"/>
    <w:qFormat/>
    <w:uiPriority w:val="0"/>
    <w:pPr>
      <w:ind w:left="400" w:leftChars="400"/>
    </w:pPr>
    <w:rPr>
      <w:rFonts w:ascii="Calibri" w:hAnsi="Calibri" w:eastAsia="宋体" w:cs="黑体"/>
      <w:lang w:val="en-US" w:eastAsia="zh-CN" w:bidi="ar-SA"/>
    </w:rPr>
  </w:style>
  <w:style w:type="paragraph" w:customStyle="1" w:styleId="30">
    <w:name w:val="WPSOffice手动目录 1"/>
    <w:qFormat/>
    <w:uiPriority w:val="0"/>
    <w:rPr>
      <w:rFonts w:ascii="Calibri" w:hAnsi="Calibri" w:eastAsia="宋体" w:cs="黑体"/>
      <w:lang w:val="en-US" w:eastAsia="zh-CN" w:bidi="ar-SA"/>
    </w:rPr>
  </w:style>
  <w:style w:type="paragraph" w:customStyle="1" w:styleId="31">
    <w:name w:val="WPSOffice手动目录 2"/>
    <w:qFormat/>
    <w:uiPriority w:val="0"/>
    <w:pPr>
      <w:ind w:left="200" w:leftChars="200"/>
    </w:pPr>
    <w:rPr>
      <w:rFonts w:ascii="Calibri" w:hAnsi="Calibri" w:eastAsia="宋体" w:cs="黑体"/>
      <w:lang w:val="en-US" w:eastAsia="zh-CN" w:bidi="ar-SA"/>
    </w:rPr>
  </w:style>
  <w:style w:type="paragraph" w:customStyle="1" w:styleId="32">
    <w:name w:val="列表段落11"/>
    <w:basedOn w:val="1"/>
    <w:qFormat/>
    <w:uiPriority w:val="0"/>
    <w:pPr>
      <w:ind w:firstLine="420" w:firstLineChars="200"/>
    </w:pPr>
  </w:style>
  <w:style w:type="paragraph" w:customStyle="1" w:styleId="33">
    <w:name w:val="列出段落1"/>
    <w:basedOn w:val="1"/>
    <w:qFormat/>
    <w:uiPriority w:val="0"/>
    <w:pPr>
      <w:ind w:firstLine="420" w:firstLineChars="200"/>
    </w:pPr>
  </w:style>
  <w:style w:type="paragraph" w:customStyle="1" w:styleId="34">
    <w:name w:val="列出段落2"/>
    <w:basedOn w:val="1"/>
    <w:qFormat/>
    <w:uiPriority w:val="0"/>
    <w:pPr>
      <w:ind w:firstLine="420" w:firstLineChars="200"/>
    </w:pPr>
  </w:style>
  <w:style w:type="character" w:customStyle="1" w:styleId="35">
    <w:name w:val="批注引用1"/>
    <w:qFormat/>
    <w:uiPriority w:val="0"/>
    <w:rPr>
      <w:sz w:val="21"/>
      <w:szCs w:val="21"/>
    </w:rPr>
  </w:style>
  <w:style w:type="character" w:customStyle="1" w:styleId="36">
    <w:name w:val="NormalCharacter"/>
    <w:qFormat/>
    <w:uiPriority w:val="0"/>
  </w:style>
  <w:style w:type="character" w:customStyle="1" w:styleId="37">
    <w:name w:val="font71"/>
    <w:qFormat/>
    <w:uiPriority w:val="0"/>
    <w:rPr>
      <w:rFonts w:hint="eastAsia" w:ascii="宋体" w:hAnsi="宋体" w:eastAsia="宋体" w:cs="宋体"/>
      <w:color w:val="000000"/>
      <w:sz w:val="18"/>
      <w:szCs w:val="18"/>
      <w:u w:val="none"/>
    </w:rPr>
  </w:style>
  <w:style w:type="character" w:customStyle="1" w:styleId="38">
    <w:name w:val="font81"/>
    <w:qFormat/>
    <w:uiPriority w:val="0"/>
    <w:rPr>
      <w:rFonts w:hint="eastAsia" w:ascii="宋体" w:hAnsi="宋体" w:eastAsia="宋体" w:cs="宋体"/>
      <w:color w:val="000000"/>
      <w:sz w:val="18"/>
      <w:szCs w:val="18"/>
      <w:u w:val="none"/>
    </w:rPr>
  </w:style>
  <w:style w:type="character" w:customStyle="1" w:styleId="39">
    <w:name w:val="font41"/>
    <w:qFormat/>
    <w:uiPriority w:val="0"/>
    <w:rPr>
      <w:rFonts w:hint="default" w:ascii="仿宋_GB2312" w:eastAsia="仿宋_GB2312" w:cs="仿宋_GB2312"/>
      <w:color w:val="000000"/>
      <w:sz w:val="18"/>
      <w:szCs w:val="18"/>
      <w:u w:val="none"/>
    </w:rPr>
  </w:style>
  <w:style w:type="character" w:customStyle="1" w:styleId="40">
    <w:name w:val="font91"/>
    <w:qFormat/>
    <w:uiPriority w:val="0"/>
    <w:rPr>
      <w:rFonts w:hint="default" w:ascii="Times New Roman" w:hAnsi="Times New Roman" w:cs="Times New Roman"/>
      <w:color w:val="000000"/>
      <w:sz w:val="18"/>
      <w:szCs w:val="18"/>
      <w:u w:val="none"/>
    </w:rPr>
  </w:style>
  <w:style w:type="character" w:customStyle="1" w:styleId="41">
    <w:name w:val="正文文本 Char"/>
    <w:link w:val="6"/>
    <w:qFormat/>
    <w:uiPriority w:val="99"/>
    <w:rPr>
      <w:rFonts w:ascii="Calibri" w:hAnsi="Calibri"/>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18</Pages>
  <Words>8458</Words>
  <Characters>9811</Characters>
  <Lines>78</Lines>
  <Paragraphs>22</Paragraphs>
  <TotalTime>2</TotalTime>
  <ScaleCrop>false</ScaleCrop>
  <LinksUpToDate>false</LinksUpToDate>
  <CharactersWithSpaces>9883</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2023-06-27T15:40:00Z</dcterms:created>
  <dc:creator>你是我的神经病1417941470</dc:creator>
  <cp:lastModifiedBy>Administrator</cp:lastModifiedBy>
  <cp:lastPrinted>2023-06-29T09:47:00Z</cp:lastPrinted>
  <dcterms:modified xsi:type="dcterms:W3CDTF">2023-06-30T08:44:58Z</dcterms:modified>
  <dc:title>lenovo</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y fmtid="{D5CDD505-2E9C-101B-9397-08002B2CF9AE}" pid="3" name="ICV">
    <vt:lpwstr>C9193CD66C064C6D90EA3B58CFA3D491_13</vt:lpwstr>
  </property>
</Properties>
</file>