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359</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：石家庄广播电视台</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石家庄广播电视台</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hint="eastAsia" w:ascii="Times New Roman" w:eastAsia="楷体_GB2312"/>
          <w:sz w:val="44"/>
          <w:szCs w:val="44"/>
          <w:lang w:eastAsia="zh-CN"/>
        </w:rPr>
      </w:pPr>
      <w:r>
        <w:rPr>
          <w:rFonts w:ascii="Times New Roman" w:eastAsia="楷体_GB2312"/>
          <w:b w:val="0"/>
          <w:sz w:val="44"/>
          <w:szCs w:val="44"/>
        </w:rPr>
        <w:t>石家庄广播电视台</w:t>
      </w:r>
      <w:r>
        <w:rPr>
          <w:rFonts w:hint="eastAsia" w:ascii="Times New Roman" w:eastAsia="楷体_GB2312"/>
          <w:b w:val="0"/>
          <w:sz w:val="44"/>
          <w:szCs w:val="44"/>
          <w:lang w:val="en-US" w:eastAsia="zh-CN"/>
        </w:rPr>
        <w:t xml:space="preserve"> </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autoSpaceDE w:val="0"/>
        <w:autoSpaceDN w:val="0"/>
        <w:adjustRightInd w:val="0"/>
        <w:spacing w:line="600" w:lineRule="exact"/>
        <w:ind w:firstLine="640" w:firstLineChars="200"/>
        <w:jc w:val="left"/>
        <w:rPr>
          <w:rFonts w:hint="eastAsia" w:ascii="华文仿宋" w:hAnsi="华文仿宋" w:eastAsia="华文仿宋" w:cs="华文仿宋"/>
          <w:kern w:val="0"/>
          <w:sz w:val="32"/>
          <w:szCs w:val="32"/>
        </w:rPr>
      </w:pPr>
      <w:r>
        <w:rPr>
          <w:rFonts w:hint="eastAsia" w:ascii="华文仿宋" w:hAnsi="华文仿宋" w:eastAsia="华文仿宋" w:cs="华文仿宋"/>
          <w:kern w:val="0"/>
          <w:sz w:val="32"/>
          <w:szCs w:val="32"/>
        </w:rPr>
        <w:t>石家庄广播电视台为市委直属正县级事业单位，实行事业体制。主要职责是：以宣传为中心，牢牢把握正确舆论导向，大力发展广播电视事业，为市委、市政府工作大局服务。</w:t>
      </w:r>
    </w:p>
    <w:p>
      <w:pPr>
        <w:snapToGrid w:val="0"/>
        <w:spacing w:line="600" w:lineRule="exact"/>
        <w:ind w:firstLine="640" w:firstLineChars="200"/>
        <w:rPr>
          <w:rFonts w:ascii="Times New Roman" w:eastAsia="仿宋_GB2312"/>
          <w:sz w:val="32"/>
          <w:szCs w:val="32"/>
        </w:rPr>
      </w:pPr>
      <w:r>
        <w:rPr>
          <w:rFonts w:hint="eastAsia" w:ascii="华文仿宋" w:hAnsi="华文仿宋" w:eastAsia="华文仿宋" w:cs="华文仿宋"/>
          <w:kern w:val="0"/>
          <w:sz w:val="32"/>
          <w:szCs w:val="32"/>
        </w:rPr>
        <w:t>石家庄广播电视台作为石家庄广电传媒集团有限公司的出资人，牢牢把握对公司重大事项的决策权、对资产配置的控制权、对宣传内容的审定权、对主要领导干部的任免权，确保广电国有资产保值增值。</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3"/>
        <w:tblpPr w:leftFromText="180" w:rightFromText="180" w:vertAnchor="text" w:horzAnchor="page" w:tblpXSpec="center" w:tblpY="10"/>
        <w:tblOverlap w:val="never"/>
        <w:tblW w:w="9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0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090"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石家庄广播电视台</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090"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定额</w:t>
            </w:r>
          </w:p>
        </w:tc>
      </w:tr>
    </w:tbl>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sz w:val="32"/>
          <w:szCs w:val="32"/>
        </w:rPr>
        <w:t>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无二级预算单位，因此，石家庄广播电视台2024年度</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决算即石家庄广播电视台本级2024年度决算。”</w:t>
      </w:r>
    </w:p>
    <w:p>
      <w:pPr>
        <w:rPr>
          <w:rFonts w:ascii="Times New Roman" w:eastAsia="黑体"/>
          <w:b w:val="0"/>
          <w:sz w:val="44"/>
          <w:szCs w:val="44"/>
        </w:rPr>
      </w:pPr>
    </w:p>
    <w:p>
      <w:pPr>
        <w:rPr>
          <w:rFonts w:ascii="Times New Roman" w:eastAsia="黑体"/>
          <w:b w:val="0"/>
          <w:sz w:val="44"/>
          <w:szCs w:val="44"/>
        </w:rPr>
      </w:pPr>
    </w:p>
    <w:p>
      <w:pPr>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部门（单位）：石家庄广播电视台</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8,706.98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8,706.98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8,570.17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8,570.17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广播电视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其他广播电视支出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文化产业发展专项支出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3,529.28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8,570.17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广播电视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其他广播电视支出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8,570.17</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58"/>
        <w:gridCol w:w="2816"/>
        <w:gridCol w:w="447"/>
        <w:gridCol w:w="1043"/>
        <w:gridCol w:w="1103"/>
        <w:gridCol w:w="388"/>
        <w:gridCol w:w="18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编制部门（单位）：石家庄广播电视台</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3,392.47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广播电视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其他广播电视支出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部门（单位）：石家庄广播电视台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3,538.09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1,130.83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661.00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244.74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494.59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503.85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212.44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254.46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1,639.61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1,639.61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5,177.70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部门（单位）：石家庄广播电视台</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部门（单位）：石家庄广播电视台</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ascii="Times New Roman" w:eastAsia="仿宋_GB2312"/>
          <w:sz w:val="32"/>
          <w:szCs w:val="32"/>
        </w:rPr>
      </w:pPr>
      <w:r>
        <w:rPr>
          <w:rFonts w:ascii="Times New Roman" w:eastAsia="仿宋_GB2312"/>
          <w:b w:val="0"/>
          <w:sz w:val="32"/>
          <w:szCs w:val="32"/>
        </w:rPr>
        <w:t>本部门2024年度收、支总计（含结转和结余）均为8,706.98万元。与2023年度决算相比，收支各减少212.42万元，下降2.4%，主要原因是</w:t>
      </w:r>
      <w:r>
        <w:rPr>
          <w:rFonts w:hint="eastAsia" w:ascii="Times New Roman" w:eastAsia="仿宋_GB2312"/>
          <w:b w:val="0"/>
          <w:sz w:val="32"/>
          <w:szCs w:val="32"/>
          <w:lang w:val="en-US" w:eastAsia="zh-CN"/>
        </w:rPr>
        <w:t>:</w:t>
      </w:r>
      <w:r>
        <w:rPr>
          <w:rFonts w:hint="eastAsia" w:ascii="华文仿宋" w:hAnsi="华文仿宋" w:eastAsia="华文仿宋" w:cs="华文仿宋"/>
          <w:sz w:val="32"/>
          <w:szCs w:val="32"/>
        </w:rPr>
        <w:t>（1）人员经费：减少在职人员经费183.67万元，增加退休人员费用146.61万元，原因为在职人员转退休。（2）“2024年市级文化产业</w:t>
      </w:r>
      <w:r>
        <w:rPr>
          <w:rFonts w:ascii="华文仿宋" w:hAnsi="华文仿宋" w:eastAsia="华文仿宋" w:cs="华文仿宋"/>
          <w:sz w:val="32"/>
          <w:szCs w:val="32"/>
        </w:rPr>
        <w:t>”</w:t>
      </w:r>
      <w:r>
        <w:rPr>
          <w:rFonts w:hint="eastAsia" w:ascii="华文仿宋" w:hAnsi="华文仿宋" w:eastAsia="华文仿宋" w:cs="华文仿宋"/>
          <w:sz w:val="32"/>
          <w:szCs w:val="32"/>
        </w:rPr>
        <w:t>项目减少1个，减少资金105.36万元。（3）积极响应市委、市政府号令，压减“融媒体建设补助”资金50万元。(4)削减“发射台基础设备设施更新改造及运行维护”项目，减少资金20万元。</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8,706.98万元，其中：财政拨款收入8,706.98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本部门2024年度本年支出合计8,706.98万元，其中：基本支出5,177.70万元，占59.5%；项目支出3,529.28万元，占40.5%；上缴上级支出0.00万元，占0.0%；经营支出0.00万元，占0.0%；对附属单位补助支出0.00万元，占0.0%。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ascii="Times New Roman" w:eastAsia="仿宋_GB2312"/>
          <w:b w:val="0"/>
          <w:sz w:val="32"/>
          <w:szCs w:val="32"/>
        </w:rPr>
        <w:t>本部门2024年度财政拨款收、支总计（含结转和结余）均为8,706.98万元。与2023年度相比，财政拨款收支各减少212.42万元，降低2.4%，</w:t>
      </w:r>
      <w:r>
        <w:rPr>
          <w:rFonts w:hint="eastAsia" w:ascii="Times New Roman" w:eastAsia="仿宋_GB2312"/>
          <w:b w:val="0"/>
          <w:sz w:val="32"/>
          <w:szCs w:val="32"/>
        </w:rPr>
        <w:t>主要原因是:（1）人员经费：减少在职人员经费183.67万元，增加退休人员费用146.61万元，原因为在职人员转退休。（2）“2024年市级文化产业”项目减少1个，减少资金105.36万元。（3）积极响应市委、市政府号令，压减“融媒体建设补助”资金50万元。(4)削减“发射台基础设备设施更新改造及运行维护”项目，减少资金20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本部门2024年度财政拨款本年收入8,706.98万元,比上年减少212.42万元，降低2.4%，</w:t>
      </w:r>
      <w:r>
        <w:rPr>
          <w:rFonts w:hint="eastAsia" w:ascii="Times New Roman" w:eastAsia="仿宋_GB2312"/>
          <w:b w:val="0"/>
          <w:sz w:val="32"/>
          <w:szCs w:val="32"/>
        </w:rPr>
        <w:t>人员减少37.06万元，项目减少175.36万元</w:t>
      </w:r>
      <w:r>
        <w:rPr>
          <w:rFonts w:ascii="Times New Roman" w:eastAsia="仿宋_GB2312"/>
          <w:b w:val="0"/>
          <w:sz w:val="32"/>
          <w:szCs w:val="32"/>
        </w:rPr>
        <w:t>；本年支出8,706.98万元，比上年减少212.42万元，降低2.4%，主要原因是</w:t>
      </w:r>
      <w:r>
        <w:rPr>
          <w:rFonts w:hint="eastAsia" w:ascii="Times New Roman" w:eastAsia="仿宋_GB2312"/>
          <w:b w:val="0"/>
          <w:sz w:val="32"/>
          <w:szCs w:val="32"/>
        </w:rPr>
        <w:t>（1）人员经费：减少在职人员经费183.67万元，增加退休人员费用146.61万元，原因为在职人员转退休。（2）“2024年市级文化产业”项目减少1个，减少资金105.36万元。（3）积极响应市委、市政府号令，压减“融媒体建设补助”资金50万元。(4)削减“发射台基础设备设施更新改造及运行维护”项目，减少资金20万元。</w:t>
      </w:r>
      <w:r>
        <w:rPr>
          <w:rFonts w:ascii="Times New Roman" w:eastAsia="仿宋_GB2312"/>
          <w:b w:val="0"/>
          <w:sz w:val="32"/>
          <w:szCs w:val="32"/>
        </w:rPr>
        <w:t>具体情况如下：</w:t>
      </w:r>
    </w:p>
    <w:p>
      <w:pPr>
        <w:snapToGrid w:val="0"/>
        <w:spacing w:line="600" w:lineRule="exact"/>
        <w:ind w:firstLine="640" w:firstLineChars="200"/>
        <w:rPr>
          <w:rFonts w:ascii="Times New Roman" w:eastAsia="仿宋_GB2312"/>
          <w:sz w:val="32"/>
          <w:szCs w:val="32"/>
        </w:rPr>
      </w:pPr>
      <w:r>
        <w:rPr>
          <w:rFonts w:ascii="Times New Roman" w:eastAsia="仿宋_GB2312"/>
          <w:b w:val="0"/>
          <w:sz w:val="32"/>
          <w:szCs w:val="32"/>
        </w:rPr>
        <w:t>1.一般公共预算财政拨款本年收入8,570.17万元,比上年减少212.42万元，降低2.4%，主要原因是</w:t>
      </w:r>
      <w:r>
        <w:rPr>
          <w:rFonts w:hint="eastAsia" w:ascii="Times New Roman" w:eastAsia="仿宋_GB2312"/>
          <w:b w:val="0"/>
          <w:sz w:val="32"/>
          <w:szCs w:val="32"/>
          <w:lang w:eastAsia="zh-CN"/>
        </w:rPr>
        <w:t>人员减少</w:t>
      </w:r>
      <w:r>
        <w:rPr>
          <w:rFonts w:hint="eastAsia" w:ascii="Times New Roman" w:eastAsia="仿宋_GB2312"/>
          <w:b w:val="0"/>
          <w:sz w:val="32"/>
          <w:szCs w:val="32"/>
          <w:lang w:val="en-US" w:eastAsia="zh-CN"/>
        </w:rPr>
        <w:t>37.06万元，项目减少175.36万元</w:t>
      </w:r>
      <w:r>
        <w:rPr>
          <w:rFonts w:ascii="Times New Roman" w:eastAsia="仿宋_GB2312"/>
          <w:b w:val="0"/>
          <w:sz w:val="32"/>
          <w:szCs w:val="32"/>
        </w:rPr>
        <w:t>；本年支出8,570.17万元，比上年减少212.42万元，降低2.4%，主要原因是</w:t>
      </w:r>
      <w:r>
        <w:rPr>
          <w:rFonts w:hint="eastAsia" w:ascii="Times New Roman" w:eastAsia="仿宋_GB2312"/>
          <w:b w:val="0"/>
          <w:sz w:val="32"/>
          <w:szCs w:val="32"/>
          <w:lang w:val="en-US" w:eastAsia="zh-CN"/>
        </w:rPr>
        <w:t>:</w:t>
      </w:r>
      <w:r>
        <w:rPr>
          <w:rFonts w:hint="eastAsia" w:ascii="仿宋_GB2312" w:hAnsi="仿宋_GB2312" w:eastAsia="仿宋_GB2312" w:cs="仿宋_GB2312"/>
          <w:sz w:val="32"/>
          <w:szCs w:val="32"/>
        </w:rPr>
        <w:t>（1）人员经费：减少在职人员经费183.67万元，增加退休人员费用146.61万元，原因为在职人员转退休。（2）“2024年市级文化产业”项目减少1个，减少资金105.36万元。（3）积极响应市委、市政府号令，压减“融媒体建设补助”资金50万元。(4)削减“发射台基础设备设施更新改造及运行维护”项目，减少资金20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2.政府性基金预算财政拨款本年收入136.81万元，比上年增加0.00万元，增长0.0%，</w:t>
      </w:r>
      <w:r>
        <w:rPr>
          <w:rFonts w:hint="eastAsia" w:ascii="Times New Roman" w:eastAsia="仿宋_GB2312"/>
          <w:b w:val="0"/>
          <w:sz w:val="32"/>
          <w:szCs w:val="32"/>
          <w:lang w:eastAsia="zh-CN"/>
        </w:rPr>
        <w:t>无变化</w:t>
      </w:r>
      <w:r>
        <w:rPr>
          <w:rFonts w:ascii="Times New Roman" w:eastAsia="仿宋_GB2312"/>
          <w:b w:val="0"/>
          <w:sz w:val="32"/>
          <w:szCs w:val="32"/>
        </w:rPr>
        <w:t>；本年支出136.81万元，比上年增加0.00万元，增长0.0%，</w:t>
      </w:r>
      <w:r>
        <w:rPr>
          <w:rFonts w:hint="eastAsia" w:ascii="Times New Roman" w:eastAsia="仿宋_GB2312"/>
          <w:b w:val="0"/>
          <w:sz w:val="32"/>
          <w:szCs w:val="32"/>
          <w:lang w:eastAsia="zh-CN"/>
        </w:rPr>
        <w:t>无变化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无变化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无变化</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rPr>
      </w:pPr>
      <w:r>
        <w:rPr>
          <w:rFonts w:ascii="Times New Roman" w:eastAsia="仿宋_GB2312"/>
          <w:b w:val="0"/>
          <w:sz w:val="32"/>
          <w:szCs w:val="32"/>
        </w:rPr>
        <w:t>本部门2024年度财政拨款本年收入8,706.98万元，完成年初预算的101.8%，比年初预算增加149.99万元，决算数大于预算数主要原</w:t>
      </w:r>
      <w:r>
        <w:rPr>
          <w:rFonts w:hint="eastAsia" w:ascii="仿宋_GB2312" w:hAnsi="仿宋_GB2312" w:eastAsia="仿宋_GB2312" w:cs="仿宋_GB2312"/>
          <w:b w:val="0"/>
          <w:sz w:val="32"/>
          <w:szCs w:val="32"/>
        </w:rPr>
        <w:t>因是主要原因是</w:t>
      </w:r>
      <w:r>
        <w:rPr>
          <w:rFonts w:hint="eastAsia" w:ascii="仿宋_GB2312" w:hAnsi="仿宋_GB2312" w:eastAsia="仿宋_GB2312" w:cs="仿宋_GB2312"/>
          <w:sz w:val="32"/>
          <w:szCs w:val="32"/>
        </w:rPr>
        <w:t>在职人员增加了50.72万元；2024年市级文化产业繁荣资金</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增加了99.27万元：其中广播剧《齐齐花坦与河北梆子》50万元，大型融媒体体验节目《遇见》节目49.27万元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sz w:val="32"/>
          <w:szCs w:val="32"/>
        </w:rPr>
        <w:t>本年支出8,706.98万元，完成年初预算的101.8%，比年初预算增加149.99万元，决算数大于预算数主要原因是</w:t>
      </w:r>
      <w:r>
        <w:rPr>
          <w:rFonts w:hint="eastAsia" w:ascii="仿宋_GB2312" w:hAnsi="仿宋_GB2312" w:eastAsia="仿宋_GB2312" w:cs="仿宋_GB2312"/>
          <w:b w:val="0"/>
          <w:sz w:val="32"/>
          <w:szCs w:val="32"/>
          <w:lang w:eastAsia="zh-CN"/>
        </w:rPr>
        <w:t>：</w:t>
      </w:r>
      <w:r>
        <w:rPr>
          <w:rFonts w:hint="eastAsia" w:ascii="仿宋_GB2312" w:hAnsi="仿宋_GB2312" w:eastAsia="仿宋_GB2312" w:cs="仿宋_GB2312"/>
          <w:sz w:val="32"/>
          <w:szCs w:val="32"/>
        </w:rPr>
        <w:t>在职人员经费增加了50.72万元；2024年市级文化产业繁荣资金增加了99.27万元：其中广播剧《齐齐花坦与河北梆子》50万元，大型融媒体体验节目《遇见》节目49.27万元</w:t>
      </w:r>
      <w:r>
        <w:rPr>
          <w:rFonts w:hint="eastAsia" w:ascii="仿宋_GB2312" w:hAnsi="仿宋_GB2312" w:eastAsia="仿宋_GB2312" w:cs="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b w:val="0"/>
          <w:sz w:val="32"/>
          <w:szCs w:val="32"/>
        </w:rPr>
        <w:t>1.一般公共预算财政拨款本年收入</w:t>
      </w:r>
      <w:r>
        <w:rPr>
          <w:rFonts w:hint="eastAsia" w:ascii="仿宋_GB2312" w:hAnsi="仿宋_GB2312" w:eastAsia="仿宋_GB2312" w:cs="仿宋_GB2312"/>
          <w:b w:val="0"/>
          <w:sz w:val="32"/>
          <w:szCs w:val="32"/>
          <w:lang w:val="en-US" w:eastAsia="zh-CN"/>
        </w:rPr>
        <w:t>8570.17</w:t>
      </w:r>
      <w:r>
        <w:rPr>
          <w:rFonts w:hint="eastAsia" w:ascii="仿宋_GB2312" w:hAnsi="仿宋_GB2312" w:eastAsia="仿宋_GB2312" w:cs="仿宋_GB2312"/>
          <w:b w:val="0"/>
          <w:sz w:val="32"/>
          <w:szCs w:val="32"/>
        </w:rPr>
        <w:t>完成年初预算</w:t>
      </w:r>
      <w:r>
        <w:rPr>
          <w:rFonts w:hint="eastAsia" w:ascii="仿宋_GB2312" w:hAnsi="仿宋_GB2312" w:eastAsia="仿宋_GB2312" w:cs="仿宋_GB2312"/>
          <w:b w:val="0"/>
          <w:sz w:val="32"/>
          <w:szCs w:val="32"/>
          <w:lang w:val="en-US" w:eastAsia="zh-CN"/>
        </w:rPr>
        <w:t>8420.18</w:t>
      </w:r>
      <w:r>
        <w:rPr>
          <w:rFonts w:hint="eastAsia" w:ascii="仿宋_GB2312" w:hAnsi="仿宋_GB2312" w:eastAsia="仿宋_GB2312" w:cs="仿宋_GB2312"/>
          <w:b w:val="0"/>
          <w:sz w:val="32"/>
          <w:szCs w:val="32"/>
        </w:rPr>
        <w:t>的101.8%，比年初预算增加149.99万元，主要原因是</w:t>
      </w:r>
      <w:r>
        <w:rPr>
          <w:rFonts w:hint="eastAsia" w:ascii="仿宋_GB2312" w:hAnsi="仿宋_GB2312" w:eastAsia="仿宋_GB2312" w:cs="仿宋_GB2312"/>
          <w:sz w:val="32"/>
          <w:szCs w:val="32"/>
        </w:rPr>
        <w:t>在职人员增加了50.72万元；2024年市级文化产业繁荣资金</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增加了99.27万元：其中广播剧《齐齐花坦与河北梆子》50万元，大型融媒体体验节目《遇见》节目49.27万元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sz w:val="32"/>
          <w:szCs w:val="32"/>
        </w:rPr>
        <w:t>支出完成年初</w:t>
      </w:r>
      <w:r>
        <w:rPr>
          <w:rFonts w:ascii="Times New Roman" w:eastAsia="仿宋_GB2312"/>
          <w:b w:val="0"/>
          <w:sz w:val="32"/>
          <w:szCs w:val="32"/>
        </w:rPr>
        <w:t>预算的101.8%，比年初预算增加149.99万元，主要原因是</w:t>
      </w:r>
      <w:r>
        <w:rPr>
          <w:rFonts w:hint="eastAsia" w:ascii="Times New Roman" w:eastAsia="仿宋_GB2312"/>
          <w:b w:val="0"/>
          <w:sz w:val="32"/>
          <w:szCs w:val="32"/>
          <w:lang w:eastAsia="zh-CN"/>
        </w:rPr>
        <w:t>：</w:t>
      </w:r>
      <w:r>
        <w:rPr>
          <w:rFonts w:hint="eastAsia" w:ascii="华文仿宋" w:hAnsi="华文仿宋" w:eastAsia="华文仿宋" w:cs="华文仿宋"/>
          <w:sz w:val="32"/>
          <w:szCs w:val="32"/>
        </w:rPr>
        <w:t>在职人员经费增加了50.72万元；2024年市级文化产业繁荣资金增加了99.27万元：其中广播剧《齐齐花坦与河北梆子》50万元，大型融媒体体验节目《遇见》节目49.27万元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2.政府性基金预算财政拨款本年收入完成年初预算100.0%，比年初预算增加0.00万元</w:t>
      </w:r>
      <w:r>
        <w:rPr>
          <w:rFonts w:hint="eastAsia" w:ascii="Times New Roman" w:eastAsia="仿宋_GB2312"/>
          <w:b w:val="0"/>
          <w:sz w:val="32"/>
          <w:szCs w:val="32"/>
          <w:lang w:eastAsia="zh-CN"/>
        </w:rPr>
        <w:t>，无变化</w:t>
      </w:r>
      <w:r>
        <w:rPr>
          <w:rFonts w:ascii="Times New Roman" w:eastAsia="仿宋_GB2312"/>
          <w:b w:val="0"/>
          <w:sz w:val="32"/>
          <w:szCs w:val="32"/>
        </w:rPr>
        <w:t>；支出完成年初预算的100.0%，比年初预算增加0.00万元，</w:t>
      </w:r>
      <w:r>
        <w:rPr>
          <w:rFonts w:hint="eastAsia" w:ascii="Times New Roman" w:eastAsia="仿宋_GB2312"/>
          <w:b w:val="0"/>
          <w:sz w:val="32"/>
          <w:szCs w:val="32"/>
          <w:lang w:eastAsia="zh-CN"/>
        </w:rPr>
        <w:t>无变化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3.</w:t>
      </w:r>
      <w:r>
        <w:rPr>
          <w:rFonts w:hint="eastAsia" w:ascii="Times New Roman" w:eastAsia="仿宋_GB2312"/>
          <w:b w:val="0"/>
          <w:sz w:val="32"/>
          <w:szCs w:val="32"/>
          <w:lang w:eastAsia="zh-CN"/>
        </w:rPr>
        <w:t>本部门本年无</w:t>
      </w:r>
      <w:r>
        <w:rPr>
          <w:rFonts w:ascii="Times New Roman" w:eastAsia="仿宋_GB2312"/>
          <w:b w:val="0"/>
          <w:sz w:val="32"/>
          <w:szCs w:val="32"/>
        </w:rPr>
        <w:t>国有资本经营预算财政拨款本年收入</w:t>
      </w:r>
      <w:r>
        <w:rPr>
          <w:rFonts w:hint="eastAsia" w:ascii="Times New Roman" w:eastAsia="仿宋_GB2312"/>
          <w:b w:val="0"/>
          <w:sz w:val="32"/>
          <w:szCs w:val="32"/>
          <w:lang w:eastAsia="zh-CN"/>
        </w:rPr>
        <w:t>及本年支出。</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2024年度财政拨款支出8,706.98万元，主要用于以下方面：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文化旅游体育与传媒（类）支出8,570.17万元，占98.4%，主要用于</w:t>
      </w:r>
      <w:r>
        <w:rPr>
          <w:rFonts w:hint="eastAsia" w:ascii="Times New Roman" w:eastAsia="仿宋_GB2312"/>
          <w:b w:val="0"/>
          <w:sz w:val="32"/>
          <w:szCs w:val="32"/>
          <w:lang w:eastAsia="zh-CN"/>
        </w:rPr>
        <w:t>在职人员及退休人员工资、津贴补贴、职工养老保险等人员支出</w:t>
      </w:r>
      <w:r>
        <w:rPr>
          <w:rFonts w:hint="eastAsia" w:ascii="Times New Roman" w:eastAsia="仿宋_GB2312"/>
          <w:b w:val="0"/>
          <w:sz w:val="32"/>
          <w:szCs w:val="32"/>
          <w:lang w:val="en-US" w:eastAsia="zh-CN"/>
        </w:rPr>
        <w:t>5177.7万元；</w:t>
      </w:r>
      <w:r>
        <w:rPr>
          <w:rFonts w:hint="eastAsia" w:ascii="Times New Roman" w:eastAsia="仿宋_GB2312"/>
          <w:b w:val="0"/>
          <w:sz w:val="32"/>
          <w:szCs w:val="32"/>
          <w:lang w:eastAsia="zh-CN"/>
        </w:rPr>
        <w:t>节目购买制作及播出等相关项目支出</w:t>
      </w:r>
      <w:r>
        <w:rPr>
          <w:rFonts w:hint="eastAsia" w:ascii="Times New Roman" w:eastAsia="仿宋_GB2312"/>
          <w:b w:val="0"/>
          <w:sz w:val="32"/>
          <w:szCs w:val="32"/>
          <w:lang w:val="en-US" w:eastAsia="zh-CN"/>
        </w:rPr>
        <w:t>3392.47万元</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债务付息（类）支出136.81万元，占1.6%，主要用于</w:t>
      </w:r>
      <w:r>
        <w:rPr>
          <w:rFonts w:hint="eastAsia" w:ascii="Times New Roman" w:eastAsia="仿宋_GB2312"/>
          <w:b w:val="0"/>
          <w:sz w:val="32"/>
          <w:szCs w:val="32"/>
          <w:lang w:eastAsia="zh-CN"/>
        </w:rPr>
        <w:t>支付债券利息及利息服务费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eastAsia="仿宋_GB2312"/>
          <w:b w:val="0"/>
          <w:sz w:val="32"/>
          <w:szCs w:val="32"/>
          <w:lang w:eastAsia="zh-CN"/>
        </w:rPr>
        <w:t>本部门无国有资本经营预算财政拨款支出。</w:t>
      </w: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2024年度财政拨款基本支出5,177.70万元，其中：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5,177.70万元，主要包括基本工资、津贴补贴、奖金、绩效工资、机关事业部门基本养老保险缴费、职业年金缴费、职工基本医疗保险缴费、公务员医疗补助缴费、住房公积金、医疗费、其他社会保障缴费、其他工资福利支出、离休费、退休费、生活补助、其他对个人和家庭的补助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本部门</w:t>
      </w:r>
      <w:r>
        <w:rPr>
          <w:rFonts w:ascii="Times New Roman" w:eastAsia="仿宋_GB2312"/>
          <w:b w:val="0"/>
          <w:sz w:val="32"/>
          <w:szCs w:val="32"/>
        </w:rPr>
        <w:t>2024年度</w:t>
      </w:r>
      <w:r>
        <w:rPr>
          <w:rFonts w:hint="eastAsia" w:ascii="Times New Roman" w:eastAsia="仿宋_GB2312"/>
          <w:b w:val="0"/>
          <w:sz w:val="32"/>
          <w:szCs w:val="32"/>
          <w:lang w:eastAsia="zh-CN"/>
        </w:rPr>
        <w:t>无</w:t>
      </w:r>
      <w:r>
        <w:rPr>
          <w:rFonts w:ascii="Times New Roman" w:eastAsia="仿宋_GB2312"/>
          <w:b w:val="0"/>
          <w:sz w:val="32"/>
          <w:szCs w:val="32"/>
        </w:rPr>
        <w:t>“三公”经费财政拨款支出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1.因公出国（境）费支出情况。</w:t>
      </w:r>
      <w:r>
        <w:rPr>
          <w:rFonts w:hint="eastAsia" w:ascii="Times New Roman" w:eastAsia="仿宋_GB2312"/>
          <w:b w:val="0"/>
          <w:sz w:val="32"/>
          <w:szCs w:val="32"/>
          <w:lang w:eastAsia="zh-CN"/>
        </w:rPr>
        <w:t>本部门无此项支出。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hint="eastAsia" w:ascii="Times New Roman" w:eastAsia="仿宋_GB2312"/>
          <w:b w:val="0"/>
          <w:sz w:val="32"/>
          <w:szCs w:val="32"/>
          <w:lang w:eastAsia="zh-CN"/>
        </w:rPr>
        <w:t>本部门无此项支出。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hint="eastAsia" w:ascii="Times New Roman" w:eastAsia="仿宋_GB2312"/>
          <w:b w:val="0"/>
          <w:sz w:val="32"/>
          <w:szCs w:val="32"/>
          <w:lang w:eastAsia="zh-CN"/>
        </w:rPr>
        <w:t>本部门无此项支出。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w:t>
      </w:r>
      <w:r>
        <w:rPr>
          <w:rFonts w:ascii="Times New Roman" w:eastAsia="仿宋_GB2312"/>
          <w:b w:val="0"/>
          <w:sz w:val="32"/>
          <w:szCs w:val="32"/>
        </w:rPr>
        <w:t>2024年度</w:t>
      </w:r>
      <w:r>
        <w:rPr>
          <w:rFonts w:hint="eastAsia" w:ascii="Times New Roman" w:eastAsia="仿宋_GB2312"/>
          <w:b w:val="0"/>
          <w:sz w:val="32"/>
          <w:szCs w:val="32"/>
          <w:lang w:eastAsia="zh-CN"/>
        </w:rPr>
        <w:t>无</w:t>
      </w:r>
      <w:r>
        <w:rPr>
          <w:rFonts w:ascii="Times New Roman" w:eastAsia="仿宋_GB2312"/>
          <w:b w:val="0"/>
          <w:sz w:val="32"/>
          <w:szCs w:val="32"/>
        </w:rPr>
        <w:t>机关运行经费支出。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774.93万元，从采购类型来看，政府采购货物支出0.00万元、政府采购工程支出0.00万元、政府采购服务支出774.93万元。授予中小企业合同金额186.23万元，占政府采购支出总额的24.0%，其中授予小微企业合同金额186.23万元，占政府采购支出总额的24.0%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部门</w:t>
      </w:r>
      <w:r>
        <w:rPr>
          <w:rFonts w:ascii="Times New Roman" w:eastAsia="仿宋_GB2312"/>
          <w:b w:val="0"/>
          <w:sz w:val="32"/>
          <w:szCs w:val="32"/>
        </w:rPr>
        <w:t>共有车辆0辆，比上年增加0辆，</w:t>
      </w:r>
      <w:r>
        <w:rPr>
          <w:rFonts w:hint="eastAsia" w:ascii="Times New Roman" w:eastAsia="仿宋_GB2312"/>
          <w:b w:val="0"/>
          <w:sz w:val="32"/>
          <w:szCs w:val="32"/>
          <w:lang w:eastAsia="zh-CN"/>
        </w:rPr>
        <w:t>无变化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w:t>
      </w:r>
      <w:r>
        <w:rPr>
          <w:rFonts w:ascii="Times New Roman" w:eastAsia="仿宋_GB2312"/>
          <w:b w:val="0"/>
          <w:sz w:val="32"/>
          <w:szCs w:val="32"/>
        </w:rPr>
        <w:t>2024年度本级预算项目支出全面开展绩效自评，共涉及资金</w:t>
      </w:r>
      <w:r>
        <w:rPr>
          <w:rFonts w:hint="eastAsia" w:ascii="Times New Roman" w:eastAsia="仿宋_GB2312"/>
          <w:b w:val="0"/>
          <w:sz w:val="32"/>
          <w:szCs w:val="32"/>
          <w:lang w:val="en-US" w:eastAsia="zh-CN"/>
        </w:rPr>
        <w:t>3529.28</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8</w:t>
      </w:r>
      <w:r>
        <w:rPr>
          <w:rFonts w:ascii="Times New Roman" w:eastAsia="仿宋_GB2312"/>
          <w:b w:val="0"/>
          <w:sz w:val="32"/>
          <w:szCs w:val="32"/>
        </w:rPr>
        <w:t>个，涉及资金</w:t>
      </w:r>
      <w:r>
        <w:rPr>
          <w:rFonts w:hint="eastAsia" w:ascii="Times New Roman" w:eastAsia="仿宋_GB2312"/>
          <w:b w:val="0"/>
          <w:sz w:val="32"/>
          <w:szCs w:val="32"/>
          <w:lang w:val="en-US" w:eastAsia="zh-CN"/>
        </w:rPr>
        <w:t>3392.47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1</w:t>
      </w:r>
      <w:r>
        <w:rPr>
          <w:rFonts w:ascii="Times New Roman" w:eastAsia="仿宋_GB2312"/>
          <w:b w:val="0"/>
          <w:sz w:val="32"/>
          <w:szCs w:val="32"/>
        </w:rPr>
        <w:t>个，涉及资金</w:t>
      </w:r>
      <w:r>
        <w:rPr>
          <w:rFonts w:hint="eastAsia" w:ascii="Times New Roman" w:eastAsia="仿宋_GB2312"/>
          <w:b w:val="0"/>
          <w:sz w:val="32"/>
          <w:szCs w:val="32"/>
          <w:lang w:val="en-US" w:eastAsia="zh-CN"/>
        </w:rPr>
        <w:t>136.81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eastAsia="仿宋_GB2312"/>
          <w:b w:val="0"/>
          <w:sz w:val="32"/>
          <w:szCs w:val="32"/>
        </w:rPr>
        <w:t>等个项目开展了部门重点评价，涉及一般公共预算支出</w:t>
      </w:r>
      <w:r>
        <w:rPr>
          <w:rFonts w:hint="eastAsia" w:ascii="Times New Roman" w:eastAsia="仿宋_GB2312"/>
          <w:b w:val="0"/>
          <w:sz w:val="32"/>
          <w:szCs w:val="32"/>
          <w:lang w:val="en-US" w:eastAsia="zh-CN"/>
        </w:rPr>
        <w:t>750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highlight w:val="none"/>
        </w:rPr>
      </w:pPr>
      <w:r>
        <w:rPr>
          <w:rFonts w:ascii="Times New Roman" w:eastAsia="仿宋_GB2312"/>
          <w:b w:val="0"/>
          <w:sz w:val="32"/>
          <w:szCs w:val="32"/>
          <w:highlight w:val="none"/>
        </w:rPr>
        <w:t>根据年初设定的绩效目标，</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Times New Roman" w:eastAsia="仿宋_GB2312"/>
          <w:b w:val="0"/>
          <w:sz w:val="32"/>
          <w:szCs w:val="32"/>
          <w:lang w:eastAsia="zh-CN"/>
        </w:rPr>
        <w:t>预算项目</w:t>
      </w:r>
      <w:r>
        <w:rPr>
          <w:rFonts w:hint="eastAsia" w:ascii="Times New Roman" w:eastAsia="仿宋_GB2312"/>
          <w:b w:val="0"/>
          <w:sz w:val="32"/>
          <w:szCs w:val="32"/>
          <w:lang w:val="en-US" w:eastAsia="zh-CN"/>
        </w:rPr>
        <w:t>9</w:t>
      </w:r>
      <w:r>
        <w:rPr>
          <w:rFonts w:ascii="Times New Roman" w:eastAsia="仿宋_GB2312"/>
          <w:b w:val="0"/>
          <w:sz w:val="32"/>
          <w:szCs w:val="32"/>
        </w:rPr>
        <w:t>个项目绩效自评结果。</w:t>
      </w:r>
      <w:r>
        <w:rPr>
          <w:rFonts w:ascii="Times New Roman" w:eastAsia="仿宋_GB2312"/>
          <w:b w:val="0"/>
          <w:sz w:val="32"/>
          <w:szCs w:val="32"/>
          <w:highlight w:val="none"/>
        </w:rPr>
        <w:t>绩效自评得分为</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分</w:t>
      </w:r>
      <w:r>
        <w:rPr>
          <w:rFonts w:hint="eastAsia" w:ascii="Times New Roman" w:eastAsia="仿宋_GB2312"/>
          <w:b w:val="0"/>
          <w:sz w:val="32"/>
          <w:szCs w:val="32"/>
          <w:highlight w:val="none"/>
          <w:lang w:eastAsia="zh-CN"/>
        </w:rPr>
        <w:t>的</w:t>
      </w:r>
      <w:r>
        <w:rPr>
          <w:rFonts w:ascii="Times New Roman" w:eastAsia="仿宋_GB2312"/>
          <w:b w:val="0"/>
          <w:sz w:val="32"/>
          <w:szCs w:val="32"/>
          <w:highlight w:val="none"/>
        </w:rPr>
        <w:t>项目</w:t>
      </w:r>
      <w:r>
        <w:rPr>
          <w:rFonts w:hint="eastAsia" w:ascii="Times New Roman" w:eastAsia="仿宋_GB2312"/>
          <w:b w:val="0"/>
          <w:sz w:val="32"/>
          <w:szCs w:val="32"/>
          <w:highlight w:val="none"/>
          <w:lang w:val="en-US" w:eastAsia="zh-CN"/>
        </w:rPr>
        <w:t>8个</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90分以上绩效自评得分项目1个，90分以下绩效自评得分项目0个</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全年预算数为</w:t>
      </w:r>
      <w:r>
        <w:rPr>
          <w:rFonts w:hint="eastAsia" w:ascii="Times New Roman" w:eastAsia="仿宋_GB2312"/>
          <w:b w:val="0"/>
          <w:sz w:val="32"/>
          <w:szCs w:val="32"/>
          <w:highlight w:val="none"/>
          <w:lang w:val="en-US" w:eastAsia="zh-CN"/>
        </w:rPr>
        <w:t>3529.28</w:t>
      </w:r>
      <w:r>
        <w:rPr>
          <w:rFonts w:ascii="Times New Roman" w:eastAsia="仿宋_GB2312"/>
          <w:b w:val="0"/>
          <w:sz w:val="32"/>
          <w:szCs w:val="32"/>
          <w:highlight w:val="none"/>
        </w:rPr>
        <w:t>万元，执行数为</w:t>
      </w:r>
      <w:r>
        <w:rPr>
          <w:rFonts w:hint="eastAsia" w:ascii="Times New Roman" w:eastAsia="仿宋_GB2312"/>
          <w:b w:val="0"/>
          <w:sz w:val="32"/>
          <w:szCs w:val="32"/>
          <w:highlight w:val="none"/>
          <w:lang w:val="en-US" w:eastAsia="zh-CN"/>
        </w:rPr>
        <w:t>3529.28</w:t>
      </w:r>
      <w:r>
        <w:rPr>
          <w:rFonts w:ascii="Times New Roman" w:eastAsia="仿宋_GB2312"/>
          <w:b w:val="0"/>
          <w:sz w:val="32"/>
          <w:szCs w:val="32"/>
          <w:highlight w:val="none"/>
        </w:rPr>
        <w:t>万元，完成预算的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w:t>
      </w:r>
    </w:p>
    <w:p>
      <w:pPr>
        <w:pStyle w:val="27"/>
        <w:ind w:firstLine="64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公益节目购买制作费项目绩效自评情况：根据年初设定的目标，公益节目购买制作费项目绩效自评得分为100分（绩效自评表附后）。全年预算数为2000万元，执行数为2000万元，完成预算的100%。通过项目实施，完成了年初设定的各项绩效目标，制作了有分量、有力度、有温度的新闻报道，扎实推进了2024实事宣传报道工作。未发现问题。</w:t>
      </w:r>
    </w:p>
    <w:p>
      <w:pPr>
        <w:pStyle w:val="27"/>
        <w:rPr>
          <w:rFonts w:hint="default" w:eastAsia="仿宋_GB2312"/>
          <w:lang w:val="en-US" w:eastAsia="zh-CN"/>
        </w:rPr>
      </w:pPr>
      <w:r>
        <w:rPr>
          <w:rFonts w:hint="eastAsia" w:ascii="Times New Roman" w:eastAsia="仿宋_GB2312"/>
          <w:b w:val="0"/>
          <w:sz w:val="32"/>
          <w:szCs w:val="32"/>
          <w:highlight w:val="none"/>
          <w:lang w:val="en-US" w:eastAsia="zh-CN"/>
        </w:rPr>
        <w:t xml:space="preserve">    融媒体建设补助资金项目绩效自评情况：根据年初设定的目标，融媒体建设补助资金项目绩效自评得分为100分（绩效自评表附后）。全年预算数为750万元，执行数为750万元，完成预算的100%。通过项目实施，完成了年初设定的各项绩效目标，将党和政府的声音传递给人民群众，向着新型广电融媒体迈出了坚实的步伐。未发现问题。</w:t>
      </w:r>
    </w:p>
    <w:p>
      <w:pPr>
        <w:pStyle w:val="27"/>
        <w:ind w:firstLine="640" w:firstLineChars="200"/>
        <w:rPr>
          <w:rFonts w:hint="default" w:eastAsia="仿宋_GB2312"/>
          <w:lang w:val="en-US" w:eastAsia="zh-CN"/>
        </w:rPr>
      </w:pPr>
      <w:r>
        <w:rPr>
          <w:rFonts w:hint="eastAsia" w:ascii="Times New Roman" w:eastAsia="仿宋_GB2312"/>
          <w:b w:val="0"/>
          <w:sz w:val="32"/>
          <w:szCs w:val="32"/>
          <w:highlight w:val="none"/>
          <w:lang w:val="en-US" w:eastAsia="zh-CN"/>
        </w:rPr>
        <w:t>贷款贴息项目绩效自评情况：根据年初设定的目标，贷款贴息项目绩效自评得分为100分（绩效自评表附后）。全年预算数为500万元，执行数为500万元，完成预算的100%。通过项目实施，完成了年初设定的各项绩效目标，全部用于支付银行贷款利息，缓解债务压力，保障资金正常运转。未发现问题。</w:t>
      </w:r>
    </w:p>
    <w:p>
      <w:pPr>
        <w:pStyle w:val="2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专项债券利息项目绩效自评情况：根据年初设定的目标，专项债券利息项目绩效自评得分为100分（绩效自评表附后）。全年预算数为136.8万元，执行数为136.8万元，完成预算的100%。通过项目实施，完成了年初设定的各项绩效目标，全部用于支付专项债券利息，缓解债务压力，避免人才流失，提高节目质量。未发现问题。</w:t>
      </w:r>
    </w:p>
    <w:p>
      <w:pPr>
        <w:pStyle w:val="2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专项债券利息服务费项目绩效自评情况：根据年初设定的目标，专项债券利息服务费项目绩效自评得分为100分（绩效自评表附后）。全年预算数为0.01万元，执行数为0.01万元，完成预算的100%。通过项目实施，完成了年初设定的各项绩效目标，全部用于支付专项债券利息服务费，缓解债务压力，避免人才流失，提高节目质量。未发现问题。</w:t>
      </w:r>
    </w:p>
    <w:p>
      <w:pPr>
        <w:pStyle w:val="2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石家庄电视发射台项目绩效自评情况：根据年初设定的目标，石家庄电视发射台项目绩效自评得分为100分（绩效自评表附后）。全年预算数为31.2万元，执行数为31.2万元，完成预算的100%。通过项目实施，完成了年初设定的各项绩效目标，确保地面数字电视有效覆盖，提高央视传播影响力。未发现问题。</w:t>
      </w:r>
    </w:p>
    <w:p>
      <w:pPr>
        <w:pStyle w:val="2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石家庄中波台项目绩效自评情况：根据年初设定的目标，石家庄中波台项目绩效自评得分为100分（绩效自评表附后）。全年预算数为12万元，执行数为12万元，完成预算的100%。通过项目实施，完成了年初设定的各项绩效目标，定期对各系统进行日常维护、检测、调整，确保3套中波频率播出良好运行。未发现问题。</w:t>
      </w:r>
    </w:p>
    <w:p>
      <w:pPr>
        <w:pStyle w:val="12"/>
        <w:keepNext w:val="0"/>
        <w:keepLines w:val="0"/>
        <w:pageBreakBefore w:val="0"/>
        <w:widowControl w:val="0"/>
        <w:kinsoku/>
        <w:wordWrap/>
        <w:overflowPunct/>
        <w:topLinePunct w:val="0"/>
        <w:autoSpaceDE/>
        <w:autoSpaceDN/>
        <w:bidi w:val="0"/>
        <w:spacing w:line="600" w:lineRule="exact"/>
        <w:ind w:right="0" w:rightChars="0" w:firstLine="640"/>
        <w:jc w:val="both"/>
        <w:textAlignment w:val="auto"/>
        <w:rPr>
          <w:rFonts w:hint="eastAsia" w:ascii="Times New Roman" w:eastAsia="仿宋_GB2312"/>
          <w:b w:val="0"/>
          <w:sz w:val="32"/>
          <w:szCs w:val="32"/>
          <w:highlight w:val="none"/>
          <w:lang w:val="en-US" w:eastAsia="zh-CN"/>
        </w:rPr>
      </w:pPr>
      <w:r>
        <w:rPr>
          <w:rFonts w:hint="eastAsia" w:ascii="仿宋_GB2312" w:hAnsi="仿宋_GB2312" w:eastAsia="仿宋_GB2312" w:cs="仿宋_GB2312"/>
          <w:color w:val="auto"/>
          <w:sz w:val="32"/>
          <w:szCs w:val="32"/>
          <w:lang w:val="en-US" w:eastAsia="zh-CN"/>
        </w:rPr>
        <w:t>2024市</w:t>
      </w:r>
      <w:r>
        <w:rPr>
          <w:rFonts w:hint="eastAsia" w:ascii="仿宋_GB2312" w:hAnsi="仿宋_GB2312" w:eastAsia="仿宋_GB2312" w:cs="仿宋_GB2312"/>
          <w:color w:val="auto"/>
          <w:sz w:val="32"/>
          <w:szCs w:val="32"/>
        </w:rPr>
        <w:t>级文化产业</w:t>
      </w:r>
      <w:r>
        <w:rPr>
          <w:rFonts w:hint="eastAsia" w:ascii="仿宋_GB2312" w:hAnsi="仿宋_GB2312" w:eastAsia="仿宋_GB2312" w:cs="仿宋_GB2312"/>
          <w:color w:val="auto"/>
          <w:sz w:val="32"/>
          <w:szCs w:val="32"/>
          <w:lang w:eastAsia="zh-CN"/>
        </w:rPr>
        <w:t>繁荣</w:t>
      </w:r>
      <w:r>
        <w:rPr>
          <w:rFonts w:hint="eastAsia" w:ascii="仿宋_GB2312" w:hAnsi="仿宋_GB2312" w:eastAsia="仿宋_GB2312" w:cs="仿宋_GB2312"/>
          <w:color w:val="auto"/>
          <w:sz w:val="32"/>
          <w:szCs w:val="32"/>
        </w:rPr>
        <w:t>资金</w:t>
      </w:r>
      <w:r>
        <w:rPr>
          <w:rFonts w:hint="eastAsia" w:ascii="仿宋_GB2312" w:hAnsi="仿宋_GB2312" w:eastAsia="仿宋_GB2312" w:cs="仿宋_GB2312"/>
          <w:color w:val="auto"/>
          <w:sz w:val="32"/>
          <w:szCs w:val="32"/>
          <w:lang w:val="en-US" w:eastAsia="zh-CN"/>
        </w:rPr>
        <w:t>《穿越诗文遇见你》</w:t>
      </w:r>
      <w:r>
        <w:rPr>
          <w:rFonts w:hint="eastAsia" w:ascii="Times New Roman" w:eastAsia="仿宋_GB2312"/>
          <w:b w:val="0"/>
          <w:sz w:val="32"/>
          <w:szCs w:val="32"/>
          <w:highlight w:val="none"/>
          <w:lang w:val="en-US" w:eastAsia="zh-CN"/>
        </w:rPr>
        <w:t>项目绩效自评情况：根据年初设定的目标，</w:t>
      </w:r>
      <w:r>
        <w:rPr>
          <w:rFonts w:hint="eastAsia" w:ascii="仿宋_GB2312" w:hAnsi="仿宋_GB2312" w:eastAsia="仿宋_GB2312" w:cs="仿宋_GB2312"/>
          <w:color w:val="auto"/>
          <w:sz w:val="32"/>
          <w:szCs w:val="32"/>
          <w:lang w:val="en-US" w:eastAsia="zh-CN"/>
        </w:rPr>
        <w:t>《穿越诗文遇见你》</w:t>
      </w:r>
      <w:r>
        <w:rPr>
          <w:rFonts w:hint="eastAsia" w:ascii="Times New Roman" w:eastAsia="仿宋_GB2312"/>
          <w:b w:val="0"/>
          <w:sz w:val="32"/>
          <w:szCs w:val="32"/>
          <w:highlight w:val="none"/>
          <w:lang w:val="en-US" w:eastAsia="zh-CN"/>
        </w:rPr>
        <w:t>项目绩效自评得分为99.5分（绩效自评表附后）。</w:t>
      </w:r>
      <w:r>
        <w:rPr>
          <w:rFonts w:hint="eastAsia" w:ascii="仿宋_GB2312" w:hAnsi="仿宋_GB2312" w:eastAsia="仿宋_GB2312" w:cs="仿宋_GB2312"/>
          <w:color w:val="auto"/>
          <w:sz w:val="32"/>
          <w:szCs w:val="32"/>
          <w:lang w:val="en-US" w:eastAsia="zh-CN"/>
        </w:rPr>
        <w:t>项目全年资金99.27万元，其中财政资金49.27万元，自筹资金50万元，全部执行到位。</w:t>
      </w:r>
      <w:r>
        <w:rPr>
          <w:rFonts w:hint="eastAsia" w:ascii="Times New Roman" w:eastAsia="仿宋_GB2312"/>
          <w:b w:val="0"/>
          <w:sz w:val="32"/>
          <w:szCs w:val="32"/>
          <w:highlight w:val="none"/>
          <w:lang w:val="en-US" w:eastAsia="zh-CN"/>
        </w:rPr>
        <w:t>完成预算的100%。通过项目实施，完成了年初设定的各项绩效目标，节目和视频在多平台播出，</w:t>
      </w:r>
      <w:r>
        <w:rPr>
          <w:rFonts w:hint="eastAsia" w:ascii="仿宋_GB2312" w:hAnsi="仿宋_GB2312" w:eastAsia="仿宋_GB2312" w:cs="仿宋_GB2312"/>
          <w:color w:val="auto"/>
          <w:sz w:val="32"/>
          <w:szCs w:val="32"/>
        </w:rPr>
        <w:t>以诗文的全新视角更好地弘扬燕赵文化、历史文化，提升观众对石家庄的文化认同感</w:t>
      </w:r>
      <w:r>
        <w:rPr>
          <w:rFonts w:hint="eastAsia" w:ascii="仿宋_GB2312" w:hAnsi="仿宋_GB2312" w:eastAsia="仿宋_GB2312" w:cs="仿宋_GB2312"/>
          <w:color w:val="auto"/>
          <w:sz w:val="32"/>
          <w:szCs w:val="32"/>
          <w:lang w:eastAsia="zh-CN"/>
        </w:rPr>
        <w:t>，</w:t>
      </w:r>
      <w:r>
        <w:rPr>
          <w:rFonts w:hint="eastAsia" w:ascii="Times New Roman" w:eastAsia="仿宋_GB2312"/>
          <w:b w:val="0"/>
          <w:sz w:val="32"/>
          <w:szCs w:val="32"/>
          <w:highlight w:val="none"/>
          <w:lang w:val="en-US" w:eastAsia="zh-CN"/>
        </w:rPr>
        <w:t>持续激发开拓省会人民进取的信心和动力，达到促进、激励、鼓干劲的作用。未发现问题。</w:t>
      </w:r>
    </w:p>
    <w:p>
      <w:pPr>
        <w:pStyle w:val="12"/>
        <w:keepNext w:val="0"/>
        <w:keepLines w:val="0"/>
        <w:pageBreakBefore w:val="0"/>
        <w:widowControl w:val="0"/>
        <w:kinsoku/>
        <w:wordWrap/>
        <w:overflowPunct/>
        <w:topLinePunct w:val="0"/>
        <w:autoSpaceDE/>
        <w:autoSpaceDN/>
        <w:bidi w:val="0"/>
        <w:spacing w:line="600" w:lineRule="exact"/>
        <w:ind w:right="0" w:rightChars="0" w:firstLine="640"/>
        <w:jc w:val="both"/>
        <w:textAlignment w:val="auto"/>
        <w:rPr>
          <w:rFonts w:hint="default"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2024市级文化产业繁荣引导资金广播剧《齐齐花坦与河北梆子》项目绩效自评情况，根据年初设定的目标，《齐齐花坦与河北梆子》项目绩效自评得分为99.5分（绩效自评表附后）。项目全年资金70万元，其中财政资金50万元，自筹资金20万，全部执行到位，完成预算的100%。通过项目实施，完成了年初设定的各项绩效目标，点亮石家庄“北方戏窝子”戏曲文化品牌，让戏曲融入百姓生活，满足人民群众的精神文化需求，充分展示我市的文化底蕴和精神内涵。未发现问题。</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bookmarkStart w:id="0" w:name="_GoBack"/>
      <w:bookmarkEnd w:id="0"/>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020D7A24-27B3-48BB-8B01-6094C25CC5EA}"/>
  </w:font>
  <w:font w:name="黑体">
    <w:panose1 w:val="02010609060101010101"/>
    <w:charset w:val="86"/>
    <w:family w:val="auto"/>
    <w:pitch w:val="default"/>
    <w:sig w:usb0="800002BF" w:usb1="38CF7CFA" w:usb2="00000016" w:usb3="00000000" w:csb0="00040001" w:csb1="00000000"/>
    <w:embedRegular r:id="rId2" w:fontKey="{A5F6C0B8-14FC-44D7-9DEC-E4A74674A51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6747ACF9-A425-496B-813D-016329BA7CD2}"/>
  </w:font>
  <w:font w:name="仿宋">
    <w:panose1 w:val="02010609060101010101"/>
    <w:charset w:val="86"/>
    <w:family w:val="modern"/>
    <w:pitch w:val="default"/>
    <w:sig w:usb0="800002BF" w:usb1="38CF7CFA" w:usb2="00000016" w:usb3="00000000" w:csb0="00040001" w:csb1="00000000"/>
    <w:embedRegular r:id="rId4" w:fontKey="{4D0084D7-3802-40F9-A5E8-0ECEFE00D258}"/>
  </w:font>
  <w:font w:name="Calibri Light">
    <w:altName w:val="Calibri"/>
    <w:panose1 w:val="020F0302020204030204"/>
    <w:charset w:val="00"/>
    <w:family w:val="auto"/>
    <w:pitch w:val="default"/>
    <w:sig w:usb0="00000000" w:usb1="00000000"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DFB1636-66A2-4009-91A3-0A0D378D61B0}"/>
  </w:font>
  <w:font w:name="方正小标宋_GBK">
    <w:panose1 w:val="02000000000000000000"/>
    <w:charset w:val="86"/>
    <w:family w:val="script"/>
    <w:pitch w:val="default"/>
    <w:sig w:usb0="A00002BF" w:usb1="38CF7CFA" w:usb2="00082016" w:usb3="00000000" w:csb0="00040001" w:csb1="00000000"/>
    <w:embedRegular r:id="rId6" w:fontKey="{9F3A8AD9-F60F-4368-985D-1477171266AD}"/>
  </w:font>
  <w:font w:name="仿宋_GB2312">
    <w:panose1 w:val="02010609030101010101"/>
    <w:charset w:val="86"/>
    <w:family w:val="auto"/>
    <w:pitch w:val="default"/>
    <w:sig w:usb0="00000001" w:usb1="080E0000" w:usb2="00000000" w:usb3="00000000" w:csb0="00040000" w:csb1="00000000"/>
    <w:embedRegular r:id="rId7" w:fontKey="{461585F3-4A90-470E-9B41-DC18B0A7BEE8}"/>
  </w:font>
  <w:font w:name="ArialUnicodeMS">
    <w:altName w:val="Malgun Gothic"/>
    <w:panose1 w:val="00000000000000000000"/>
    <w:charset w:val="81"/>
    <w:family w:val="auto"/>
    <w:pitch w:val="default"/>
    <w:sig w:usb0="00000000" w:usb1="00000000" w:usb2="00000010" w:usb3="00000000" w:csb0="00080001" w:csb1="00000000"/>
    <w:embedRegular r:id="rId8" w:fontKey="{6F321601-1D78-498D-8FF7-F8DFD35CC7A3}"/>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9" w:fontKey="{458E1A0D-A68C-4EE4-B241-E621472BBD7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华文仿宋">
    <w:altName w:val="仿宋"/>
    <w:panose1 w:val="02010600040101010101"/>
    <w:charset w:val="86"/>
    <w:family w:val="auto"/>
    <w:pitch w:val="default"/>
    <w:sig w:usb0="00000000" w:usb1="00000000" w:usb2="00000010" w:usb3="00000000" w:csb0="0004009F" w:csb1="00000000"/>
    <w:embedRegular r:id="rId10" w:fontKey="{5FAC15D4-92C9-4B4D-ABAD-B6128E2F07E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917A25"/>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6FE0298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960386"/>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Indent"/>
    <w:basedOn w:val="1"/>
    <w:qFormat/>
    <w:uiPriority w:val="0"/>
    <w:pPr>
      <w:ind w:firstLine="420" w:firstLineChars="200"/>
    </w:pPr>
  </w:style>
  <w:style w:type="paragraph" w:styleId="8">
    <w:name w:val="Balloon Text"/>
    <w:basedOn w:val="1"/>
    <w:link w:val="26"/>
    <w:unhideWhenUsed/>
    <w:qFormat/>
    <w:uiPriority w:val="99"/>
    <w:rPr>
      <w:rFonts w:cstheme="minorBidi"/>
      <w:kern w:val="2"/>
      <w:sz w:val="18"/>
      <w:szCs w:val="18"/>
    </w:rPr>
  </w:style>
  <w:style w:type="paragraph" w:styleId="9">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2"/>
    <w:basedOn w:val="7"/>
    <w:qFormat/>
    <w:uiPriority w:val="0"/>
    <w:pPr>
      <w:ind w:firstLine="200"/>
    </w:p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3"/>
    <w:qFormat/>
    <w:uiPriority w:val="0"/>
    <w:rPr>
      <w:rFonts w:ascii="Calibri Light" w:hAnsi="Calibri Light" w:eastAsia="宋体" w:cs="Times New Roman"/>
      <w:b/>
      <w:bCs/>
      <w:sz w:val="28"/>
      <w:szCs w:val="32"/>
    </w:rPr>
  </w:style>
  <w:style w:type="character" w:customStyle="1" w:styleId="18">
    <w:name w:val="页脚 Char"/>
    <w:basedOn w:val="15"/>
    <w:link w:val="9"/>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0"/>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8"/>
    <w:semiHidden/>
    <w:qFormat/>
    <w:uiPriority w:val="99"/>
    <w:rPr>
      <w:rFonts w:asciiTheme="minorHAnsi" w:hAnsiTheme="minorHAnsi" w:eastAsiaTheme="minorEastAsia" w:cstheme="minorBidi"/>
      <w:sz w:val="18"/>
      <w:szCs w:val="18"/>
      <w:lang w:val="en-US" w:eastAsia="zh-CN" w:bidi="ar-SA"/>
    </w:rPr>
  </w:style>
  <w:style w:type="paragraph" w:customStyle="1" w:styleId="27">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8919.4</c:v>
                </c:pt>
                <c:pt idx="1">
                  <c:v>8706.98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87069774.76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51777006.36</c:v>
                </c:pt>
                <c:pt idx="1">
                  <c:v>35292768.4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8919.4</c:v>
                </c:pt>
                <c:pt idx="1">
                  <c:v>8919.4</c:v>
                </c:pt>
                <c:pt idx="2">
                  <c:v>8782.59</c:v>
                </c:pt>
                <c:pt idx="3">
                  <c:v>8782.59</c:v>
                </c:pt>
                <c:pt idx="4">
                  <c:v>136.81</c:v>
                </c:pt>
                <c:pt idx="5">
                  <c:v>136.81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8706.98</c:v>
                </c:pt>
                <c:pt idx="1">
                  <c:v>8706.98</c:v>
                </c:pt>
                <c:pt idx="2">
                  <c:v>8570.17</c:v>
                </c:pt>
                <c:pt idx="3">
                  <c:v>8570.17</c:v>
                </c:pt>
                <c:pt idx="4">
                  <c:v>136.81</c:v>
                </c:pt>
                <c:pt idx="5">
                  <c:v>136.81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8556.99</c:v>
                </c:pt>
                <c:pt idx="1">
                  <c:v>8556.99</c:v>
                </c:pt>
                <c:pt idx="2">
                  <c:v>8420.18</c:v>
                </c:pt>
                <c:pt idx="3">
                  <c:v>8420.18</c:v>
                </c:pt>
                <c:pt idx="4">
                  <c:v>136.81</c:v>
                </c:pt>
                <c:pt idx="5">
                  <c:v>136.81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8706.98</c:v>
                </c:pt>
                <c:pt idx="1">
                  <c:v>8706.98</c:v>
                </c:pt>
                <c:pt idx="2">
                  <c:v>8570.17</c:v>
                </c:pt>
                <c:pt idx="3">
                  <c:v>8570.17</c:v>
                </c:pt>
                <c:pt idx="4">
                  <c:v>136.81</c:v>
                </c:pt>
                <c:pt idx="5">
                  <c:v>136.81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8570.17</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136.81</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TotalTime>
  <ScaleCrop>false</ScaleCrop>
  <LinksUpToDate>false</LinksUpToDate>
  <CharactersWithSpaces>2170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LL</cp:lastModifiedBy>
  <cp:lastPrinted>2023-08-04T01:00:00Z</cp:lastPrinted>
  <dcterms:modified xsi:type="dcterms:W3CDTF">2025-09-10T10:36:25Z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