
<file path=[Content_Types].xml><?xml version="1.0" encoding="utf-8"?>
<Types xmlns="http://schemas.openxmlformats.org/package/2006/content-types">
  <Default Extension="xml" ContentType="application/xml"/>
  <Default Extension="xlsx" ContentType="application/vnd.openxmlformats-officedocument.spreadsheetml.sheet"/>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olors1.xml" ContentType="application/vnd.ms-office.chartcolorstyle+xml"/>
  <Override PartName="/word/charts/colors2.xml" ContentType="application/vnd.ms-office.chartcolorstyle+xml"/>
  <Override PartName="/word/charts/colors3.xml" ContentType="application/vnd.ms-office.chartcolorstyle+xml"/>
  <Override PartName="/word/charts/colors4.xml" ContentType="application/vnd.ms-office.chartcolorstyle+xml"/>
  <Override PartName="/word/charts/colors5.xml" ContentType="application/vnd.ms-office.chartcolorstyle+xml"/>
  <Override PartName="/word/charts/colors6.xml" ContentType="application/vnd.ms-office.chartcolorstyle+xml"/>
  <Override PartName="/word/charts/style1.xml" ContentType="application/vnd.ms-office.chartstyle+xml"/>
  <Override PartName="/word/charts/style2.xml" ContentType="application/vnd.ms-office.chartstyle+xml"/>
  <Override PartName="/word/charts/style3.xml" ContentType="application/vnd.ms-office.chartstyle+xml"/>
  <Override PartName="/word/charts/style4.xml" ContentType="application/vnd.ms-office.chartstyle+xml"/>
  <Override PartName="/word/charts/style5.xml" ContentType="application/vnd.ms-office.chartstyle+xml"/>
  <Override PartName="/word/charts/style6.xml" ContentType="application/vnd.ms-office.chartstyle+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10.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nts/font8.odttf" ContentType="application/vnd.openxmlformats-officedocument.obfuscatedFont"/>
  <Override PartName="/word/fonts/font9.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600" w:lineRule="auto"/>
        <w:jc w:val="both"/>
        <w:rPr>
          <w:rFonts w:hint="eastAsia" w:ascii="楷体_GB2312" w:hAnsi="楷体_GB2312" w:eastAsia="楷体_GB2312" w:cs="楷体_GB2312"/>
          <w:color w:val="000000"/>
          <w:sz w:val="40"/>
          <w:szCs w:val="40"/>
        </w:rPr>
      </w:pPr>
      <w:r>
        <w:drawing>
          <wp:anchor distT="0" distB="0" distL="114300" distR="114300" simplePos="0" relativeHeight="251659264" behindDoc="1" locked="0" layoutInCell="1" allowOverlap="1">
            <wp:simplePos x="0" y="0"/>
            <wp:positionH relativeFrom="column">
              <wp:posOffset>-1692910</wp:posOffset>
            </wp:positionH>
            <wp:positionV relativeFrom="paragraph">
              <wp:posOffset>-1319530</wp:posOffset>
            </wp:positionV>
            <wp:extent cx="8646795" cy="11107420"/>
            <wp:effectExtent l="0" t="0" r="1905" b="5080"/>
            <wp:wrapNone/>
            <wp:docPr id="15" name="图片 15" descr="7b0a202020202266696c746572223a202230220a7d0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图片 15" descr="7b0a202020202266696c746572223a202230220a7d0a"/>
                    <pic:cNvPicPr>
                      <a:picLocks noChangeAspect="1"/>
                    </pic:cNvPicPr>
                  </pic:nvPicPr>
                  <pic:blipFill>
                    <a:blip r:embed="rId10">
                      <a:lum bright="6000"/>
                    </a:blip>
                    <a:srcRect t="559" b="3637"/>
                    <a:stretch>
                      <a:fillRect/>
                    </a:stretch>
                  </pic:blipFill>
                  <pic:spPr>
                    <a:xfrm>
                      <a:off x="0" y="0"/>
                      <a:ext cx="8646795" cy="11107420"/>
                    </a:xfrm>
                    <a:prstGeom prst="rect">
                      <a:avLst/>
                    </a:prstGeom>
                  </pic:spPr>
                </pic:pic>
              </a:graphicData>
            </a:graphic>
          </wp:anchor>
        </w:drawing>
      </w:r>
      <w:r>
        <mc:AlternateContent>
          <mc:Choice Requires="wps">
            <w:drawing>
              <wp:anchor distT="0" distB="0" distL="114300" distR="114300" simplePos="0" relativeHeight="251660288" behindDoc="0" locked="0" layoutInCell="1" allowOverlap="1">
                <wp:simplePos x="0" y="0"/>
                <wp:positionH relativeFrom="column">
                  <wp:posOffset>-546735</wp:posOffset>
                </wp:positionH>
                <wp:positionV relativeFrom="paragraph">
                  <wp:posOffset>253365</wp:posOffset>
                </wp:positionV>
                <wp:extent cx="6431280" cy="2862580"/>
                <wp:effectExtent l="0" t="0" r="0" b="0"/>
                <wp:wrapNone/>
                <wp:docPr id="1" name="文本框 1" descr="7b0a2020202022776f7264617274223a20227b5c2269645c223a32353030323136362c5c227469645c223a5c225c227d220a7d0a"/>
                <wp:cNvGraphicFramePr>
                  <a:extLst xmlns:a="http://schemas.openxmlformats.org/drawingml/2006/main">
                    <a:ext uri="{7FBC4E63-A832-4D11-8238-D91031DB1400}">
                      <s:tag xmlns="http://www.wps.cn/officeDocument/2013/wpsCustomData" xmlns:s="http://www.wps.cn/officeDocument/2013/wpsCustomData">
                        <s:item s:name="KSO_DOCER_RESOURCE_TRACE_INFO" s:val="{&quot;id&quot;:&quot;&quot;,&quot;origin&quot;:0,&quot;type&quot;:&quot;wordart&quot;,&quot;user&quot;:&quot;292216292&quot;}"/>
                      </s:tag>
                    </a:ext>
                  </a:extLst>
                </wp:cNvGraphicFramePr>
                <a:graphic xmlns:a="http://schemas.openxmlformats.org/drawingml/2006/main">
                  <a:graphicData uri="http://schemas.microsoft.com/office/word/2010/wordprocessingShape">
                    <wps:wsp>
                      <wps:cNvSpPr txBox="1"/>
                      <wps:spPr>
                        <a:xfrm>
                          <a:off x="0" y="0"/>
                          <a:ext cx="6431280" cy="2862580"/>
                        </a:xfrm>
                        <a:prstGeom prst="rect">
                          <a:avLst/>
                        </a:prstGeom>
                        <a:noFill/>
                        <a:ln>
                          <a:noFill/>
                        </a:ln>
                        <a:effectLst/>
                      </wps:spPr>
                      <wps:txbx>
                        <w:txbxContent>
                          <w:p>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2024年度</w:t>
                            </w:r>
                          </w:p>
                          <w:p>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部门决算公开文本</w:t>
                            </w:r>
                          </w:p>
                        </w:txbxContent>
                      </wps:txbx>
                      <wps:bodyPr upright="1"/>
                    </wps:wsp>
                  </a:graphicData>
                </a:graphic>
              </wp:anchor>
            </w:drawing>
          </mc:Choice>
          <mc:Fallback>
            <w:pict>
              <v:shape id="_x0000_s1026" o:spid="_x0000_s1026" o:spt="202" alt="7b0a2020202022776f7264617274223a20227b5c2269645c223a32353030323136362c5c227469645c223a5c225c227d220a7d0a" type="#_x0000_t202" style="position:absolute;left:0pt;margin-left:-43.05pt;margin-top:19.95pt;height:225.4pt;width:506.4pt;z-index:251660288;mso-width-relative:page;mso-height-relative:page;" filled="f" stroked="f" coordsize="21600,21600" o:gfxdata="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">
                <v:fill on="f" focussize="0,0"/>
                <v:stroke on="f"/>
                <v:imagedata o:title=""/>
                <o:lock v:ext="edit" aspectratio="f"/>
                <v:textbox>
                  <w:txbxContent>
                    <w:p>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2024年度</w:t>
                      </w:r>
                    </w:p>
                    <w:p>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部门决算公开文本</w:t>
                      </w:r>
                    </w:p>
                  </w:txbxContent>
                </v:textbox>
              </v:shape>
            </w:pict>
          </mc:Fallback>
        </mc:AlternateContent>
      </w:r>
    </w:p>
    <w:p>
      <w:pPr>
        <w:spacing w:line="600" w:lineRule="auto"/>
        <w:jc w:val="both"/>
        <w:rPr>
          <w:rFonts w:hint="eastAsia" w:ascii="楷体_GB2312" w:hAnsi="楷体_GB2312" w:eastAsia="楷体_GB2312" w:cs="楷体_GB2312"/>
          <w:color w:val="000000"/>
          <w:sz w:val="40"/>
          <w:szCs w:val="40"/>
        </w:rPr>
      </w:pPr>
    </w:p>
    <w:p>
      <w:pPr>
        <w:spacing w:line="600" w:lineRule="auto"/>
        <w:jc w:val="both"/>
        <w:rPr>
          <w:rFonts w:hint="eastAsia" w:ascii="楷体_GB2312" w:hAnsi="楷体_GB2312" w:eastAsia="楷体_GB2312" w:cs="楷体_GB2312"/>
          <w:color w:val="000000"/>
          <w:sz w:val="40"/>
          <w:szCs w:val="40"/>
        </w:rPr>
      </w:pPr>
    </w:p>
    <w:p>
      <w:pPr>
        <w:spacing w:line="600" w:lineRule="auto"/>
        <w:jc w:val="both"/>
        <w:rPr>
          <w:rFonts w:hint="eastAsia" w:ascii="楷体_GB2312" w:hAnsi="楷体_GB2312" w:eastAsia="楷体_GB2312" w:cs="楷体_GB2312"/>
          <w:color w:val="000000"/>
          <w:sz w:val="40"/>
          <w:szCs w:val="40"/>
        </w:rPr>
      </w:pPr>
    </w:p>
    <w:p>
      <w:pPr>
        <w:spacing w:line="600" w:lineRule="auto"/>
        <w:jc w:val="both"/>
        <w:rPr>
          <w:rFonts w:hint="eastAsia" w:ascii="楷体_GB2312" w:hAnsi="楷体_GB2312" w:eastAsia="楷体_GB2312" w:cs="楷体_GB2312"/>
          <w:color w:val="000000"/>
          <w:sz w:val="40"/>
          <w:szCs w:val="40"/>
        </w:rPr>
      </w:pPr>
    </w:p>
    <w:p>
      <w:pPr>
        <w:spacing w:line="600" w:lineRule="auto"/>
        <w:jc w:val="both"/>
        <w:rPr>
          <w:rFonts w:hint="eastAsia" w:ascii="楷体_GB2312" w:hAnsi="楷体_GB2312" w:eastAsia="楷体_GB2312" w:cs="楷体_GB2312"/>
          <w:color w:val="000000"/>
          <w:sz w:val="40"/>
          <w:szCs w:val="40"/>
        </w:rPr>
      </w:pPr>
    </w:p>
    <w:p>
      <w:pPr>
        <w:spacing w:line="600" w:lineRule="auto"/>
        <w:jc w:val="both"/>
        <w:rPr>
          <w:rFonts w:hint="eastAsia" w:ascii="楷体_GB2312" w:hAnsi="楷体_GB2312" w:eastAsia="楷体_GB2312" w:cs="楷体_GB2312"/>
          <w:color w:val="000000"/>
          <w:sz w:val="40"/>
          <w:szCs w:val="40"/>
        </w:rPr>
      </w:pPr>
    </w:p>
    <w:p>
      <w:pPr>
        <w:spacing w:line="600" w:lineRule="auto"/>
        <w:jc w:val="both"/>
        <w:rPr>
          <w:rFonts w:hint="eastAsia" w:ascii="楷体_GB2312" w:hAnsi="楷体_GB2312" w:eastAsia="楷体_GB2312" w:cs="楷体_GB2312"/>
          <w:color w:val="000000"/>
          <w:sz w:val="40"/>
          <w:szCs w:val="40"/>
        </w:rPr>
      </w:pPr>
    </w:p>
    <w:p>
      <w:pPr>
        <w:spacing w:line="600" w:lineRule="auto"/>
        <w:jc w:val="both"/>
        <w:rPr>
          <w:rFonts w:hint="eastAsia" w:ascii="楷体_GB2312" w:hAnsi="楷体_GB2312" w:eastAsia="楷体_GB2312" w:cs="楷体_GB2312"/>
          <w:color w:val="000000"/>
          <w:sz w:val="40"/>
          <w:szCs w:val="40"/>
        </w:rPr>
      </w:pPr>
    </w:p>
    <w:p>
      <w:pPr>
        <w:spacing w:line="600" w:lineRule="auto"/>
        <w:jc w:val="both"/>
        <w:rPr>
          <w:rFonts w:hint="eastAsia" w:ascii="楷体_GB2312" w:hAnsi="楷体_GB2312" w:eastAsia="楷体_GB2312" w:cs="楷体_GB2312"/>
          <w:color w:val="000000"/>
          <w:sz w:val="40"/>
          <w:szCs w:val="40"/>
        </w:rPr>
      </w:pPr>
    </w:p>
    <w:p>
      <w:pPr>
        <w:spacing w:line="600" w:lineRule="auto"/>
        <w:jc w:val="both"/>
        <w:rPr>
          <w:rFonts w:hint="eastAsia" w:ascii="楷体_GB2312" w:hAnsi="楷体_GB2312" w:eastAsia="楷体_GB2312" w:cs="楷体_GB2312"/>
          <w:color w:val="000000"/>
          <w:sz w:val="40"/>
          <w:szCs w:val="40"/>
        </w:rPr>
      </w:pPr>
    </w:p>
    <w:p>
      <w:pPr>
        <w:spacing w:line="600" w:lineRule="auto"/>
        <w:jc w:val="both"/>
        <w:rPr>
          <w:rFonts w:hint="eastAsia" w:ascii="楷体_GB2312" w:hAnsi="楷体_GB2312" w:eastAsia="楷体_GB2312" w:cs="楷体_GB2312"/>
          <w:color w:val="000000"/>
          <w:sz w:val="40"/>
          <w:szCs w:val="40"/>
        </w:rPr>
      </w:pPr>
    </w:p>
    <w:p>
      <w:pPr>
        <w:spacing w:line="600" w:lineRule="auto"/>
        <w:jc w:val="left"/>
        <w:rPr>
          <w:rFonts w:hint="eastAsia" w:ascii="楷体_GB2312" w:hAnsi="楷体_GB2312" w:eastAsia="楷体_GB2312" w:cs="楷体_GB2312"/>
          <w:color w:val="000000"/>
          <w:sz w:val="40"/>
          <w:szCs w:val="40"/>
          <w:lang w:val="en-US" w:eastAsia="zh-CN"/>
        </w:rPr>
      </w:pPr>
      <w:r>
        <w:rPr>
          <w:rFonts w:hint="eastAsia" w:ascii="黑体" w:hAnsi="黑体" w:eastAsia="黑体" w:cs="黑体"/>
          <w:color w:val="000000"/>
          <w:sz w:val="40"/>
          <w:szCs w:val="40"/>
        </w:rPr>
        <w:t>预算代码</w:t>
      </w:r>
      <w:r>
        <w:rPr>
          <w:rFonts w:hint="eastAsia" w:ascii="楷体_GB2312" w:hAnsi="楷体_GB2312" w:eastAsia="楷体_GB2312" w:cs="楷体_GB2312"/>
          <w:color w:val="000000"/>
          <w:sz w:val="40"/>
          <w:szCs w:val="40"/>
        </w:rPr>
        <w:t>：</w:t>
      </w:r>
      <w:r>
        <w:rPr>
          <w:rFonts w:hint="eastAsia" w:ascii="楷体_GB2312" w:hAnsi="楷体_GB2312" w:eastAsia="楷体_GB2312" w:cs="楷体_GB2312"/>
          <w:color w:val="000000"/>
          <w:sz w:val="40"/>
          <w:szCs w:val="40"/>
          <w:lang w:val="en-US" w:eastAsia="zh-CN"/>
        </w:rPr>
        <w:t>359001</w:t>
      </w:r>
    </w:p>
    <w:p>
      <w:pPr>
        <w:spacing w:line="600" w:lineRule="auto"/>
        <w:jc w:val="left"/>
        <w:rPr>
          <w:rFonts w:hint="eastAsia" w:ascii="楷体_GB2312" w:hAnsi="楷体_GB2312" w:eastAsia="楷体_GB2312" w:cs="楷体_GB2312"/>
          <w:color w:val="000000"/>
          <w:sz w:val="40"/>
          <w:szCs w:val="40"/>
        </w:rPr>
      </w:pPr>
      <w:r>
        <w:rPr>
          <w:rFonts w:hint="eastAsia" w:ascii="黑体" w:hAnsi="黑体" w:eastAsia="黑体" w:cs="黑体"/>
          <w:color w:val="000000"/>
          <w:sz w:val="40"/>
          <w:szCs w:val="40"/>
        </w:rPr>
        <w:t>单位名称</w:t>
      </w:r>
      <w:r>
        <w:rPr>
          <w:rFonts w:hint="eastAsia" w:ascii="楷体_GB2312" w:hAnsi="楷体_GB2312" w:eastAsia="楷体_GB2312" w:cs="楷体_GB2312"/>
          <w:color w:val="000000"/>
          <w:sz w:val="40"/>
          <w:szCs w:val="40"/>
        </w:rPr>
        <w:t>：石家庄广播电视台(本级)</w:t>
      </w:r>
    </w:p>
    <w:p>
      <w:pPr>
        <w:spacing w:line="600" w:lineRule="auto"/>
        <w:jc w:val="both"/>
        <w:rPr>
          <w:rFonts w:hint="eastAsia" w:ascii="楷体_GB2312" w:hAnsi="楷体_GB2312" w:eastAsia="楷体_GB2312" w:cs="楷体_GB2312"/>
          <w:color w:val="000000"/>
          <w:sz w:val="40"/>
          <w:szCs w:val="40"/>
        </w:rPr>
        <w:sectPr>
          <w:footerReference r:id="rId3" w:type="default"/>
          <w:pgSz w:w="11906" w:h="16838"/>
          <w:pgMar w:top="2098" w:right="1417" w:bottom="1871" w:left="1417" w:header="851" w:footer="992" w:gutter="0"/>
          <w:pgBorders>
            <w:top w:val="none" w:sz="0" w:space="0"/>
            <w:left w:val="none" w:sz="0" w:space="0"/>
            <w:bottom w:val="none" w:sz="0" w:space="0"/>
            <w:right w:val="none" w:sz="0" w:space="0"/>
          </w:pgBorders>
          <w:cols w:space="720" w:num="1"/>
          <w:docGrid w:type="lines" w:linePitch="312" w:charSpace="0"/>
        </w:sectPr>
      </w:pPr>
    </w:p>
    <w:p>
      <w:pPr>
        <w:spacing w:line="600" w:lineRule="auto"/>
        <w:jc w:val="center"/>
        <w:rPr>
          <w:rFonts w:hint="eastAsia" w:ascii="楷体_GB2312" w:hAnsi="楷体_GB2312" w:eastAsia="楷体_GB2312" w:cs="楷体_GB2312"/>
          <w:color w:val="000000"/>
          <w:sz w:val="40"/>
          <w:szCs w:val="40"/>
        </w:rPr>
      </w:pPr>
    </w:p>
    <w:p>
      <w:pPr>
        <w:rPr>
          <w:rFonts w:hint="eastAsia" w:ascii="黑体" w:hAnsi="黑体" w:eastAsia="黑体" w:cs="黑体"/>
          <w:b/>
          <w:bCs/>
          <w:sz w:val="32"/>
          <w:szCs w:val="36"/>
          <w:highlight w:val="yellow"/>
        </w:rPr>
      </w:pPr>
    </w:p>
    <w:p>
      <w:pPr>
        <w:widowControl/>
        <w:spacing w:before="0" w:beforeLines="0" w:beforeAutospacing="0" w:after="0" w:afterLines="0" w:afterAutospacing="0" w:line="360" w:lineRule="auto"/>
        <w:jc w:val="center"/>
        <w:rPr>
          <w:rFonts w:ascii="Times New Roman" w:eastAsia="方正小标宋_GBK"/>
          <w:sz w:val="72"/>
          <w:szCs w:val="72"/>
        </w:rPr>
      </w:pPr>
      <w:r>
        <w:rPr>
          <w:rFonts w:ascii="Times New Roman" w:eastAsia="方正小标宋_GBK"/>
          <w:b w:val="0"/>
          <w:sz w:val="72"/>
          <w:szCs w:val="72"/>
        </w:rPr>
        <w:t>石家庄广播电视台(本级)</w:t>
      </w:r>
    </w:p>
    <w:p>
      <w:pPr>
        <w:widowControl/>
        <w:spacing w:before="0" w:beforeLines="0" w:beforeAutospacing="0" w:after="0" w:afterLines="0" w:afterAutospacing="0" w:line="360" w:lineRule="auto"/>
        <w:jc w:val="center"/>
        <w:rPr>
          <w:rFonts w:ascii="Times New Roman" w:eastAsia="方正小标宋_GBK"/>
          <w:sz w:val="72"/>
          <w:szCs w:val="72"/>
        </w:rPr>
      </w:pPr>
      <w:r>
        <w:rPr>
          <w:rFonts w:ascii="Times New Roman" w:eastAsia="仿宋_GB2312"/>
          <w:b w:val="0"/>
          <w:sz w:val="72"/>
          <w:szCs w:val="72"/>
        </w:rPr>
        <w:t>2024</w:t>
      </w:r>
      <w:r>
        <w:rPr>
          <w:rFonts w:ascii="Times New Roman" w:eastAsia="方正小标宋_GBK"/>
          <w:b w:val="0"/>
          <w:sz w:val="72"/>
          <w:szCs w:val="72"/>
        </w:rPr>
        <w:t>年度部门决算公开文本</w:t>
      </w:r>
    </w:p>
    <w:p>
      <w:pPr>
        <w:spacing w:line="36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480" w:lineRule="auto"/>
        <w:jc w:val="both"/>
        <w:rPr>
          <w:rFonts w:ascii="黑体" w:hAnsi="黑体" w:eastAsia="黑体" w:cs="黑体"/>
          <w:sz w:val="56"/>
          <w:szCs w:val="72"/>
        </w:rPr>
      </w:pPr>
    </w:p>
    <w:p>
      <w:pPr>
        <w:widowControl/>
        <w:spacing w:before="0" w:beforeLines="0" w:beforeAutospacing="0" w:after="0" w:afterLines="0" w:afterAutospacing="0" w:line="360" w:lineRule="auto"/>
        <w:jc w:val="center"/>
        <w:rPr>
          <w:rFonts w:ascii="Times New Roman" w:eastAsia="楷体_GB2312"/>
          <w:b w:val="0"/>
          <w:sz w:val="44"/>
          <w:szCs w:val="44"/>
        </w:rPr>
      </w:pPr>
      <w:r>
        <w:rPr>
          <w:rFonts w:ascii="Times New Roman" w:eastAsia="楷体_GB2312"/>
          <w:b w:val="0"/>
          <w:sz w:val="44"/>
          <w:szCs w:val="44"/>
        </w:rPr>
        <w:t>石家庄广播电视台(本级)</w:t>
      </w:r>
    </w:p>
    <w:p>
      <w:pPr>
        <w:widowControl/>
        <w:spacing w:before="0" w:beforeLines="0" w:beforeAutospacing="0" w:after="0" w:afterLines="0" w:afterAutospacing="0" w:line="360" w:lineRule="auto"/>
        <w:jc w:val="center"/>
        <w:rPr>
          <w:rFonts w:ascii="Times New Roman" w:eastAsia="楷体_GB2312"/>
          <w:sz w:val="44"/>
          <w:szCs w:val="44"/>
        </w:rPr>
      </w:pPr>
      <w:r>
        <w:rPr>
          <w:rFonts w:ascii="Times New Roman" w:eastAsia="楷体_GB2312"/>
          <w:b w:val="0"/>
          <w:sz w:val="44"/>
          <w:szCs w:val="44"/>
        </w:rPr>
        <w:t>二〇二五年八月</w:t>
      </w:r>
    </w:p>
    <w:p>
      <w:pPr>
        <w:snapToGrid w:val="0"/>
        <w:jc w:val="left"/>
        <w:rPr>
          <w:rFonts w:hint="eastAsia" w:ascii="楷体_GB2312" w:hAnsi="楷体_GB2312" w:eastAsia="楷体_GB2312" w:cs="楷体_GB2312"/>
          <w:color w:val="000000" w:themeColor="text1"/>
          <w:kern w:val="0"/>
          <w:sz w:val="44"/>
          <w:szCs w:val="44"/>
          <w:lang w:val="en-US"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p>
    <w:p>
      <w:pPr>
        <w:snapToGrid w:val="0"/>
        <w:jc w:val="left"/>
        <w:rPr>
          <w:rFonts w:hint="default" w:ascii="楷体_GB2312" w:hAnsi="楷体_GB2312" w:eastAsia="楷体_GB2312" w:cs="楷体_GB2312"/>
          <w:color w:val="000000" w:themeColor="text1"/>
          <w:kern w:val="0"/>
          <w:sz w:val="44"/>
          <w:szCs w:val="44"/>
          <w:lang w:val="en-US"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sectPr>
          <w:pgSz w:w="11906" w:h="16838"/>
          <w:pgMar w:top="1531" w:right="1984" w:bottom="1531" w:left="2098" w:header="851" w:footer="992" w:gutter="0"/>
          <w:pgBorders>
            <w:top w:val="none" w:sz="0" w:space="0"/>
            <w:left w:val="none" w:sz="0" w:space="0"/>
            <w:bottom w:val="none" w:sz="0" w:space="0"/>
            <w:right w:val="none" w:sz="0" w:space="0"/>
          </w:pgBorders>
          <w:cols w:space="720" w:num="1"/>
          <w:docGrid w:type="lines" w:linePitch="312" w:charSpace="0"/>
        </w:sectPr>
      </w:pPr>
    </w:p>
    <w:p>
      <w:pPr>
        <w:widowControl/>
        <w:spacing w:line="600" w:lineRule="exact"/>
        <w:jc w:val="left"/>
        <w:rPr>
          <w:rFonts w:ascii="黑体" w:hAnsi="黑体" w:eastAsia="黑体" w:cs="黑体"/>
          <w:bCs/>
          <w:sz w:val="32"/>
          <w:szCs w:val="32"/>
        </w:rPr>
      </w:pPr>
    </w:p>
    <w:p>
      <w:pPr>
        <w:tabs>
          <w:tab w:val="left" w:pos="2728"/>
        </w:tabs>
        <w:jc w:val="center"/>
        <w:rPr>
          <w:rFonts w:ascii="黑体" w:hAnsi="Times New Roman" w:eastAsia="黑体" w:cs="Times New Roman"/>
          <w:sz w:val="48"/>
          <w:szCs w:val="48"/>
        </w:rPr>
      </w:pPr>
    </w:p>
    <w:p>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目录</w:t>
      </w:r>
    </w:p>
    <w:p>
      <w:pPr>
        <w:widowControl/>
        <w:spacing w:after="160" w:line="580" w:lineRule="exact"/>
        <w:ind w:firstLine="640" w:firstLineChars="200"/>
        <w:rPr>
          <w:rFonts w:ascii="Times New Roman" w:hAnsi="Times New Roman" w:eastAsia="黑体" w:cs="Times New Roman"/>
          <w:sz w:val="32"/>
          <w:szCs w:val="32"/>
        </w:rPr>
      </w:pPr>
    </w:p>
    <w:p>
      <w:pPr>
        <w:widowControl/>
        <w:spacing w:before="0" w:beforeLines="0" w:beforeAutospacing="0" w:after="0" w:afterLines="0" w:afterAutospacing="0" w:line="360" w:lineRule="auto"/>
        <w:jc w:val="left"/>
        <w:rPr>
          <w:rFonts w:ascii="Times New Roman" w:eastAsia="黑体"/>
          <w:sz w:val="32"/>
          <w:szCs w:val="32"/>
        </w:rPr>
      </w:pPr>
      <w:r>
        <w:rPr>
          <w:rFonts w:ascii="Times New Roman" w:eastAsia="黑体"/>
          <w:b w:val="0"/>
          <w:sz w:val="32"/>
          <w:szCs w:val="32"/>
        </w:rPr>
        <w:t>第一部分单位概况</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一、单位职责</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二、机构设置</w:t>
      </w:r>
    </w:p>
    <w:p>
      <w:pPr>
        <w:widowControl/>
        <w:spacing w:before="0" w:beforeLines="0" w:beforeAutospacing="0" w:after="0" w:afterLines="0" w:afterAutospacing="0" w:line="360" w:lineRule="auto"/>
        <w:jc w:val="left"/>
        <w:outlineLvl w:val="0"/>
        <w:rPr>
          <w:rFonts w:ascii="Times New Roman" w:eastAsia="黑体"/>
          <w:sz w:val="32"/>
          <w:szCs w:val="32"/>
        </w:rPr>
      </w:pPr>
      <w:r>
        <w:rPr>
          <w:rFonts w:ascii="Times New Roman" w:eastAsia="黑体"/>
          <w:b w:val="0"/>
          <w:sz w:val="32"/>
          <w:szCs w:val="32"/>
        </w:rPr>
        <w:t>第二部分2024年度部门决算报表</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一、收入支出决算总表</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二、收入决算表</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三、支出决算表</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四、财政拨款收入支出决算总表</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五、一般公共预算财政拨款支出决算表</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六、一般公共预算财政拨款基本支出决算明细表</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七、政府性基金预算财政拨款收入支出决算表</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八、国有资本经营预算财政拨款支出决算表</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九、财政拨款“三公”经费支出决算表</w:t>
      </w:r>
    </w:p>
    <w:p>
      <w:pPr>
        <w:widowControl/>
        <w:spacing w:before="0" w:beforeLines="0" w:beforeAutospacing="0" w:after="0" w:afterLines="0" w:afterAutospacing="0" w:line="360" w:lineRule="auto"/>
        <w:jc w:val="left"/>
        <w:rPr>
          <w:rFonts w:ascii="Times New Roman" w:eastAsia="黑体"/>
          <w:sz w:val="32"/>
          <w:szCs w:val="32"/>
        </w:rPr>
      </w:pPr>
      <w:r>
        <w:rPr>
          <w:rFonts w:ascii="Times New Roman" w:eastAsia="黑体"/>
          <w:b w:val="0"/>
          <w:sz w:val="32"/>
          <w:szCs w:val="32"/>
        </w:rPr>
        <w:t>第三部分2024年度部门决算情况说明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一、收入支出决算总体情况说明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二、收入决算情况说明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三、支出决算情况说明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四、财政拨款收入支出决算总体情况说明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五、财政拨款“三公”经费支出决算情况说明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六、机关运行经费支出说明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七、政府采购支出说明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八、国有资产占用情况说明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九、关于2024年度绩效评价情况的说明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十、其他需要说明的情况</w:t>
      </w:r>
    </w:p>
    <w:p>
      <w:pPr>
        <w:widowControl/>
        <w:spacing w:before="0" w:beforeLines="0" w:beforeAutospacing="0" w:after="0" w:afterLines="0" w:afterAutospacing="0" w:line="360" w:lineRule="auto"/>
        <w:jc w:val="left"/>
        <w:rPr>
          <w:rFonts w:ascii="Times New Roman" w:eastAsia="黑体"/>
          <w:sz w:val="32"/>
          <w:szCs w:val="32"/>
        </w:rPr>
      </w:pPr>
      <w:r>
        <w:rPr>
          <w:rFonts w:ascii="Times New Roman" w:eastAsia="黑体"/>
          <w:b w:val="0"/>
          <w:sz w:val="32"/>
          <w:szCs w:val="32"/>
        </w:rPr>
        <w:t>第四部分名词解释</w:t>
      </w:r>
    </w:p>
    <w:p>
      <w:pPr>
        <w:widowControl/>
        <w:spacing w:after="160" w:line="580" w:lineRule="exact"/>
        <w:rPr>
          <w:rFonts w:hint="eastAsia" w:ascii="Times New Roman" w:hAnsi="Times New Roman" w:eastAsia="黑体" w:cs="Times New Roman"/>
          <w:sz w:val="32"/>
          <w:szCs w:val="32"/>
          <w:lang w:val="en-US" w:eastAsia="zh-CN"/>
        </w:rPr>
        <w:sectPr>
          <w:headerReference r:id="rId5" w:type="first"/>
          <w:footerReference r:id="rId7" w:type="first"/>
          <w:headerReference r:id="rId4" w:type="default"/>
          <w:footerReference r:id="rId6" w:type="default"/>
          <w:pgSz w:w="11906" w:h="16838"/>
          <w:pgMar w:top="1474" w:right="1531" w:bottom="1474" w:left="1531" w:header="851" w:footer="992" w:gutter="0"/>
          <w:pgBorders>
            <w:top w:val="none" w:sz="0" w:space="0"/>
            <w:left w:val="none" w:sz="0" w:space="0"/>
            <w:bottom w:val="none" w:sz="0" w:space="0"/>
            <w:right w:val="none" w:sz="0" w:space="0"/>
          </w:pgBorders>
          <w:cols w:space="0" w:num="1"/>
          <w:titlePg/>
          <w:docGrid w:type="lines" w:linePitch="312" w:charSpace="0"/>
        </w:sectPr>
      </w:pPr>
    </w:p>
    <w:p>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第一部分单位概况</w:t>
      </w:r>
    </w:p>
    <w:p>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一、单位职责</w:t>
      </w:r>
    </w:p>
    <w:p>
      <w:pPr>
        <w:autoSpaceDE w:val="0"/>
        <w:autoSpaceDN w:val="0"/>
        <w:adjustRightInd w:val="0"/>
        <w:spacing w:line="600" w:lineRule="exact"/>
        <w:ind w:firstLine="640" w:firstLineChars="200"/>
        <w:jc w:val="left"/>
        <w:rPr>
          <w:rFonts w:hint="eastAsia" w:ascii="华文仿宋" w:hAnsi="华文仿宋" w:eastAsia="华文仿宋" w:cs="华文仿宋"/>
          <w:kern w:val="0"/>
          <w:sz w:val="32"/>
          <w:szCs w:val="32"/>
        </w:rPr>
      </w:pPr>
      <w:r>
        <w:rPr>
          <w:rFonts w:hint="eastAsia" w:ascii="华文仿宋" w:hAnsi="华文仿宋" w:eastAsia="华文仿宋" w:cs="华文仿宋"/>
          <w:kern w:val="0"/>
          <w:sz w:val="32"/>
          <w:szCs w:val="32"/>
        </w:rPr>
        <w:t>石家庄广播电视台为市委直属正县级事业单位，实行事业体制。主要职责是：以宣传为中心，牢牢把握正确舆论导向，大力发展广播电视事业，为市委、市政府工作大局服务。</w:t>
      </w:r>
    </w:p>
    <w:p>
      <w:pPr>
        <w:snapToGrid w:val="0"/>
        <w:spacing w:line="600" w:lineRule="exact"/>
        <w:ind w:firstLine="640" w:firstLineChars="200"/>
        <w:rPr>
          <w:rFonts w:ascii="Times New Roman" w:eastAsia="仿宋_GB2312"/>
          <w:sz w:val="32"/>
          <w:szCs w:val="32"/>
        </w:rPr>
      </w:pPr>
      <w:r>
        <w:rPr>
          <w:rFonts w:hint="eastAsia" w:ascii="华文仿宋" w:hAnsi="华文仿宋" w:eastAsia="华文仿宋" w:cs="华文仿宋"/>
          <w:kern w:val="0"/>
          <w:sz w:val="32"/>
          <w:szCs w:val="32"/>
        </w:rPr>
        <w:t>石家庄广播电视台作为石家庄广电传媒集团有限公司的出资人，牢牢把握对公司重大事项的决策权、对资产配置的控制权、对宣传内容的审定权、对主要领导干部的任免权，确保广电国有资产保值增值。</w:t>
      </w:r>
    </w:p>
    <w:p>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二、机构设置</w:t>
      </w:r>
    </w:p>
    <w:p>
      <w:pPr>
        <w:widowControl/>
        <w:spacing w:before="0" w:beforeLines="0" w:beforeAutospacing="0" w:after="0" w:afterLines="0" w:afterAutospacing="0" w:line="360" w:lineRule="auto"/>
        <w:ind w:firstLine="640" w:firstLineChars="200"/>
        <w:jc w:val="left"/>
        <w:rPr>
          <w:rFonts w:ascii="Times New Roman" w:eastAsia="仿宋_GB2312"/>
          <w:b w:val="0"/>
          <w:sz w:val="32"/>
          <w:szCs w:val="32"/>
        </w:rPr>
      </w:pPr>
      <w:r>
        <w:rPr>
          <w:rFonts w:ascii="Times New Roman" w:eastAsia="仿宋_GB2312"/>
          <w:b w:val="0"/>
          <w:sz w:val="32"/>
          <w:szCs w:val="32"/>
        </w:rPr>
        <w:t>从决算编报单位构成看，纳入2024年度本部门决算汇编范围的独立核算单位（以下简称“单位”）共</w:t>
      </w:r>
      <w:r>
        <w:rPr>
          <w:rFonts w:hint="eastAsia" w:ascii="Times New Roman" w:eastAsia="仿宋_GB2312"/>
          <w:b w:val="0"/>
          <w:sz w:val="32"/>
          <w:szCs w:val="32"/>
          <w:lang w:val="en-US" w:eastAsia="zh-CN"/>
        </w:rPr>
        <w:t>1</w:t>
      </w:r>
      <w:r>
        <w:rPr>
          <w:rFonts w:ascii="Times New Roman" w:eastAsia="仿宋_GB2312"/>
          <w:b w:val="0"/>
          <w:sz w:val="32"/>
          <w:szCs w:val="32"/>
        </w:rPr>
        <w:t>个，具体情况如下：</w:t>
      </w:r>
    </w:p>
    <w:tbl>
      <w:tblPr>
        <w:tblStyle w:val="13"/>
        <w:tblpPr w:leftFromText="180" w:rightFromText="180" w:vertAnchor="text" w:horzAnchor="page" w:tblpXSpec="center" w:tblpY="10"/>
        <w:tblOverlap w:val="never"/>
        <w:tblW w:w="95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3485"/>
        <w:gridCol w:w="2445"/>
        <w:gridCol w:w="266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5" w:hRule="atLeast"/>
          <w:jc w:val="center"/>
        </w:trPr>
        <w:tc>
          <w:tcPr>
            <w:tcW w:w="98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序号</w:t>
            </w:r>
          </w:p>
        </w:tc>
        <w:tc>
          <w:tcPr>
            <w:tcW w:w="348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单位名称</w:t>
            </w:r>
          </w:p>
        </w:tc>
        <w:tc>
          <w:tcPr>
            <w:tcW w:w="244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单位基本性质</w:t>
            </w:r>
          </w:p>
        </w:tc>
        <w:tc>
          <w:tcPr>
            <w:tcW w:w="266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经费形式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2" w:hRule="atLeast"/>
          <w:jc w:val="center"/>
        </w:trPr>
        <w:tc>
          <w:tcPr>
            <w:tcW w:w="985"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1</w:t>
            </w:r>
          </w:p>
        </w:tc>
        <w:tc>
          <w:tcPr>
            <w:tcW w:w="3485"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石家庄广播电视台(本级)</w:t>
            </w:r>
          </w:p>
        </w:tc>
        <w:tc>
          <w:tcPr>
            <w:tcW w:w="2445"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财政补助事业单位</w:t>
            </w:r>
          </w:p>
        </w:tc>
        <w:tc>
          <w:tcPr>
            <w:tcW w:w="2665"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财政性资金定额或定项补助</w:t>
            </w:r>
          </w:p>
        </w:tc>
      </w:tr>
    </w:tbl>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hint="eastAsia" w:ascii="仿宋_GB2312" w:hAnsi="仿宋_GB2312" w:eastAsia="仿宋_GB2312" w:cs="仿宋_GB2312"/>
          <w:sz w:val="32"/>
          <w:szCs w:val="32"/>
        </w:rPr>
        <w:t>我单位无二级预算单位，因此，石家庄广播电视台2024年度单位决算即石家庄广播电视台本级2024年度决算。”</w:t>
      </w:r>
    </w:p>
    <w:p>
      <w:pPr>
        <w:bidi w:val="0"/>
        <w:rPr>
          <w:rFonts w:hint="eastAsia"/>
        </w:rPr>
      </w:pPr>
    </w:p>
    <w:p>
      <w:pPr>
        <w:widowControl/>
        <w:spacing w:before="0" w:beforeLines="0" w:beforeAutospacing="0" w:after="0" w:afterLines="0" w:afterAutospacing="0" w:line="360" w:lineRule="auto"/>
        <w:jc w:val="center"/>
        <w:outlineLvl w:val="0"/>
        <w:rPr>
          <w:rFonts w:ascii="Times New Roman" w:eastAsia="黑体"/>
          <w:b w:val="0"/>
          <w:sz w:val="44"/>
          <w:szCs w:val="44"/>
        </w:rPr>
      </w:pPr>
    </w:p>
    <w:p>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第二部分</w:t>
      </w:r>
      <w:r>
        <w:rPr>
          <w:rFonts w:ascii="Times New Roman" w:eastAsia="仿宋_GB2312"/>
          <w:b w:val="0"/>
          <w:sz w:val="44"/>
          <w:szCs w:val="44"/>
        </w:rPr>
        <w:t>2024</w:t>
      </w:r>
      <w:r>
        <w:rPr>
          <w:rFonts w:ascii="Times New Roman" w:eastAsia="黑体"/>
          <w:b w:val="0"/>
          <w:sz w:val="44"/>
          <w:szCs w:val="44"/>
        </w:rPr>
        <w:t>年度部门决算表</w:t>
      </w:r>
    </w:p>
    <w:tbl>
      <w:tblPr>
        <w:tblStyle w:val="13"/>
        <w:tblW w:w="7250" w:type="pct"/>
        <w:tblInd w:w="-181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3346"/>
        <w:gridCol w:w="624"/>
        <w:gridCol w:w="611"/>
        <w:gridCol w:w="1317"/>
        <w:gridCol w:w="1628"/>
        <w:gridCol w:w="1547"/>
        <w:gridCol w:w="624"/>
        <w:gridCol w:w="1928"/>
        <w:gridCol w:w="34"/>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61" w:hRule="atLeast"/>
        </w:trPr>
        <w:tc>
          <w:tcPr>
            <w:tcW w:w="4985" w:type="pct"/>
            <w:gridSpan w:val="8"/>
            <w:tcBorders>
              <w:top w:val="nil"/>
              <w:left w:val="nil"/>
              <w:bottom w:val="nil"/>
              <w:right w:val="nil"/>
            </w:tcBorders>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收入支出决算总表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57" w:hRule="atLeast"/>
        </w:trPr>
        <w:tc>
          <w:tcPr>
            <w:tcW w:w="4985" w:type="pct"/>
            <w:gridSpan w:val="8"/>
            <w:tcBorders>
              <w:top w:val="nil"/>
              <w:left w:val="nil"/>
              <w:bottom w:val="nil"/>
              <w:right w:val="nil"/>
            </w:tcBorders>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公开</w:t>
            </w:r>
            <w:r>
              <w:rPr>
                <w:rFonts w:hint="eastAsia" w:ascii="Times New Roman" w:hAnsi="Times New Roman" w:eastAsia="宋体" w:cs="Times New Roman"/>
                <w:i w:val="0"/>
                <w:iCs w:val="0"/>
                <w:color w:val="000000"/>
                <w:sz w:val="20"/>
                <w:szCs w:val="20"/>
                <w:highlight w:val="none"/>
                <w:u w:val="none"/>
                <w:lang w:val="en-US" w:eastAsia="zh-CN"/>
              </w:rPr>
              <w:t>01</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51" w:hRule="atLeast"/>
        </w:trPr>
        <w:tc>
          <w:tcPr>
            <w:tcW w:w="1964" w:type="pct"/>
            <w:gridSpan w:val="3"/>
            <w:tcBorders>
              <w:top w:val="nil"/>
              <w:left w:val="nil"/>
              <w:bottom w:val="single" w:color="auto" w:sz="4" w:space="0"/>
              <w:right w:val="nil"/>
            </w:tcBorders>
            <w:noWrap/>
            <w:vAlign w:val="bottom"/>
          </w:tcPr>
          <w:p>
            <w:pPr>
              <w:jc w:val="both"/>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部门（单位）：石家庄广播电视台(本级)</w:t>
            </w:r>
          </w:p>
        </w:tc>
        <w:tc>
          <w:tcPr>
            <w:tcW w:w="1262" w:type="pct"/>
            <w:gridSpan w:val="2"/>
            <w:tcBorders>
              <w:top w:val="nil"/>
              <w:left w:val="nil"/>
              <w:bottom w:val="single" w:color="auto" w:sz="4" w:space="0"/>
              <w:right w:val="nil"/>
            </w:tcBorders>
            <w:noWrap/>
            <w:vAlign w:val="bottom"/>
          </w:tcPr>
          <w:p>
            <w:pPr>
              <w:jc w:val="center"/>
              <w:rPr>
                <w:rFonts w:hint="default" w:ascii="宋体" w:hAnsi="宋体" w:eastAsia="宋体" w:cs="宋体"/>
                <w:i w:val="0"/>
                <w:iCs w:val="0"/>
                <w:color w:val="000000"/>
                <w:kern w:val="0"/>
                <w:sz w:val="20"/>
                <w:szCs w:val="20"/>
                <w:highlight w:val="none"/>
                <w:u w:val="none"/>
                <w:lang w:val="en-US" w:eastAsia="zh-CN" w:bidi="ar"/>
              </w:rPr>
            </w:pPr>
            <w:r>
              <w:rPr>
                <w:rFonts w:hint="eastAsia" w:ascii="Times New Roman" w:hAnsi="Times New Roman" w:eastAsia="宋体" w:cs="Times New Roman"/>
                <w:i w:val="0"/>
                <w:iCs w:val="0"/>
                <w:color w:val="000000"/>
                <w:sz w:val="20"/>
                <w:szCs w:val="20"/>
                <w:highlight w:val="none"/>
                <w:u w:val="none"/>
                <w:lang w:val="en-US" w:eastAsia="zh-CN"/>
              </w:rPr>
              <w:t>2024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757" w:type="pct"/>
            <w:gridSpan w:val="3"/>
            <w:tcBorders>
              <w:top w:val="nil"/>
              <w:left w:val="nil"/>
              <w:bottom w:val="single" w:color="auto" w:sz="4" w:space="0"/>
              <w:right w:val="nil"/>
            </w:tcBorders>
            <w:noWrap/>
            <w:vAlign w:val="bottom"/>
          </w:tcPr>
          <w:p>
            <w:pPr>
              <w:jc w:val="right"/>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544" w:hRule="atLeast"/>
        </w:trPr>
        <w:tc>
          <w:tcPr>
            <w:tcW w:w="2529" w:type="pct"/>
            <w:gridSpan w:val="4"/>
            <w:tcBorders>
              <w:top w:val="single" w:color="auto"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收入</w:t>
            </w:r>
          </w:p>
        </w:tc>
        <w:tc>
          <w:tcPr>
            <w:tcW w:w="2456" w:type="pct"/>
            <w:gridSpan w:val="4"/>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08" w:hRule="atLeast"/>
        </w:trPr>
        <w:tc>
          <w:tcPr>
            <w:tcW w:w="1434"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826"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决算数</w:t>
            </w: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82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决算数</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267" w:type="pct"/>
            <w:tcBorders>
              <w:top w:val="nil"/>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0"/>
                <w:szCs w:val="20"/>
                <w:highlight w:val="none"/>
                <w:u w:val="none"/>
              </w:rPr>
            </w:pPr>
          </w:p>
        </w:tc>
        <w:tc>
          <w:tcPr>
            <w:tcW w:w="826"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Times New Roman" w:hAnsi="Times New Roman" w:eastAsia="宋体" w:cs="Times New Roman"/>
                <w:i w:val="0"/>
                <w:iCs w:val="0"/>
                <w:color w:val="000000"/>
                <w:sz w:val="20"/>
                <w:szCs w:val="20"/>
                <w:highlight w:val="none"/>
                <w:u w:val="none"/>
                <w:lang w:val="en-US" w:eastAsia="zh-CN"/>
              </w:rPr>
              <w:t>1</w:t>
            </w: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267" w:type="pct"/>
            <w:tcBorders>
              <w:top w:val="nil"/>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0"/>
                <w:szCs w:val="20"/>
                <w:highlight w:val="none"/>
                <w:u w:val="none"/>
              </w:rPr>
            </w:pPr>
          </w:p>
        </w:tc>
        <w:tc>
          <w:tcPr>
            <w:tcW w:w="82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Times New Roman" w:hAnsi="Times New Roman" w:eastAsia="宋体" w:cs="Times New Roman"/>
                <w:i w:val="0"/>
                <w:iCs w:val="0"/>
                <w:color w:val="000000"/>
                <w:sz w:val="20"/>
                <w:szCs w:val="20"/>
                <w:highlight w:val="none"/>
                <w:u w:val="none"/>
                <w:lang w:val="en-US" w:eastAsia="zh-CN"/>
              </w:rPr>
              <w:t>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一、一般公共预算财政拨款收入</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宋体" w:hAnsi="宋体" w:eastAsia="宋体" w:cs="宋体"/>
                <w:i w:val="0"/>
                <w:iCs w:val="0"/>
                <w:color w:val="000000"/>
                <w:sz w:val="20"/>
                <w:szCs w:val="20"/>
                <w:highlight w:val="none"/>
                <w:u w:val="none"/>
                <w:lang w:val="en-US" w:eastAsia="zh-CN"/>
              </w:rPr>
              <w:t>1</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8,570.17</w:t>
            </w: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一、一般公共服务支出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32</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二、政府性基金预算财政拨款收入</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136.81</w:t>
            </w: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二、外交支出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33</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三、国有资本经营预算财政拨款收入</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三、国防支出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34</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四、上级补助收入</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四、公共安全支出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35</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五、事业收入</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五、教育支出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36</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六、经营收入</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六、科学技术支出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37</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七、附属单位上缴收入</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7</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七、文化旅游体育与传媒支出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38</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8,570.17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八、其他收入</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8</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八、社会保障和就业支出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39</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9</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九、卫生健康支出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40</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10</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十、节能环保支出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41</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11</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十一、城乡社区支出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42</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12</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十二、农林水支出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43</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13</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十三、交通运输支出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44</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auto"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auto"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14</w:t>
            </w:r>
          </w:p>
        </w:tc>
        <w:tc>
          <w:tcPr>
            <w:tcW w:w="826" w:type="pct"/>
            <w:gridSpan w:val="2"/>
            <w:tcBorders>
              <w:top w:val="nil"/>
              <w:left w:val="nil"/>
              <w:bottom w:val="single" w:color="auto"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auto"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十四、资源勘探工业信息等支出</w:t>
            </w:r>
          </w:p>
        </w:tc>
        <w:tc>
          <w:tcPr>
            <w:tcW w:w="267" w:type="pct"/>
            <w:tcBorders>
              <w:top w:val="nil"/>
              <w:left w:val="nil"/>
              <w:bottom w:val="single" w:color="auto"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45</w:t>
            </w:r>
          </w:p>
        </w:tc>
        <w:tc>
          <w:tcPr>
            <w:tcW w:w="826" w:type="pct"/>
            <w:tcBorders>
              <w:top w:val="nil"/>
              <w:left w:val="nil"/>
              <w:bottom w:val="single" w:color="auto"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15</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十五、商业服务业等支出</w:t>
            </w:r>
          </w:p>
        </w:tc>
        <w:tc>
          <w:tcPr>
            <w:tcW w:w="267"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46</w:t>
            </w:r>
          </w:p>
        </w:tc>
        <w:tc>
          <w:tcPr>
            <w:tcW w:w="826"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16</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十六、金融支出</w:t>
            </w:r>
          </w:p>
        </w:tc>
        <w:tc>
          <w:tcPr>
            <w:tcW w:w="267"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47</w:t>
            </w:r>
          </w:p>
        </w:tc>
        <w:tc>
          <w:tcPr>
            <w:tcW w:w="826"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17</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十七、援助其他地区支出</w:t>
            </w:r>
          </w:p>
        </w:tc>
        <w:tc>
          <w:tcPr>
            <w:tcW w:w="267"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48</w:t>
            </w:r>
          </w:p>
        </w:tc>
        <w:tc>
          <w:tcPr>
            <w:tcW w:w="826"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18</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十八、自然资源海洋气象等支出</w:t>
            </w:r>
          </w:p>
        </w:tc>
        <w:tc>
          <w:tcPr>
            <w:tcW w:w="267"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49</w:t>
            </w:r>
          </w:p>
        </w:tc>
        <w:tc>
          <w:tcPr>
            <w:tcW w:w="826"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19</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十九、住房保障支出</w:t>
            </w:r>
          </w:p>
        </w:tc>
        <w:tc>
          <w:tcPr>
            <w:tcW w:w="267"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50</w:t>
            </w:r>
          </w:p>
        </w:tc>
        <w:tc>
          <w:tcPr>
            <w:tcW w:w="826"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20</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二十、粮油物资储备支出</w:t>
            </w:r>
          </w:p>
        </w:tc>
        <w:tc>
          <w:tcPr>
            <w:tcW w:w="267"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51</w:t>
            </w:r>
          </w:p>
        </w:tc>
        <w:tc>
          <w:tcPr>
            <w:tcW w:w="826"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21</w:t>
            </w:r>
          </w:p>
        </w:tc>
        <w:tc>
          <w:tcPr>
            <w:tcW w:w="826" w:type="pct"/>
            <w:gridSpan w:val="2"/>
            <w:tcBorders>
              <w:top w:val="single" w:color="auto" w:sz="4" w:space="0"/>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二十一、国有资本经营预算支出</w:t>
            </w:r>
          </w:p>
        </w:tc>
        <w:tc>
          <w:tcPr>
            <w:tcW w:w="267" w:type="pct"/>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52</w:t>
            </w:r>
          </w:p>
        </w:tc>
        <w:tc>
          <w:tcPr>
            <w:tcW w:w="826" w:type="pct"/>
            <w:tcBorders>
              <w:top w:val="single" w:color="auto" w:sz="4" w:space="0"/>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22</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二十二、灾害防治及应急管理支出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53</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23</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二十三、其他支出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54</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24</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二十四、债务还本支出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55</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25</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二十五、债务付息支出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56</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136.81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26</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二十六、抗疫特别国债安排的支出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57</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本年收入合计</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27</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8,706.98</w:t>
            </w: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本年支出合计</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58</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8,706.98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使用非财政拨款结余（含专用结余）</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28</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结余分配</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59</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年初结转和结余</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29</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年末结转和结余</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60</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pP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30</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pP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61</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08" w:hRule="atLeast"/>
        </w:trPr>
        <w:tc>
          <w:tcPr>
            <w:tcW w:w="1434"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31</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8,706.98</w:t>
            </w: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62</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8,706.98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9"/>
            <w:tcBorders>
              <w:top w:val="nil"/>
              <w:left w:val="nil"/>
              <w:bottom w:val="nil"/>
              <w:right w:val="nil"/>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注：1.本表反映部门本年度的总收支和年末结转结余情况。</w:t>
            </w:r>
          </w:p>
          <w:p>
            <w:pPr>
              <w:keepNext w:val="0"/>
              <w:keepLines w:val="0"/>
              <w:widowControl/>
              <w:suppressLineNumbers w:val="0"/>
              <w:ind w:firstLine="400" w:firstLineChars="20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2.本套报表金额转换时可能存在尾数误差。</w:t>
            </w:r>
          </w:p>
        </w:tc>
      </w:tr>
    </w:tbl>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3"/>
        <w:tblW w:w="9230"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040"/>
        <w:gridCol w:w="1160"/>
        <w:gridCol w:w="1037"/>
        <w:gridCol w:w="1037"/>
        <w:gridCol w:w="1037"/>
        <w:gridCol w:w="964"/>
        <w:gridCol w:w="367"/>
        <w:gridCol w:w="597"/>
        <w:gridCol w:w="1027"/>
        <w:gridCol w:w="964"/>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jc w:val="center"/>
        </w:trPr>
        <w:tc>
          <w:tcPr>
            <w:tcW w:w="9230" w:type="dxa"/>
            <w:gridSpan w:val="10"/>
            <w:tcBorders>
              <w:top w:val="nil"/>
              <w:left w:val="nil"/>
              <w:bottom w:val="nil"/>
              <w:right w:val="nil"/>
            </w:tcBorders>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收入决算表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9230" w:type="dxa"/>
            <w:gridSpan w:val="10"/>
            <w:tcBorders>
              <w:top w:val="nil"/>
              <w:left w:val="nil"/>
              <w:bottom w:val="nil"/>
              <w:right w:val="nil"/>
            </w:tcBorders>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eastAsia" w:ascii="Times New Roman" w:hAnsi="Times New Roman" w:eastAsia="宋体" w:cs="Times New Roman"/>
                <w:i w:val="0"/>
                <w:iCs w:val="0"/>
                <w:color w:val="000000"/>
                <w:sz w:val="20"/>
                <w:szCs w:val="20"/>
                <w:highlight w:val="none"/>
                <w:u w:val="none"/>
                <w:lang w:val="en-US" w:eastAsia="zh-CN"/>
              </w:rPr>
              <w:t>02</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3237" w:type="dxa"/>
            <w:gridSpan w:val="3"/>
            <w:tcBorders>
              <w:top w:val="nil"/>
              <w:left w:val="nil"/>
              <w:bottom w:val="single" w:color="auto" w:sz="4" w:space="0"/>
              <w:right w:val="nil"/>
            </w:tcBorders>
            <w:noWrap/>
            <w:vAlign w:val="bottom"/>
          </w:tcPr>
          <w:p>
            <w:pP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部门（单位）：石家庄广播电视台(本级)                                                                                                         </w:t>
            </w:r>
          </w:p>
        </w:tc>
        <w:tc>
          <w:tcPr>
            <w:tcW w:w="3405" w:type="dxa"/>
            <w:gridSpan w:val="4"/>
            <w:tcBorders>
              <w:top w:val="nil"/>
              <w:left w:val="nil"/>
              <w:bottom w:val="single" w:color="auto" w:sz="4" w:space="0"/>
              <w:right w:val="nil"/>
            </w:tcBorders>
            <w:noWrap/>
            <w:vAlign w:val="bottom"/>
          </w:tcPr>
          <w:p>
            <w:pPr>
              <w:jc w:val="cente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default" w:ascii="Times New Roman" w:hAnsi="Times New Roman" w:eastAsia="方正仿宋_GB2312" w:cs="Times New Roman"/>
                <w:i w:val="0"/>
                <w:iCs w:val="0"/>
                <w:color w:val="000000"/>
                <w:sz w:val="20"/>
                <w:szCs w:val="20"/>
                <w:highlight w:val="none"/>
                <w:u w:val="none"/>
                <w:lang w:val="en-US" w:eastAsia="zh-CN"/>
              </w:rPr>
              <w:t>202</w:t>
            </w:r>
            <w:r>
              <w:rPr>
                <w:rFonts w:hint="eastAsia" w:ascii="Times New Roman" w:hAnsi="Times New Roman" w:eastAsia="方正仿宋_GB2312" w:cs="Times New Roman"/>
                <w:i w:val="0"/>
                <w:iCs w:val="0"/>
                <w:color w:val="000000"/>
                <w:sz w:val="20"/>
                <w:szCs w:val="20"/>
                <w:highlight w:val="none"/>
                <w:u w:val="none"/>
                <w:lang w:val="en-US" w:eastAsia="zh-CN"/>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2588" w:type="dxa"/>
            <w:gridSpan w:val="3"/>
            <w:tcBorders>
              <w:top w:val="nil"/>
              <w:left w:val="nil"/>
              <w:bottom w:val="single" w:color="auto" w:sz="4" w:space="0"/>
              <w:right w:val="nil"/>
            </w:tcBorders>
            <w:noWrap/>
            <w:vAlign w:val="bottom"/>
          </w:tcPr>
          <w:p>
            <w:pPr>
              <w:jc w:val="right"/>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jc w:val="center"/>
        </w:trPr>
        <w:tc>
          <w:tcPr>
            <w:tcW w:w="2200" w:type="dxa"/>
            <w:gridSpan w:val="2"/>
            <w:tcBorders>
              <w:top w:val="single" w:color="auto"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1037" w:type="dxa"/>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本年收入合计</w:t>
            </w:r>
          </w:p>
        </w:tc>
        <w:tc>
          <w:tcPr>
            <w:tcW w:w="1037" w:type="dxa"/>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财政拨款收入</w:t>
            </w:r>
          </w:p>
        </w:tc>
        <w:tc>
          <w:tcPr>
            <w:tcW w:w="1037" w:type="dxa"/>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上级补助收入</w:t>
            </w:r>
          </w:p>
        </w:tc>
        <w:tc>
          <w:tcPr>
            <w:tcW w:w="964" w:type="dxa"/>
            <w:vMerge w:val="restart"/>
            <w:tcBorders>
              <w:top w:val="single" w:color="auto" w:sz="4" w:space="0"/>
              <w:left w:val="nil"/>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事业收入</w:t>
            </w:r>
          </w:p>
        </w:tc>
        <w:tc>
          <w:tcPr>
            <w:tcW w:w="964" w:type="dxa"/>
            <w:gridSpan w:val="2"/>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经营收入</w:t>
            </w:r>
          </w:p>
        </w:tc>
        <w:tc>
          <w:tcPr>
            <w:tcW w:w="1027" w:type="dxa"/>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附属单位上缴收入</w:t>
            </w:r>
          </w:p>
        </w:tc>
        <w:tc>
          <w:tcPr>
            <w:tcW w:w="964" w:type="dxa"/>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其他收入</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40" w:type="dxa"/>
            <w:vMerge w:val="restart"/>
            <w:tcBorders>
              <w:top w:val="nil"/>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1160" w:type="dxa"/>
            <w:vMerge w:val="restar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103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40" w:type="dxa"/>
            <w:vMerge w:val="continue"/>
            <w:tcBorders>
              <w:top w:val="nil"/>
              <w:left w:val="single" w:color="000000" w:sz="4" w:space="0"/>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60" w:type="dxa"/>
            <w:vMerge w:val="continue"/>
            <w:tcBorders>
              <w:top w:val="nil"/>
              <w:left w:val="nil"/>
              <w:bottom w:val="single" w:color="000000" w:sz="4" w:space="0"/>
              <w:right w:val="single" w:color="000000" w:sz="4" w:space="0"/>
            </w:tcBorders>
            <w:noWrap/>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40" w:type="dxa"/>
            <w:vMerge w:val="continue"/>
            <w:tcBorders>
              <w:top w:val="nil"/>
              <w:left w:val="single" w:color="000000" w:sz="4" w:space="0"/>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60" w:type="dxa"/>
            <w:vMerge w:val="continue"/>
            <w:tcBorders>
              <w:top w:val="nil"/>
              <w:left w:val="nil"/>
              <w:bottom w:val="single" w:color="000000" w:sz="4" w:space="0"/>
              <w:right w:val="single" w:color="000000" w:sz="4" w:space="0"/>
            </w:tcBorders>
            <w:noWrap/>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jc w:val="center"/>
        </w:trPr>
        <w:tc>
          <w:tcPr>
            <w:tcW w:w="2200" w:type="dxa"/>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1037" w:type="dxa"/>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1037" w:type="dxa"/>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w:t>
            </w:r>
          </w:p>
        </w:tc>
        <w:tc>
          <w:tcPr>
            <w:tcW w:w="1037" w:type="dxa"/>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w:t>
            </w:r>
          </w:p>
        </w:tc>
        <w:tc>
          <w:tcPr>
            <w:tcW w:w="964" w:type="dxa"/>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4</w:t>
            </w:r>
          </w:p>
        </w:tc>
        <w:tc>
          <w:tcPr>
            <w:tcW w:w="964" w:type="dxa"/>
            <w:gridSpan w:val="2"/>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5</w:t>
            </w:r>
          </w:p>
        </w:tc>
        <w:tc>
          <w:tcPr>
            <w:tcW w:w="1027" w:type="dxa"/>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6</w:t>
            </w:r>
          </w:p>
        </w:tc>
        <w:tc>
          <w:tcPr>
            <w:tcW w:w="964" w:type="dxa"/>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jc w:val="center"/>
        </w:trPr>
        <w:tc>
          <w:tcPr>
            <w:tcW w:w="2200" w:type="dxa"/>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8,706.98</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8,706.98</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207</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文化旅游体育与传媒支出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8,570.17</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8,570.17</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20708</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广播电视</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8,458.90</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8,458.90</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2070899</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其他广播电视支出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8,458.90</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8,458.90</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20799</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其他文化旅游体育与传媒支出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111.27</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111.27</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2079903</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文化产业发展专项支出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99.27</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99.27</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2079999</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其他文化旅游体育与传媒支出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12.00</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12.00</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232</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债务付息支出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136.81</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136.81</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23204</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地方政府专项债务付息支出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136.81</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136.81</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2320498</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其他地方自行试点项目收益专项债券付息支出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136.81</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136.81</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9230" w:type="dxa"/>
            <w:gridSpan w:val="10"/>
            <w:tcBorders>
              <w:top w:val="nil"/>
              <w:left w:val="nil"/>
              <w:bottom w:val="nil"/>
              <w:right w:val="nil"/>
            </w:tcBorders>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注：本表反映部门本年度取得的各项收入情况。</w:t>
            </w:r>
          </w:p>
        </w:tc>
      </w:tr>
    </w:tbl>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pPr>
        <w:rPr>
          <w:rFonts w:hint="eastAsia" w:ascii="黑体" w:hAnsi="黑体" w:eastAsia="黑体" w:cs="宋体"/>
          <w:bCs/>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3"/>
        <w:tblW w:w="5812" w:type="pct"/>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040"/>
        <w:gridCol w:w="1187"/>
        <w:gridCol w:w="1128"/>
        <w:gridCol w:w="126"/>
        <w:gridCol w:w="1000"/>
        <w:gridCol w:w="1126"/>
        <w:gridCol w:w="497"/>
        <w:gridCol w:w="629"/>
        <w:gridCol w:w="1126"/>
        <w:gridCol w:w="1487"/>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jc w:val="center"/>
        </w:trPr>
        <w:tc>
          <w:tcPr>
            <w:tcW w:w="5000" w:type="pct"/>
            <w:gridSpan w:val="10"/>
            <w:tcBorders>
              <w:top w:val="nil"/>
              <w:left w:val="nil"/>
              <w:bottom w:val="nil"/>
              <w:right w:val="nil"/>
            </w:tcBorders>
            <w:noWrap/>
            <w:vAlign w:val="bottom"/>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outlineLvl w:val="1"/>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br w:type="page"/>
            </w:r>
            <w:r>
              <w:rPr>
                <w:rFonts w:hint="eastAsia" w:ascii="方正仿宋_GB2312" w:hAnsi="方正仿宋_GB2312" w:eastAsia="方正仿宋_GB2312" w:cs="方正仿宋_GB2312"/>
                <w:b w:val="0"/>
                <w:bCs/>
                <w:color w:val="auto"/>
                <w:kern w:val="0"/>
                <w:sz w:val="32"/>
                <w:szCs w:val="32"/>
                <w:highlight w:val="none"/>
                <w:lang w:val="en-US" w:eastAsia="zh-CN"/>
              </w:rPr>
              <w:t>支出决算表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5000" w:type="pct"/>
            <w:gridSpan w:val="10"/>
            <w:tcBorders>
              <w:top w:val="nil"/>
              <w:left w:val="nil"/>
              <w:bottom w:val="nil"/>
              <w:right w:val="nil"/>
            </w:tcBorders>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宋体" w:cs="Times New Roman"/>
                <w:i w:val="0"/>
                <w:iCs w:val="0"/>
                <w:color w:val="000000"/>
                <w:kern w:val="0"/>
                <w:sz w:val="20"/>
                <w:szCs w:val="20"/>
                <w:highlight w:val="none"/>
                <w:u w:val="none"/>
                <w:lang w:val="en-US" w:eastAsia="zh-CN" w:bidi="ar"/>
              </w:rPr>
              <w:t>03</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1862" w:type="pct"/>
            <w:gridSpan w:val="4"/>
            <w:tcBorders>
              <w:top w:val="nil"/>
              <w:left w:val="nil"/>
              <w:bottom w:val="single" w:color="auto" w:sz="4" w:space="0"/>
              <w:right w:val="nil"/>
            </w:tcBorders>
            <w:noWrap/>
            <w:vAlign w:val="bottom"/>
          </w:tcPr>
          <w:p>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部门（单位）：石家庄广播电视台(本级) </w:t>
            </w:r>
            <w:r>
              <w:rPr>
                <w:rFonts w:hint="eastAsia" w:asciiTheme="minorEastAsia" w:hAnsiTheme="minorEastAsia" w:eastAsiaTheme="minorEastAsia" w:cstheme="minorEastAsia"/>
                <w:i w:val="0"/>
                <w:iCs w:val="0"/>
                <w:color w:val="000000"/>
                <w:kern w:val="0"/>
                <w:sz w:val="20"/>
                <w:szCs w:val="20"/>
                <w:highlight w:val="none"/>
                <w:u w:val="none"/>
                <w:lang w:val="en-US" w:eastAsia="zh-CN" w:bidi="ar"/>
              </w:rPr>
              <w:t xml:space="preserve">                                                                                                         </w:t>
            </w:r>
          </w:p>
        </w:tc>
        <w:tc>
          <w:tcPr>
            <w:tcW w:w="1403" w:type="pct"/>
            <w:gridSpan w:val="3"/>
            <w:tcBorders>
              <w:top w:val="nil"/>
              <w:left w:val="nil"/>
              <w:bottom w:val="single" w:color="auto" w:sz="4" w:space="0"/>
              <w:right w:val="nil"/>
            </w:tcBorders>
            <w:noWrap/>
            <w:vAlign w:val="bottom"/>
          </w:tcPr>
          <w:p>
            <w:pPr>
              <w:keepNext w:val="0"/>
              <w:keepLines w:val="0"/>
              <w:widowControl/>
              <w:suppressLineNumbers w:val="0"/>
              <w:jc w:val="center"/>
              <w:textAlignment w:val="bottom"/>
              <w:rPr>
                <w:rFonts w:hint="eastAsia"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eastAsiaTheme="minorEastAsia"/>
                <w:i w:val="0"/>
                <w:iCs w:val="0"/>
                <w:color w:val="000000"/>
                <w:kern w:val="0"/>
                <w:sz w:val="20"/>
                <w:szCs w:val="20"/>
                <w:highlight w:val="none"/>
                <w:u w:val="none"/>
                <w:lang w:val="en-US" w:eastAsia="zh-CN" w:bidi="ar"/>
              </w:rPr>
              <w:t>202</w:t>
            </w:r>
            <w:r>
              <w:rPr>
                <w:rFonts w:hint="eastAsia" w:ascii="Times New Roman" w:hAnsi="Times New Roman"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734" w:type="pct"/>
            <w:gridSpan w:val="3"/>
            <w:tcBorders>
              <w:top w:val="nil"/>
              <w:left w:val="nil"/>
              <w:bottom w:val="single" w:color="auto" w:sz="4" w:space="0"/>
              <w:right w:val="nil"/>
            </w:tcBorders>
            <w:noWrap/>
            <w:vAlign w:val="bottom"/>
          </w:tcPr>
          <w:p>
            <w:pPr>
              <w:keepNext w:val="0"/>
              <w:keepLines w:val="0"/>
              <w:widowControl/>
              <w:suppressLineNumbers w:val="0"/>
              <w:jc w:val="right"/>
              <w:textAlignment w:val="bottom"/>
              <w:rPr>
                <w:rFonts w:hint="eastAsia" w:asciiTheme="minorEastAsia" w:hAnsiTheme="minorEastAsia" w:eastAsiaTheme="minorEastAsia" w:cstheme="minorEastAsia"/>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jc w:val="center"/>
        </w:trPr>
        <w:tc>
          <w:tcPr>
            <w:tcW w:w="1191" w:type="pct"/>
            <w:gridSpan w:val="2"/>
            <w:tcBorders>
              <w:top w:val="single" w:color="auto"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603" w:type="pct"/>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本年支出合计</w:t>
            </w:r>
          </w:p>
        </w:tc>
        <w:tc>
          <w:tcPr>
            <w:tcW w:w="602" w:type="pct"/>
            <w:gridSpan w:val="2"/>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602" w:type="pct"/>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c>
          <w:tcPr>
            <w:tcW w:w="602" w:type="pct"/>
            <w:gridSpan w:val="2"/>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上缴上级支出</w:t>
            </w:r>
          </w:p>
        </w:tc>
        <w:tc>
          <w:tcPr>
            <w:tcW w:w="602" w:type="pct"/>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经营支出</w:t>
            </w:r>
          </w:p>
        </w:tc>
        <w:tc>
          <w:tcPr>
            <w:tcW w:w="795" w:type="pct"/>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对附属单位补助支出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vMerge w:val="restart"/>
            <w:tcBorders>
              <w:top w:val="nil"/>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635" w:type="pct"/>
            <w:vMerge w:val="restar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603"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795"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vMerge w:val="continue"/>
            <w:tcBorders>
              <w:top w:val="nil"/>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635" w:type="pct"/>
            <w:vMerge w:val="continue"/>
            <w:tcBorders>
              <w:top w:val="nil"/>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0"/>
                <w:szCs w:val="20"/>
                <w:highlight w:val="none"/>
                <w:u w:val="none"/>
              </w:rPr>
            </w:pPr>
          </w:p>
        </w:tc>
        <w:tc>
          <w:tcPr>
            <w:tcW w:w="603"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795"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vMerge w:val="continue"/>
            <w:tcBorders>
              <w:top w:val="nil"/>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635" w:type="pct"/>
            <w:vMerge w:val="continue"/>
            <w:tcBorders>
              <w:top w:val="nil"/>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0"/>
                <w:szCs w:val="20"/>
                <w:highlight w:val="none"/>
                <w:u w:val="none"/>
              </w:rPr>
            </w:pPr>
          </w:p>
        </w:tc>
        <w:tc>
          <w:tcPr>
            <w:tcW w:w="603"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795"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jc w:val="center"/>
        </w:trPr>
        <w:tc>
          <w:tcPr>
            <w:tcW w:w="1191"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603" w:type="pc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w:t>
            </w:r>
          </w:p>
        </w:tc>
        <w:tc>
          <w:tcPr>
            <w:tcW w:w="602" w:type="pct"/>
            <w:gridSpan w:val="2"/>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602" w:type="pc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602" w:type="pct"/>
            <w:gridSpan w:val="2"/>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602" w:type="pc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795" w:type="pc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191"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8,706.98</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5,177.70</w:t>
            </w: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3,529.28</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207</w:t>
            </w:r>
          </w:p>
        </w:tc>
        <w:tc>
          <w:tcPr>
            <w:tcW w:w="635"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文化旅游体育与传媒支出</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8,570.17</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5,177.70</w:t>
            </w: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3,392.47</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20708</w:t>
            </w:r>
          </w:p>
        </w:tc>
        <w:tc>
          <w:tcPr>
            <w:tcW w:w="635"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广播电视</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8,458.90</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5,177.70</w:t>
            </w: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3,281.20</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2070899</w:t>
            </w:r>
          </w:p>
        </w:tc>
        <w:tc>
          <w:tcPr>
            <w:tcW w:w="635"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其他广播电视支出</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8,458.90</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5,177.70</w:t>
            </w: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3,281.20</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20799</w:t>
            </w:r>
          </w:p>
        </w:tc>
        <w:tc>
          <w:tcPr>
            <w:tcW w:w="635"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其他文化旅游体育与传媒支出</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111.27</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111.27</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2079903</w:t>
            </w:r>
          </w:p>
        </w:tc>
        <w:tc>
          <w:tcPr>
            <w:tcW w:w="635"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文化产业发展专项支出</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99.27</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99.27</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2079999</w:t>
            </w:r>
          </w:p>
        </w:tc>
        <w:tc>
          <w:tcPr>
            <w:tcW w:w="635"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其他文化旅游体育与传媒支出</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12.00</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12.00</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232</w:t>
            </w:r>
          </w:p>
        </w:tc>
        <w:tc>
          <w:tcPr>
            <w:tcW w:w="635"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债务付息支出</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136.81</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136.81</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23204</w:t>
            </w:r>
          </w:p>
        </w:tc>
        <w:tc>
          <w:tcPr>
            <w:tcW w:w="635"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地方政府专项债务付息支出</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136.81</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136.81</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2320498</w:t>
            </w:r>
          </w:p>
        </w:tc>
        <w:tc>
          <w:tcPr>
            <w:tcW w:w="635"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其他地方自行试点项目收益专项债券付息支出</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136.81</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136.81</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000" w:type="pct"/>
            <w:gridSpan w:val="10"/>
            <w:tcBorders>
              <w:top w:val="nil"/>
              <w:left w:val="nil"/>
              <w:bottom w:val="nil"/>
              <w:right w:val="nil"/>
            </w:tcBorders>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注：本表反映部门本年度各项支出情况。</w:t>
            </w:r>
          </w:p>
        </w:tc>
      </w:tr>
    </w:tbl>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3"/>
        <w:tblW w:w="7281" w:type="pct"/>
        <w:tblInd w:w="-185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984"/>
        <w:gridCol w:w="624"/>
        <w:gridCol w:w="1427"/>
        <w:gridCol w:w="1659"/>
        <w:gridCol w:w="439"/>
        <w:gridCol w:w="624"/>
        <w:gridCol w:w="458"/>
        <w:gridCol w:w="837"/>
        <w:gridCol w:w="1219"/>
        <w:gridCol w:w="1219"/>
        <w:gridCol w:w="1219"/>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11"/>
            <w:tcBorders>
              <w:top w:val="nil"/>
              <w:left w:val="nil"/>
              <w:bottom w:val="nil"/>
              <w:right w:val="nil"/>
            </w:tcBorders>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财政拨款收入支出决算总表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000" w:type="pct"/>
            <w:gridSpan w:val="11"/>
            <w:tcBorders>
              <w:top w:val="nil"/>
              <w:left w:val="nil"/>
              <w:bottom w:val="nil"/>
              <w:right w:val="nil"/>
            </w:tcBorders>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公开04表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2431" w:type="pct"/>
            <w:gridSpan w:val="4"/>
            <w:tcBorders>
              <w:top w:val="nil"/>
              <w:left w:val="nil"/>
              <w:bottom w:val="single" w:color="auto" w:sz="4" w:space="0"/>
              <w:right w:val="nil"/>
            </w:tcBorders>
            <w:noWrap/>
            <w:vAlign w:val="bottom"/>
          </w:tcPr>
          <w:p>
            <w:pPr>
              <w:rPr>
                <w:rFonts w:hint="eastAsia" w:ascii="仿宋" w:hAnsi="仿宋" w:eastAsia="仿宋" w:cs="仿宋"/>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部门（单位）：石家庄广播电视台(本级) </w:t>
            </w:r>
            <w:r>
              <w:rPr>
                <w:rFonts w:hint="eastAsia" w:asciiTheme="minorEastAsia" w:hAnsiTheme="minorEastAsia" w:eastAsiaTheme="minorEastAsia" w:cstheme="minorEastAsia"/>
                <w:i w:val="0"/>
                <w:iCs w:val="0"/>
                <w:color w:val="000000"/>
                <w:kern w:val="0"/>
                <w:sz w:val="20"/>
                <w:szCs w:val="20"/>
                <w:highlight w:val="none"/>
                <w:u w:val="none"/>
                <w:lang w:val="en-US" w:eastAsia="zh-CN" w:bidi="ar"/>
              </w:rPr>
              <w:t xml:space="preserve">                                                                                                   </w:t>
            </w:r>
          </w:p>
        </w:tc>
        <w:tc>
          <w:tcPr>
            <w:tcW w:w="649" w:type="pct"/>
            <w:gridSpan w:val="3"/>
            <w:tcBorders>
              <w:top w:val="nil"/>
              <w:left w:val="nil"/>
              <w:bottom w:val="single" w:color="auto" w:sz="4" w:space="0"/>
              <w:right w:val="nil"/>
            </w:tcBorders>
            <w:noWrap/>
            <w:vAlign w:val="bottom"/>
          </w:tcPr>
          <w:p>
            <w:pPr>
              <w:jc w:val="center"/>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i w:val="0"/>
                <w:iCs w:val="0"/>
                <w:color w:val="000000"/>
                <w:kern w:val="0"/>
                <w:sz w:val="20"/>
                <w:szCs w:val="20"/>
                <w:highlight w:val="none"/>
                <w:u w:val="none"/>
                <w:lang w:val="en-US" w:eastAsia="zh-CN" w:bidi="ar"/>
              </w:rPr>
              <w:t>202</w:t>
            </w:r>
            <w:r>
              <w:rPr>
                <w:rFonts w:hint="eastAsia" w:ascii="Times New Roman" w:hAnsi="Times New Roman"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919" w:type="pct"/>
            <w:gridSpan w:val="4"/>
            <w:tcBorders>
              <w:top w:val="nil"/>
              <w:left w:val="nil"/>
              <w:bottom w:val="single" w:color="auto" w:sz="4" w:space="0"/>
              <w:right w:val="nil"/>
            </w:tcBorders>
            <w:noWrap/>
            <w:vAlign w:val="bottom"/>
          </w:tcPr>
          <w:p>
            <w:pPr>
              <w:jc w:val="right"/>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723" w:type="pct"/>
            <w:gridSpan w:val="3"/>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收入</w:t>
            </w:r>
          </w:p>
        </w:tc>
        <w:tc>
          <w:tcPr>
            <w:tcW w:w="3276" w:type="pct"/>
            <w:gridSpan w:val="8"/>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847" w:type="pct"/>
            <w:vMerge w:val="restart"/>
            <w:tcBorders>
              <w:top w:val="nil"/>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    目</w:t>
            </w:r>
          </w:p>
        </w:tc>
        <w:tc>
          <w:tcPr>
            <w:tcW w:w="266" w:type="pct"/>
            <w:vMerge w:val="restar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609" w:type="pct"/>
            <w:vMerge w:val="restar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金额</w:t>
            </w:r>
          </w:p>
        </w:tc>
        <w:tc>
          <w:tcPr>
            <w:tcW w:w="895" w:type="pct"/>
            <w:gridSpan w:val="2"/>
            <w:vMerge w:val="restar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266" w:type="pct"/>
            <w:vMerge w:val="restar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552" w:type="pct"/>
            <w:gridSpan w:val="2"/>
            <w:vMerge w:val="restart"/>
            <w:tcBorders>
              <w:top w:val="nil"/>
              <w:left w:val="nil"/>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合计</w:t>
            </w:r>
          </w:p>
        </w:tc>
        <w:tc>
          <w:tcPr>
            <w:tcW w:w="520" w:type="pct"/>
            <w:vMerge w:val="restart"/>
            <w:tcBorders>
              <w:top w:val="nil"/>
              <w:left w:val="nil"/>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一般公共预算财政拨款</w:t>
            </w:r>
          </w:p>
        </w:tc>
        <w:tc>
          <w:tcPr>
            <w:tcW w:w="520" w:type="pct"/>
            <w:vMerge w:val="restart"/>
            <w:tcBorders>
              <w:top w:val="nil"/>
              <w:left w:val="nil"/>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政府性基金预算财政拨款</w:t>
            </w:r>
          </w:p>
        </w:tc>
        <w:tc>
          <w:tcPr>
            <w:tcW w:w="520" w:type="pct"/>
            <w:vMerge w:val="restart"/>
            <w:tcBorders>
              <w:top w:val="nil"/>
              <w:left w:val="nil"/>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国有资本经营预算财政拨款</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847" w:type="pct"/>
            <w:vMerge w:val="continue"/>
            <w:tcBorders>
              <w:top w:val="nil"/>
              <w:left w:val="single" w:color="000000" w:sz="4" w:space="0"/>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266" w:type="pct"/>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609" w:type="pct"/>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895" w:type="pct"/>
            <w:gridSpan w:val="2"/>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266" w:type="pct"/>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52" w:type="pct"/>
            <w:gridSpan w:val="2"/>
            <w:vMerge w:val="continue"/>
            <w:tcBorders>
              <w:left w:val="nil"/>
              <w:bottom w:val="single" w:color="000000" w:sz="4" w:space="0"/>
              <w:right w:val="single" w:color="000000" w:sz="8"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520" w:type="pct"/>
            <w:vMerge w:val="continue"/>
            <w:tcBorders>
              <w:left w:val="nil"/>
              <w:bottom w:val="single" w:color="000000" w:sz="4" w:space="0"/>
              <w:right w:val="single" w:color="000000" w:sz="8"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520" w:type="pct"/>
            <w:vMerge w:val="continue"/>
            <w:tcBorders>
              <w:left w:val="nil"/>
              <w:bottom w:val="single" w:color="000000" w:sz="4" w:space="0"/>
              <w:right w:val="single" w:color="000000" w:sz="8"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520" w:type="pct"/>
            <w:vMerge w:val="continue"/>
            <w:tcBorders>
              <w:left w:val="nil"/>
              <w:bottom w:val="single" w:color="000000" w:sz="4" w:space="0"/>
              <w:right w:val="single" w:color="000000" w:sz="8"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    次</w:t>
            </w:r>
          </w:p>
        </w:tc>
        <w:tc>
          <w:tcPr>
            <w:tcW w:w="266" w:type="pct"/>
            <w:tcBorders>
              <w:top w:val="nil"/>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0"/>
                <w:szCs w:val="20"/>
                <w:highlight w:val="none"/>
                <w:u w:val="none"/>
              </w:rPr>
            </w:pPr>
          </w:p>
        </w:tc>
        <w:tc>
          <w:tcPr>
            <w:tcW w:w="609"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895"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    次</w:t>
            </w:r>
          </w:p>
        </w:tc>
        <w:tc>
          <w:tcPr>
            <w:tcW w:w="266" w:type="pct"/>
            <w:tcBorders>
              <w:top w:val="nil"/>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0"/>
                <w:szCs w:val="20"/>
                <w:highlight w:val="none"/>
                <w:u w:val="none"/>
              </w:rPr>
            </w:pPr>
          </w:p>
        </w:tc>
        <w:tc>
          <w:tcPr>
            <w:tcW w:w="552"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w:t>
            </w:r>
          </w:p>
        </w:tc>
        <w:tc>
          <w:tcPr>
            <w:tcW w:w="520"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w:t>
            </w:r>
          </w:p>
        </w:tc>
        <w:tc>
          <w:tcPr>
            <w:tcW w:w="520"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4</w:t>
            </w:r>
          </w:p>
        </w:tc>
        <w:tc>
          <w:tcPr>
            <w:tcW w:w="520" w:type="pct"/>
            <w:tcBorders>
              <w:top w:val="nil"/>
              <w:left w:val="nil"/>
              <w:bottom w:val="single" w:color="000000" w:sz="4" w:space="0"/>
              <w:right w:val="single" w:color="000000" w:sz="8"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8,570.17</w:t>
            </w:r>
          </w:p>
        </w:tc>
        <w:tc>
          <w:tcPr>
            <w:tcW w:w="895"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一、一般公共服务支出</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33</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136.81</w:t>
            </w:r>
          </w:p>
        </w:tc>
        <w:tc>
          <w:tcPr>
            <w:tcW w:w="895"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二、外交支出</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34</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三、国防支出</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35</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四、公共安全支出</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36</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五、教育支出</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37</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六、科学技术支出</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38</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7</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七、文化旅游体育与传媒支出</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39</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8,570.17</w:t>
            </w: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8,570.17</w:t>
            </w: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8</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八、社会保障和就业支出</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40</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9</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九、卫生健康支出</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41</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10</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十、节能环保支出</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42</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11</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十一、城乡社区支出</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43</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auto"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auto"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12</w:t>
            </w:r>
          </w:p>
        </w:tc>
        <w:tc>
          <w:tcPr>
            <w:tcW w:w="609" w:type="pct"/>
            <w:tcBorders>
              <w:top w:val="nil"/>
              <w:left w:val="nil"/>
              <w:bottom w:val="single" w:color="auto"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auto"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十二、农林水支出</w:t>
            </w:r>
          </w:p>
        </w:tc>
        <w:tc>
          <w:tcPr>
            <w:tcW w:w="266" w:type="pct"/>
            <w:tcBorders>
              <w:top w:val="nil"/>
              <w:left w:val="nil"/>
              <w:bottom w:val="single" w:color="auto"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44</w:t>
            </w:r>
          </w:p>
        </w:tc>
        <w:tc>
          <w:tcPr>
            <w:tcW w:w="552" w:type="pct"/>
            <w:gridSpan w:val="2"/>
            <w:tcBorders>
              <w:top w:val="nil"/>
              <w:left w:val="nil"/>
              <w:bottom w:val="single" w:color="auto"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auto"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auto"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auto"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13</w:t>
            </w:r>
          </w:p>
        </w:tc>
        <w:tc>
          <w:tcPr>
            <w:tcW w:w="60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十三、交通运输支出</w:t>
            </w: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45</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14</w:t>
            </w:r>
          </w:p>
        </w:tc>
        <w:tc>
          <w:tcPr>
            <w:tcW w:w="60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十四、资源勘探工业信息等支出</w:t>
            </w: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46</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15</w:t>
            </w:r>
          </w:p>
        </w:tc>
        <w:tc>
          <w:tcPr>
            <w:tcW w:w="60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十五、商业服务业等支出</w:t>
            </w: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47</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16</w:t>
            </w:r>
          </w:p>
        </w:tc>
        <w:tc>
          <w:tcPr>
            <w:tcW w:w="60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十六、金融支出</w:t>
            </w: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48</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17</w:t>
            </w:r>
          </w:p>
        </w:tc>
        <w:tc>
          <w:tcPr>
            <w:tcW w:w="60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十七、援助其他地区支出</w:t>
            </w: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49</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18</w:t>
            </w:r>
          </w:p>
        </w:tc>
        <w:tc>
          <w:tcPr>
            <w:tcW w:w="60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十八、自然资源海洋气象等支出</w:t>
            </w: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50</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19</w:t>
            </w:r>
          </w:p>
        </w:tc>
        <w:tc>
          <w:tcPr>
            <w:tcW w:w="60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十九、住房保障支出</w:t>
            </w: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51</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20</w:t>
            </w:r>
          </w:p>
        </w:tc>
        <w:tc>
          <w:tcPr>
            <w:tcW w:w="60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二十、粮油物资储备支出</w:t>
            </w: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52</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21</w:t>
            </w:r>
          </w:p>
        </w:tc>
        <w:tc>
          <w:tcPr>
            <w:tcW w:w="60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二十一、国有资本经营预算支出</w:t>
            </w: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53</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22</w:t>
            </w:r>
          </w:p>
        </w:tc>
        <w:tc>
          <w:tcPr>
            <w:tcW w:w="60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二十二、灾害防治及应急管理支出</w:t>
            </w: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54</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23</w:t>
            </w:r>
          </w:p>
        </w:tc>
        <w:tc>
          <w:tcPr>
            <w:tcW w:w="60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二十三、其他支出</w:t>
            </w: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55</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24</w:t>
            </w:r>
          </w:p>
        </w:tc>
        <w:tc>
          <w:tcPr>
            <w:tcW w:w="609" w:type="pct"/>
            <w:tcBorders>
              <w:top w:val="single" w:color="auto" w:sz="4" w:space="0"/>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二十四、债务还本支出</w:t>
            </w:r>
          </w:p>
        </w:tc>
        <w:tc>
          <w:tcPr>
            <w:tcW w:w="266" w:type="pct"/>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56</w:t>
            </w:r>
          </w:p>
        </w:tc>
        <w:tc>
          <w:tcPr>
            <w:tcW w:w="552" w:type="pct"/>
            <w:gridSpan w:val="2"/>
            <w:tcBorders>
              <w:top w:val="single" w:color="auto" w:sz="4" w:space="0"/>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jc w:val="center"/>
              <w:rPr>
                <w:rFonts w:hint="eastAsia" w:ascii="宋体" w:hAnsi="宋体" w:eastAsia="宋体" w:cs="宋体"/>
                <w:b/>
                <w:bCs/>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25</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二十五、债务付息支出</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57</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136.81</w:t>
            </w: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136.81</w:t>
            </w:r>
          </w:p>
        </w:tc>
        <w:tc>
          <w:tcPr>
            <w:tcW w:w="520" w:type="pct"/>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26</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二十六、抗疫特别国债安排的支出</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58</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本年收入合计</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27</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8,706.98</w:t>
            </w:r>
          </w:p>
        </w:tc>
        <w:tc>
          <w:tcPr>
            <w:tcW w:w="895"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本年支出合计</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59</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8,706.98</w:t>
            </w: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8,570.17</w:t>
            </w: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136.81</w:t>
            </w:r>
          </w:p>
        </w:tc>
        <w:tc>
          <w:tcPr>
            <w:tcW w:w="520" w:type="pct"/>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年初财政拨款结转和结余</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28</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年末财政拨款结转和结余</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60</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both"/>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both"/>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29</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61</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lef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30</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62</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lef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31</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63</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lef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8"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6" w:type="pct"/>
            <w:tcBorders>
              <w:top w:val="nil"/>
              <w:left w:val="nil"/>
              <w:bottom w:val="single" w:color="000000" w:sz="8"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32</w:t>
            </w:r>
          </w:p>
        </w:tc>
        <w:tc>
          <w:tcPr>
            <w:tcW w:w="609" w:type="pct"/>
            <w:tcBorders>
              <w:top w:val="nil"/>
              <w:left w:val="nil"/>
              <w:bottom w:val="single" w:color="000000" w:sz="8"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8,706.98</w:t>
            </w:r>
          </w:p>
        </w:tc>
        <w:tc>
          <w:tcPr>
            <w:tcW w:w="895" w:type="pct"/>
            <w:gridSpan w:val="2"/>
            <w:tcBorders>
              <w:top w:val="nil"/>
              <w:left w:val="nil"/>
              <w:bottom w:val="single" w:color="000000" w:sz="8"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6" w:type="pct"/>
            <w:tcBorders>
              <w:top w:val="nil"/>
              <w:left w:val="nil"/>
              <w:bottom w:val="single" w:color="000000" w:sz="8"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64</w:t>
            </w:r>
          </w:p>
        </w:tc>
        <w:tc>
          <w:tcPr>
            <w:tcW w:w="552" w:type="pct"/>
            <w:gridSpan w:val="2"/>
            <w:tcBorders>
              <w:top w:val="nil"/>
              <w:left w:val="nil"/>
              <w:bottom w:val="single" w:color="000000" w:sz="8"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8,706.98</w:t>
            </w:r>
          </w:p>
        </w:tc>
        <w:tc>
          <w:tcPr>
            <w:tcW w:w="520" w:type="pct"/>
            <w:tcBorders>
              <w:top w:val="nil"/>
              <w:left w:val="nil"/>
              <w:bottom w:val="single" w:color="000000" w:sz="8" w:space="0"/>
              <w:right w:val="single" w:color="000000" w:sz="4" w:space="0"/>
            </w:tcBorders>
            <w:noWrap/>
            <w:vAlign w:val="center"/>
          </w:tcPr>
          <w:p>
            <w:pPr>
              <w:jc w:val="right"/>
              <w:rPr>
                <w:rFonts w:hint="default" w:ascii="Times New Roman" w:hAnsi="Times New Roman" w:cs="Times New Roman"/>
                <w:sz w:val="20"/>
                <w:szCs w:val="20"/>
                <w:highlight w:val="none"/>
              </w:rPr>
            </w:pPr>
          </w:p>
          <w:p>
            <w:pPr>
              <w:jc w:val="right"/>
              <w:rPr>
                <w:rFonts w:hint="default" w:ascii="Times New Roman" w:hAnsi="Times New Roman" w:cs="Times New Roman"/>
                <w:sz w:val="20"/>
                <w:szCs w:val="20"/>
                <w:highlight w:val="none"/>
              </w:rPr>
            </w:pPr>
            <w:r>
              <w:rPr>
                <w:rFonts w:hint="default" w:ascii="Times New Roman" w:hAnsi="Times New Roman" w:cs="Times New Roman"/>
                <w:sz w:val="20"/>
                <w:szCs w:val="20"/>
                <w:highlight w:val="none"/>
              </w:rPr>
              <w:t>8,570.17</w:t>
            </w:r>
          </w:p>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8"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136.81</w:t>
            </w:r>
          </w:p>
        </w:tc>
        <w:tc>
          <w:tcPr>
            <w:tcW w:w="520" w:type="pct"/>
            <w:tcBorders>
              <w:top w:val="nil"/>
              <w:left w:val="nil"/>
              <w:bottom w:val="single" w:color="000000" w:sz="8"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11"/>
            <w:tcBorders>
              <w:top w:val="nil"/>
              <w:left w:val="nil"/>
              <w:bottom w:val="nil"/>
              <w:right w:val="nil"/>
            </w:tcBorders>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注：本表反映部门本年度一般公共预算财政拨款、政府性基金预算财政拨款和国有资本经营预算财政拨款的总收支和年末结转结余情况。</w:t>
            </w:r>
          </w:p>
        </w:tc>
      </w:tr>
    </w:tbl>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3"/>
        <w:tblW w:w="5348" w:type="pct"/>
        <w:tblInd w:w="-65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1589"/>
        <w:gridCol w:w="2816"/>
        <w:gridCol w:w="918"/>
        <w:gridCol w:w="767"/>
        <w:gridCol w:w="827"/>
        <w:gridCol w:w="379"/>
        <w:gridCol w:w="1304"/>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57" w:hRule="atLeast"/>
        </w:trPr>
        <w:tc>
          <w:tcPr>
            <w:tcW w:w="5000" w:type="pct"/>
            <w:gridSpan w:val="7"/>
            <w:tcBorders>
              <w:top w:val="nil"/>
              <w:left w:val="nil"/>
              <w:bottom w:val="nil"/>
              <w:right w:val="nil"/>
            </w:tcBorders>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一般公共预算财政拨款支出决算表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9" w:hRule="atLeast"/>
        </w:trPr>
        <w:tc>
          <w:tcPr>
            <w:tcW w:w="5000" w:type="pct"/>
            <w:gridSpan w:val="7"/>
            <w:tcBorders>
              <w:top w:val="nil"/>
              <w:left w:val="nil"/>
              <w:bottom w:val="nil"/>
              <w:right w:val="nil"/>
            </w:tcBorders>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方正仿宋_GB2312" w:cs="Times New Roman"/>
                <w:i w:val="0"/>
                <w:iCs w:val="0"/>
                <w:color w:val="000000"/>
                <w:kern w:val="0"/>
                <w:sz w:val="20"/>
                <w:szCs w:val="20"/>
                <w:highlight w:val="none"/>
                <w:u w:val="none"/>
                <w:lang w:val="en-US" w:eastAsia="zh-CN" w:bidi="ar"/>
              </w:rPr>
              <w:t>05</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9" w:hRule="atLeast"/>
        </w:trPr>
        <w:tc>
          <w:tcPr>
            <w:tcW w:w="1868" w:type="pct"/>
            <w:gridSpan w:val="3"/>
            <w:tcBorders>
              <w:top w:val="nil"/>
              <w:left w:val="nil"/>
              <w:bottom w:val="single" w:color="auto" w:sz="4" w:space="0"/>
              <w:right w:val="nil"/>
            </w:tcBorders>
            <w:noWrap/>
            <w:vAlign w:val="bottom"/>
          </w:tcPr>
          <w:p>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编制部门（单位）：石家庄广播电视台(本级)</w:t>
            </w:r>
          </w:p>
        </w:tc>
        <w:tc>
          <w:tcPr>
            <w:tcW w:w="1541" w:type="pct"/>
            <w:gridSpan w:val="2"/>
            <w:tcBorders>
              <w:top w:val="nil"/>
              <w:left w:val="nil"/>
              <w:bottom w:val="single" w:color="auto" w:sz="4" w:space="0"/>
              <w:right w:val="nil"/>
            </w:tcBorders>
            <w:noWrap/>
            <w:vAlign w:val="bottom"/>
          </w:tcPr>
          <w:p>
            <w:pPr>
              <w:keepNext w:val="0"/>
              <w:keepLines w:val="0"/>
              <w:widowControl/>
              <w:suppressLineNumbers w:val="0"/>
              <w:jc w:val="center"/>
              <w:textAlignment w:val="bottom"/>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i w:val="0"/>
                <w:iCs w:val="0"/>
                <w:color w:val="000000"/>
                <w:kern w:val="0"/>
                <w:sz w:val="20"/>
                <w:szCs w:val="20"/>
                <w:highlight w:val="none"/>
                <w:u w:val="none"/>
                <w:lang w:val="en-US" w:eastAsia="zh-CN" w:bidi="ar"/>
              </w:rPr>
              <w:t>202</w:t>
            </w:r>
            <w:r>
              <w:rPr>
                <w:rFonts w:hint="eastAsia" w:ascii="Times New Roman" w:hAnsi="Times New Roman"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590" w:type="pct"/>
            <w:gridSpan w:val="2"/>
            <w:tcBorders>
              <w:top w:val="nil"/>
              <w:left w:val="nil"/>
              <w:bottom w:val="single" w:color="auto" w:sz="4" w:space="0"/>
              <w:right w:val="nil"/>
            </w:tcBorders>
            <w:noWrap/>
            <w:vAlign w:val="bottom"/>
          </w:tcPr>
          <w:p>
            <w:pPr>
              <w:keepNext w:val="0"/>
              <w:keepLines w:val="0"/>
              <w:widowControl/>
              <w:suppressLineNumbers w:val="0"/>
              <w:jc w:val="right"/>
              <w:textAlignment w:val="bottom"/>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1461" w:type="pct"/>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3538" w:type="pct"/>
            <w:gridSpan w:val="5"/>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704" w:type="pct"/>
            <w:vMerge w:val="restart"/>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科目代码</w:t>
            </w:r>
          </w:p>
        </w:tc>
        <w:tc>
          <w:tcPr>
            <w:tcW w:w="756" w:type="pct"/>
            <w:vMerge w:val="restart"/>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1160" w:type="pct"/>
            <w:gridSpan w:val="2"/>
            <w:vMerge w:val="restart"/>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小计</w:t>
            </w:r>
          </w:p>
        </w:tc>
        <w:tc>
          <w:tcPr>
            <w:tcW w:w="1160" w:type="pct"/>
            <w:gridSpan w:val="2"/>
            <w:vMerge w:val="restart"/>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1218" w:type="pct"/>
            <w:vMerge w:val="restart"/>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6" w:hRule="atLeast"/>
        </w:trPr>
        <w:tc>
          <w:tcPr>
            <w:tcW w:w="704" w:type="pct"/>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756" w:type="pct"/>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160" w:type="pct"/>
            <w:gridSpan w:val="2"/>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160" w:type="pct"/>
            <w:gridSpan w:val="2"/>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218" w:type="pct"/>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704" w:type="pct"/>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756" w:type="pct"/>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160" w:type="pct"/>
            <w:gridSpan w:val="2"/>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160" w:type="pct"/>
            <w:gridSpan w:val="2"/>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218" w:type="pct"/>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1461" w:type="pct"/>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1</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2</w:t>
            </w:r>
          </w:p>
        </w:tc>
        <w:tc>
          <w:tcPr>
            <w:tcW w:w="1218"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1461" w:type="pct"/>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8,570.17</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5,177.70</w:t>
            </w:r>
          </w:p>
        </w:tc>
        <w:tc>
          <w:tcPr>
            <w:tcW w:w="1218"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3,392.47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207</w:t>
            </w:r>
          </w:p>
        </w:tc>
        <w:tc>
          <w:tcPr>
            <w:tcW w:w="756"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文化旅游体育与传媒支出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8,570.17</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5,177.70</w:t>
            </w:r>
          </w:p>
        </w:tc>
        <w:tc>
          <w:tcPr>
            <w:tcW w:w="1218"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3,392.47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20708</w:t>
            </w:r>
          </w:p>
        </w:tc>
        <w:tc>
          <w:tcPr>
            <w:tcW w:w="756"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广播电视</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8,458.90</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5,177.70</w:t>
            </w:r>
          </w:p>
        </w:tc>
        <w:tc>
          <w:tcPr>
            <w:tcW w:w="1218"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3,281.20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2070899</w:t>
            </w:r>
          </w:p>
        </w:tc>
        <w:tc>
          <w:tcPr>
            <w:tcW w:w="756"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其他广播电视支出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8,458.90</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5,177.70</w:t>
            </w:r>
          </w:p>
        </w:tc>
        <w:tc>
          <w:tcPr>
            <w:tcW w:w="1218"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3,281.20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20799</w:t>
            </w:r>
          </w:p>
        </w:tc>
        <w:tc>
          <w:tcPr>
            <w:tcW w:w="756"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其他文化旅游体育与传媒支出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111.27</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111.27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2079903</w:t>
            </w:r>
          </w:p>
        </w:tc>
        <w:tc>
          <w:tcPr>
            <w:tcW w:w="756"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文化产业发展专项支出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99.27</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99.27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2079999</w:t>
            </w:r>
          </w:p>
        </w:tc>
        <w:tc>
          <w:tcPr>
            <w:tcW w:w="756"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其他文化旅游体育与传媒支出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12.00</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5000" w:type="pct"/>
            <w:gridSpan w:val="7"/>
            <w:tcBorders>
              <w:top w:val="single" w:color="auto" w:sz="4" w:space="0"/>
              <w:left w:val="nil"/>
              <w:bottom w:val="nil"/>
              <w:right w:val="nil"/>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注：本表反映部门本年度一般公共预算财政拨款支出情况。</w:t>
            </w:r>
          </w:p>
        </w:tc>
      </w:tr>
    </w:tbl>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3"/>
        <w:tblW w:w="7050" w:type="pct"/>
        <w:tblInd w:w="-161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964"/>
        <w:gridCol w:w="1814"/>
        <w:gridCol w:w="1020"/>
        <w:gridCol w:w="964"/>
        <w:gridCol w:w="438"/>
        <w:gridCol w:w="1376"/>
        <w:gridCol w:w="587"/>
        <w:gridCol w:w="377"/>
        <w:gridCol w:w="964"/>
        <w:gridCol w:w="1814"/>
        <w:gridCol w:w="102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24" w:hRule="atLeast"/>
        </w:trPr>
        <w:tc>
          <w:tcPr>
            <w:tcW w:w="5000" w:type="pct"/>
            <w:gridSpan w:val="11"/>
            <w:tcBorders>
              <w:top w:val="nil"/>
              <w:left w:val="nil"/>
              <w:bottom w:val="nil"/>
              <w:right w:val="nil"/>
            </w:tcBorders>
            <w:noWrap/>
            <w:vAlign w:val="bottom"/>
          </w:tcPr>
          <w:p>
            <w:pPr>
              <w:keepNext w:val="0"/>
              <w:keepLines w:val="0"/>
              <w:widowControl/>
              <w:suppressLineNumbers w:val="0"/>
              <w:jc w:val="center"/>
              <w:textAlignment w:val="bottom"/>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一般公共预算财政拨款基本支出决算明细表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000" w:type="pct"/>
            <w:gridSpan w:val="11"/>
            <w:tcBorders>
              <w:top w:val="nil"/>
              <w:left w:val="nil"/>
              <w:bottom w:val="nil"/>
              <w:right w:val="nil"/>
            </w:tcBorders>
            <w:noWrap/>
            <w:vAlign w:val="bottom"/>
          </w:tcPr>
          <w:p>
            <w:pPr>
              <w:keepNext w:val="0"/>
              <w:keepLines w:val="0"/>
              <w:widowControl/>
              <w:suppressLineNumbers w:val="0"/>
              <w:jc w:val="right"/>
              <w:textAlignment w:val="bottom"/>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公开</w:t>
            </w:r>
            <w:r>
              <w:rPr>
                <w:rFonts w:hint="default" w:ascii="Times New Roman" w:hAnsi="Times New Roman" w:eastAsia="方正仿宋_GB2312" w:cs="Times New Roman"/>
                <w:i w:val="0"/>
                <w:iCs w:val="0"/>
                <w:color w:val="000000"/>
                <w:kern w:val="0"/>
                <w:sz w:val="18"/>
                <w:szCs w:val="18"/>
                <w:highlight w:val="none"/>
                <w:u w:val="none"/>
                <w:lang w:val="en-US" w:eastAsia="zh-CN" w:bidi="ar"/>
              </w:rPr>
              <w:t>06</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2293" w:type="pct"/>
            <w:gridSpan w:val="5"/>
            <w:tcBorders>
              <w:top w:val="nil"/>
              <w:left w:val="nil"/>
              <w:bottom w:val="single" w:color="auto" w:sz="4" w:space="0"/>
              <w:right w:val="nil"/>
            </w:tcBorders>
            <w:noWrap/>
            <w:vAlign w:val="bottom"/>
          </w:tcPr>
          <w:p>
            <w:pP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部门（单位）：石家庄广播电视台(本级) </w:t>
            </w:r>
            <w:r>
              <w:rPr>
                <w:rFonts w:hint="eastAsia" w:asciiTheme="minorEastAsia" w:hAnsiTheme="minorEastAsia" w:cstheme="minorEastAsia"/>
                <w:i w:val="0"/>
                <w:iCs w:val="0"/>
                <w:color w:val="000000"/>
                <w:kern w:val="0"/>
                <w:sz w:val="18"/>
                <w:szCs w:val="18"/>
                <w:highlight w:val="none"/>
                <w:u w:val="none"/>
                <w:lang w:val="en-US" w:eastAsia="zh-CN" w:bidi="ar"/>
              </w:rPr>
              <w:t xml:space="preserve">                                                                   </w:t>
            </w:r>
          </w:p>
        </w:tc>
        <w:tc>
          <w:tcPr>
            <w:tcW w:w="865" w:type="pct"/>
            <w:gridSpan w:val="2"/>
            <w:tcBorders>
              <w:top w:val="nil"/>
              <w:left w:val="nil"/>
              <w:bottom w:val="single" w:color="auto" w:sz="4" w:space="0"/>
              <w:right w:val="nil"/>
            </w:tcBorders>
            <w:noWrap/>
            <w:vAlign w:val="bottom"/>
          </w:tcPr>
          <w:p>
            <w:pPr>
              <w:jc w:val="center"/>
              <w:rPr>
                <w:rFonts w:hint="default" w:asciiTheme="minorEastAsia" w:hAnsiTheme="minorEastAsia" w:eastAsiaTheme="minorEastAsia" w:cstheme="minorEastAsia"/>
                <w:i w:val="0"/>
                <w:iCs w:val="0"/>
                <w:color w:val="000000"/>
                <w:kern w:val="0"/>
                <w:sz w:val="18"/>
                <w:szCs w:val="18"/>
                <w:highlight w:val="none"/>
                <w:u w:val="none"/>
                <w:lang w:val="en-US" w:eastAsia="zh-CN" w:bidi="ar"/>
              </w:rPr>
            </w:pPr>
            <w:r>
              <w:rPr>
                <w:rFonts w:hint="eastAsia" w:asciiTheme="minorEastAsia" w:hAnsiTheme="minorEastAsia" w:cstheme="minorEastAsia"/>
                <w:i w:val="0"/>
                <w:iCs w:val="0"/>
                <w:color w:val="000000"/>
                <w:kern w:val="0"/>
                <w:sz w:val="18"/>
                <w:szCs w:val="18"/>
                <w:highlight w:val="none"/>
                <w:u w:val="none"/>
                <w:lang w:val="en-US" w:eastAsia="zh-CN" w:bidi="ar"/>
              </w:rPr>
              <w:t>2024</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年度</w:t>
            </w:r>
          </w:p>
        </w:tc>
        <w:tc>
          <w:tcPr>
            <w:tcW w:w="1841" w:type="pct"/>
            <w:gridSpan w:val="4"/>
            <w:tcBorders>
              <w:top w:val="nil"/>
              <w:left w:val="nil"/>
              <w:bottom w:val="single" w:color="auto" w:sz="4" w:space="0"/>
              <w:right w:val="nil"/>
            </w:tcBorders>
            <w:noWrap/>
            <w:vAlign w:val="bottom"/>
          </w:tcPr>
          <w:p>
            <w:pPr>
              <w:jc w:val="right"/>
              <w:rPr>
                <w:rFonts w:hint="default" w:asciiTheme="minorEastAsia" w:hAnsiTheme="minorEastAsia" w:eastAsiaTheme="minorEastAsia" w:cstheme="minorEastAsia"/>
                <w:i w:val="0"/>
                <w:iCs w:val="0"/>
                <w:color w:val="000000"/>
                <w:kern w:val="0"/>
                <w:sz w:val="18"/>
                <w:szCs w:val="18"/>
                <w:highlight w:val="none"/>
                <w:u w:val="none"/>
                <w:lang w:val="en-US" w:eastAsia="zh-CN" w:bidi="ar"/>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1674" w:type="pct"/>
            <w:gridSpan w:val="3"/>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人员经费</w:t>
            </w:r>
          </w:p>
        </w:tc>
        <w:tc>
          <w:tcPr>
            <w:tcW w:w="3325" w:type="pct"/>
            <w:gridSpan w:val="8"/>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公用经费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科目代码</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44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c>
          <w:tcPr>
            <w:tcW w:w="425" w:type="pct"/>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eastAsia="zh-CN"/>
              </w:rPr>
            </w:pPr>
            <w:r>
              <w:rPr>
                <w:rFonts w:hint="eastAsia" w:ascii="方正仿宋_GB2312" w:hAnsi="方正仿宋_GB2312" w:eastAsia="方正仿宋_GB2312" w:cs="方正仿宋_GB2312"/>
                <w:i w:val="0"/>
                <w:iCs w:val="0"/>
                <w:color w:val="000000"/>
                <w:sz w:val="18"/>
                <w:szCs w:val="18"/>
                <w:highlight w:val="none"/>
                <w:u w:val="none"/>
                <w:lang w:val="en-US" w:eastAsia="zh-CN"/>
              </w:rPr>
              <w:t>科目代码</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c>
          <w:tcPr>
            <w:tcW w:w="425" w:type="pct"/>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eastAsia="zh-CN"/>
              </w:rPr>
            </w:pPr>
            <w:r>
              <w:rPr>
                <w:rFonts w:hint="eastAsia" w:ascii="方正仿宋_GB2312" w:hAnsi="方正仿宋_GB2312" w:eastAsia="方正仿宋_GB2312" w:cs="方正仿宋_GB2312"/>
                <w:i w:val="0"/>
                <w:iCs w:val="0"/>
                <w:color w:val="000000"/>
                <w:sz w:val="18"/>
                <w:szCs w:val="18"/>
                <w:highlight w:val="none"/>
                <w:u w:val="none"/>
                <w:lang w:val="en-US" w:eastAsia="zh-CN"/>
              </w:rPr>
              <w:t>科目代码</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44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工资福利支出</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3,538.09</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商品和服务支出</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债务利息及费用支出</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30101</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基本工资</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1,130.83</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30201</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办公费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30701</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国内债务付息</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30102</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津贴补贴</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661.00</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30202</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印刷费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30702</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国外债务付息</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30103</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奖金</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244.74</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30203</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咨询费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资本性支出</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30106</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伙食补助费</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30204</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手续费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31001</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房屋建筑物购建</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30107</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绩效工资</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494.59</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30205</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水费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31002</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办公设备购置</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30108</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机关事业单位基本养老保险缴费</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503.85</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30206</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电费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31003</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专用设备购置</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30109</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职业年金缴费</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8.61</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30207</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邮电费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31005</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基础设施建设</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30110</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职工基本医疗保险缴费</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212.44</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30208</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取暖费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31006</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大型修缮</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30111</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公务员医疗补助缴费</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物业管理费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31007</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信息网络及软件购置更新</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30112</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其他社会保障缴费</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27.56</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30211</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差旅费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31008</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物资储备</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30113</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住房公积金</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254.46</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30212</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因公出国（境）费用</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31009</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土地补偿</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30114</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医疗费</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30213</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维修（护）费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31010</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安置补助</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30199</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其他工资福利支出</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30214</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租赁费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31011</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地上附着物和青苗补偿</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对个人和家庭的补助</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1,639.61</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30215</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会议费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31012</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拆迁补偿</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30301</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离休费</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30216</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培训费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31013</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30302</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退休费</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1,639.61</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30217</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31019</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其他交通工具购置</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30303</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退职（役）费</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30218</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专用材料费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31021</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文物和陈列品购置</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30304</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抚恤金</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30224</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被装购置费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31022</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无形资产购置</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30305</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生活补助</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30225</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专用燃料费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31099</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其他资本性支出</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30306</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救济费</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30226</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劳务费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对企业补助</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30307</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医疗费补助</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30227</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委托业务费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31201</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资本金注入</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30308</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助学金</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30228</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工会经费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31203</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政府投资基金股权投资</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30309</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奖励金</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福利费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31204</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费用补贴</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30310</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个人农业生产补贴</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30231</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31205</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利息补贴</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30311</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代缴社会保险费</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30239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其他交通费用</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31299</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其他对企业补助</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30399</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其他对个人和家庭的补助</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30240</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税金及附加费用</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其他支出</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30299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其他商品和服务支出</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39907</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国家赔偿费用支出</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39908</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对民间非营利组织和群众性自治组织补贴</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39909</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经常性赠与</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39910</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资本性赠与</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39999</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其他支出</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1225" w:type="pct"/>
            <w:gridSpan w:val="2"/>
            <w:tcBorders>
              <w:top w:val="single" w:color="auto" w:sz="4" w:space="0"/>
              <w:left w:val="single" w:color="auto" w:sz="4" w:space="0"/>
              <w:bottom w:val="single" w:color="auto" w:sz="4" w:space="0"/>
              <w:right w:val="single" w:color="auto" w:sz="4" w:space="0"/>
            </w:tcBorders>
            <w:noWrap/>
            <w:vAlign w:val="center"/>
          </w:tcPr>
          <w:p>
            <w:pPr>
              <w:jc w:val="center"/>
              <w:rPr>
                <w:rFonts w:hint="default" w:ascii="Times New Roman" w:hAnsi="Times New Roman" w:cs="Times New Roman" w:eastAsiaTheme="minorEastAsia"/>
                <w:sz w:val="18"/>
                <w:szCs w:val="18"/>
                <w:highlight w:val="none"/>
                <w:lang w:val="en-US" w:eastAsia="zh-CN"/>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人员经费合计</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sz w:val="18"/>
                <w:szCs w:val="18"/>
                <w:highlight w:val="none"/>
              </w:rPr>
            </w:pPr>
            <w:r>
              <w:rPr>
                <w:rFonts w:hint="default" w:ascii="Times New Roman" w:hAnsi="Times New Roman" w:cs="Times New Roman" w:eastAsiaTheme="minorEastAsia"/>
                <w:sz w:val="18"/>
                <w:szCs w:val="18"/>
                <w:highlight w:val="none"/>
              </w:rPr>
              <w:t>5,177.70</w:t>
            </w:r>
          </w:p>
        </w:tc>
        <w:tc>
          <w:tcPr>
            <w:tcW w:w="2875" w:type="pct"/>
            <w:gridSpan w:val="7"/>
            <w:tcBorders>
              <w:top w:val="single" w:color="auto" w:sz="4" w:space="0"/>
              <w:left w:val="single" w:color="auto" w:sz="4" w:space="0"/>
              <w:bottom w:val="single" w:color="auto" w:sz="4" w:space="0"/>
              <w:right w:val="single" w:color="auto" w:sz="4" w:space="0"/>
            </w:tcBorders>
            <w:noWrap/>
            <w:vAlign w:val="center"/>
          </w:tcPr>
          <w:p>
            <w:pPr>
              <w:jc w:val="cente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公用经费合计</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5000" w:type="pct"/>
            <w:gridSpan w:val="11"/>
            <w:tcBorders>
              <w:top w:val="single" w:color="auto" w:sz="4" w:space="0"/>
              <w:left w:val="nil"/>
              <w:bottom w:val="nil"/>
              <w:right w:val="nil"/>
            </w:tcBorders>
            <w:noWrap/>
            <w:vAlign w:val="center"/>
          </w:tcPr>
          <w:p>
            <w:pPr>
              <w:keepNext w:val="0"/>
              <w:keepLines w:val="0"/>
              <w:widowControl/>
              <w:suppressLineNumbers w:val="0"/>
              <w:jc w:val="left"/>
              <w:textAlignment w:val="cente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注：本表反映部门本年度一般公共预算财政拨款基本支出明细情况。</w:t>
            </w:r>
          </w:p>
        </w:tc>
      </w:tr>
    </w:tbl>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3"/>
        <w:tblW w:w="6517" w:type="pct"/>
        <w:tblInd w:w="-1404"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260"/>
        <w:gridCol w:w="1474"/>
        <w:gridCol w:w="1306"/>
        <w:gridCol w:w="1027"/>
        <w:gridCol w:w="1107"/>
        <w:gridCol w:w="418"/>
        <w:gridCol w:w="702"/>
        <w:gridCol w:w="1146"/>
        <w:gridCol w:w="204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9"/>
            <w:tcBorders>
              <w:top w:val="nil"/>
              <w:left w:val="nil"/>
              <w:bottom w:val="nil"/>
              <w:right w:val="nil"/>
            </w:tcBorders>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政府性基金预算财政拨款收入支出决算表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5000" w:type="pct"/>
            <w:gridSpan w:val="9"/>
            <w:tcBorders>
              <w:top w:val="nil"/>
              <w:left w:val="nil"/>
              <w:bottom w:val="nil"/>
              <w:right w:val="nil"/>
            </w:tcBorders>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宋体" w:cs="Times New Roman"/>
                <w:i w:val="0"/>
                <w:iCs w:val="0"/>
                <w:color w:val="000000"/>
                <w:kern w:val="0"/>
                <w:sz w:val="20"/>
                <w:szCs w:val="20"/>
                <w:highlight w:val="none"/>
                <w:u w:val="none"/>
                <w:lang w:val="en-US" w:eastAsia="zh-CN" w:bidi="ar"/>
              </w:rPr>
              <w:t>07</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1927" w:type="pct"/>
            <w:gridSpan w:val="3"/>
            <w:tcBorders>
              <w:top w:val="nil"/>
              <w:left w:val="nil"/>
              <w:bottom w:val="single" w:color="auto" w:sz="4" w:space="0"/>
              <w:right w:val="nil"/>
            </w:tcBorders>
            <w:noWrap/>
            <w:vAlign w:val="bottom"/>
          </w:tcPr>
          <w:p>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部门（单位）：石家庄广播电视台(本级) </w:t>
            </w:r>
            <w:r>
              <w:rPr>
                <w:rFonts w:hint="eastAsia" w:ascii="宋体" w:hAnsi="宋体" w:eastAsia="宋体" w:cs="宋体"/>
                <w:i w:val="0"/>
                <w:iCs w:val="0"/>
                <w:color w:val="000000"/>
                <w:kern w:val="0"/>
                <w:sz w:val="20"/>
                <w:szCs w:val="20"/>
                <w:highlight w:val="none"/>
                <w:u w:val="none"/>
                <w:lang w:val="en-US" w:eastAsia="zh-CN" w:bidi="ar"/>
              </w:rPr>
              <w:t xml:space="preserve">                                                                                     </w:t>
            </w:r>
          </w:p>
        </w:tc>
        <w:tc>
          <w:tcPr>
            <w:tcW w:w="1217" w:type="pct"/>
            <w:gridSpan w:val="3"/>
            <w:tcBorders>
              <w:top w:val="nil"/>
              <w:left w:val="nil"/>
              <w:bottom w:val="single" w:color="auto" w:sz="4" w:space="0"/>
              <w:right w:val="nil"/>
            </w:tcBorders>
            <w:noWrap/>
            <w:vAlign w:val="bottom"/>
          </w:tcPr>
          <w:p>
            <w:pPr>
              <w:keepNext w:val="0"/>
              <w:keepLines w:val="0"/>
              <w:widowControl/>
              <w:suppressLineNumbers w:val="0"/>
              <w:jc w:val="center"/>
              <w:textAlignment w:val="bottom"/>
              <w:rPr>
                <w:rFonts w:hint="default" w:ascii="宋体" w:hAnsi="宋体" w:eastAsia="宋体" w:cs="宋体"/>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202</w:t>
            </w:r>
            <w:r>
              <w:rPr>
                <w:rFonts w:hint="eastAsia" w:ascii="Times New Roman" w:hAnsi="Times New Roman" w:eastAsia="宋体"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854" w:type="pct"/>
            <w:gridSpan w:val="3"/>
            <w:tcBorders>
              <w:top w:val="nil"/>
              <w:left w:val="nil"/>
              <w:bottom w:val="single" w:color="auto" w:sz="4" w:space="0"/>
              <w:right w:val="nil"/>
            </w:tcBorders>
            <w:noWrap/>
            <w:vAlign w:val="bottom"/>
          </w:tcPr>
          <w:p>
            <w:pPr>
              <w:keepNext w:val="0"/>
              <w:keepLines w:val="0"/>
              <w:widowControl/>
              <w:suppressLineNumbers w:val="0"/>
              <w:jc w:val="right"/>
              <w:textAlignment w:val="bottom"/>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304" w:type="pct"/>
            <w:gridSpan w:val="2"/>
            <w:tcBorders>
              <w:top w:val="single" w:color="auto"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623" w:type="pct"/>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年初结转和结余</w:t>
            </w:r>
          </w:p>
        </w:tc>
        <w:tc>
          <w:tcPr>
            <w:tcW w:w="489" w:type="pct"/>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本年收入</w:t>
            </w:r>
          </w:p>
        </w:tc>
        <w:tc>
          <w:tcPr>
            <w:tcW w:w="1609" w:type="pct"/>
            <w:gridSpan w:val="4"/>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w:t>
            </w:r>
          </w:p>
        </w:tc>
        <w:tc>
          <w:tcPr>
            <w:tcW w:w="973" w:type="pct"/>
            <w:vMerge w:val="restart"/>
            <w:tcBorders>
              <w:top w:val="single" w:color="auto" w:sz="4" w:space="0"/>
              <w:left w:val="nil"/>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年末结转和结余</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01" w:type="pct"/>
            <w:vMerge w:val="restart"/>
            <w:tcBorders>
              <w:top w:val="nil"/>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703" w:type="pct"/>
            <w:vMerge w:val="restar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623"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489"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28" w:type="pct"/>
            <w:vMerge w:val="restar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小计</w:t>
            </w:r>
          </w:p>
        </w:tc>
        <w:tc>
          <w:tcPr>
            <w:tcW w:w="534" w:type="pct"/>
            <w:gridSpan w:val="2"/>
            <w:vMerge w:val="restar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546" w:type="pct"/>
            <w:vMerge w:val="restar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c>
          <w:tcPr>
            <w:tcW w:w="973" w:type="pct"/>
            <w:vMerge w:val="continue"/>
            <w:tcBorders>
              <w:left w:val="nil"/>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结转</w:t>
            </w:r>
          </w:p>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结余</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01" w:type="pct"/>
            <w:vMerge w:val="continue"/>
            <w:tcBorders>
              <w:top w:val="nil"/>
              <w:left w:val="single" w:color="000000" w:sz="4" w:space="0"/>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703" w:type="pct"/>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623"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489"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28" w:type="pct"/>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34" w:type="pct"/>
            <w:gridSpan w:val="2"/>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46" w:type="pct"/>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973" w:type="pct"/>
            <w:vMerge w:val="continue"/>
            <w:tcBorders>
              <w:left w:val="nil"/>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01" w:type="pct"/>
            <w:vMerge w:val="continue"/>
            <w:tcBorders>
              <w:top w:val="nil"/>
              <w:left w:val="single" w:color="000000" w:sz="4" w:space="0"/>
              <w:bottom w:val="single" w:color="auto"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703" w:type="pct"/>
            <w:vMerge w:val="continue"/>
            <w:tcBorders>
              <w:top w:val="nil"/>
              <w:left w:val="nil"/>
              <w:bottom w:val="single" w:color="auto"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623"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489"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28" w:type="pct"/>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34" w:type="pct"/>
            <w:gridSpan w:val="2"/>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46" w:type="pct"/>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973" w:type="pct"/>
            <w:vMerge w:val="continue"/>
            <w:tcBorders>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304" w:type="pct"/>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623" w:type="pct"/>
            <w:tcBorders>
              <w:top w:val="nil"/>
              <w:left w:val="single" w:color="auto"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1</w:t>
            </w:r>
          </w:p>
        </w:tc>
        <w:tc>
          <w:tcPr>
            <w:tcW w:w="489"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2</w:t>
            </w:r>
          </w:p>
        </w:tc>
        <w:tc>
          <w:tcPr>
            <w:tcW w:w="528"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3</w:t>
            </w:r>
          </w:p>
        </w:tc>
        <w:tc>
          <w:tcPr>
            <w:tcW w:w="534"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4</w:t>
            </w:r>
          </w:p>
        </w:tc>
        <w:tc>
          <w:tcPr>
            <w:tcW w:w="54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5</w:t>
            </w:r>
          </w:p>
        </w:tc>
        <w:tc>
          <w:tcPr>
            <w:tcW w:w="973"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lang w:val="en-US" w:eastAsia="zh-CN"/>
              </w:rPr>
            </w:pPr>
            <w:r>
              <w:rPr>
                <w:rFonts w:hint="default" w:ascii="Times New Roman" w:hAnsi="Times New Roman" w:eastAsia="方正仿宋_GB2312" w:cs="Times New Roman"/>
                <w:i w:val="0"/>
                <w:iCs w:val="0"/>
                <w:color w:val="000000"/>
                <w:sz w:val="20"/>
                <w:szCs w:val="20"/>
                <w:highlight w:val="none"/>
                <w:u w:val="none"/>
                <w:lang w:val="en-US" w:eastAsia="zh-CN"/>
              </w:rPr>
              <w:t>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9" w:hRule="atLeast"/>
        </w:trPr>
        <w:tc>
          <w:tcPr>
            <w:tcW w:w="1304" w:type="pct"/>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623" w:type="pct"/>
            <w:tcBorders>
              <w:top w:val="nil"/>
              <w:left w:val="single" w:color="auto" w:sz="4" w:space="0"/>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48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136.81</w:t>
            </w:r>
          </w:p>
        </w:tc>
        <w:tc>
          <w:tcPr>
            <w:tcW w:w="528"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136.81</w:t>
            </w:r>
          </w:p>
        </w:tc>
        <w:tc>
          <w:tcPr>
            <w:tcW w:w="534"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4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136.81</w:t>
            </w:r>
          </w:p>
        </w:tc>
        <w:tc>
          <w:tcPr>
            <w:tcW w:w="97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01"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232</w:t>
            </w:r>
          </w:p>
        </w:tc>
        <w:tc>
          <w:tcPr>
            <w:tcW w:w="703"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债务付息支出</w:t>
            </w:r>
          </w:p>
        </w:tc>
        <w:tc>
          <w:tcPr>
            <w:tcW w:w="62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48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136.81</w:t>
            </w:r>
          </w:p>
        </w:tc>
        <w:tc>
          <w:tcPr>
            <w:tcW w:w="528"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136.81</w:t>
            </w:r>
          </w:p>
        </w:tc>
        <w:tc>
          <w:tcPr>
            <w:tcW w:w="534"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4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136.81</w:t>
            </w:r>
          </w:p>
        </w:tc>
        <w:tc>
          <w:tcPr>
            <w:tcW w:w="97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01"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23204</w:t>
            </w:r>
          </w:p>
        </w:tc>
        <w:tc>
          <w:tcPr>
            <w:tcW w:w="703"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地方政府专项债务付息支出</w:t>
            </w:r>
          </w:p>
        </w:tc>
        <w:tc>
          <w:tcPr>
            <w:tcW w:w="62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48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136.81</w:t>
            </w:r>
          </w:p>
        </w:tc>
        <w:tc>
          <w:tcPr>
            <w:tcW w:w="528"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136.81</w:t>
            </w:r>
          </w:p>
        </w:tc>
        <w:tc>
          <w:tcPr>
            <w:tcW w:w="534"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4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136.81</w:t>
            </w:r>
          </w:p>
        </w:tc>
        <w:tc>
          <w:tcPr>
            <w:tcW w:w="97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01"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2320498</w:t>
            </w:r>
          </w:p>
        </w:tc>
        <w:tc>
          <w:tcPr>
            <w:tcW w:w="703"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其他地方自行试点项目收益专项债券付息支出</w:t>
            </w:r>
          </w:p>
        </w:tc>
        <w:tc>
          <w:tcPr>
            <w:tcW w:w="62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48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136.81</w:t>
            </w:r>
          </w:p>
        </w:tc>
        <w:tc>
          <w:tcPr>
            <w:tcW w:w="528"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136.81</w:t>
            </w:r>
          </w:p>
        </w:tc>
        <w:tc>
          <w:tcPr>
            <w:tcW w:w="534"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4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136.81</w:t>
            </w:r>
          </w:p>
        </w:tc>
        <w:tc>
          <w:tcPr>
            <w:tcW w:w="97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9"/>
            <w:tcBorders>
              <w:top w:val="nil"/>
              <w:left w:val="nil"/>
              <w:bottom w:val="nil"/>
              <w:right w:val="nil"/>
            </w:tcBorders>
            <w:noWrap/>
            <w:vAlign w:val="center"/>
          </w:tcPr>
          <w:p>
            <w:pP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注：本表反映部门本年度政府性基金预算财政拨款收入、支出及结转和结余情况。</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br w:type="page"/>
            </w:r>
          </w:p>
        </w:tc>
      </w:tr>
    </w:tbl>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3"/>
        <w:tblW w:w="5863" w:type="pct"/>
        <w:tblInd w:w="-976"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2993"/>
        <w:gridCol w:w="731"/>
        <w:gridCol w:w="1296"/>
        <w:gridCol w:w="1332"/>
        <w:gridCol w:w="5"/>
        <w:gridCol w:w="47"/>
        <w:gridCol w:w="1281"/>
        <w:gridCol w:w="10"/>
        <w:gridCol w:w="1733"/>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9"/>
            <w:tcBorders>
              <w:top w:val="nil"/>
              <w:left w:val="nil"/>
              <w:bottom w:val="nil"/>
              <w:right w:val="nil"/>
            </w:tcBorders>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国有资本经营预算财政拨款支出决算表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000" w:type="pct"/>
            <w:gridSpan w:val="9"/>
            <w:tcBorders>
              <w:top w:val="nil"/>
              <w:left w:val="nil"/>
              <w:bottom w:val="nil"/>
              <w:right w:val="nil"/>
            </w:tcBorders>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方正仿宋_GB2312" w:cs="Times New Roman"/>
                <w:i w:val="0"/>
                <w:iCs w:val="0"/>
                <w:color w:val="000000"/>
                <w:kern w:val="0"/>
                <w:sz w:val="20"/>
                <w:szCs w:val="20"/>
                <w:highlight w:val="none"/>
                <w:u w:val="none"/>
                <w:lang w:val="en-US" w:eastAsia="zh-CN" w:bidi="ar"/>
              </w:rPr>
              <w:t>08</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1974" w:type="pct"/>
            <w:gridSpan w:val="2"/>
            <w:tcBorders>
              <w:top w:val="nil"/>
              <w:left w:val="nil"/>
              <w:bottom w:val="single" w:color="auto" w:sz="4" w:space="0"/>
              <w:right w:val="nil"/>
            </w:tcBorders>
            <w:noWrap/>
            <w:vAlign w:val="bottom"/>
          </w:tcPr>
          <w:p>
            <w:pPr>
              <w:keepNext w:val="0"/>
              <w:keepLines w:val="0"/>
              <w:widowControl/>
              <w:suppressLineNumbers w:val="0"/>
              <w:jc w:val="both"/>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部门（单位）：石家庄广播电视台(本级)</w:t>
            </w:r>
          </w:p>
        </w:tc>
        <w:tc>
          <w:tcPr>
            <w:tcW w:w="1421" w:type="pct"/>
            <w:gridSpan w:val="4"/>
            <w:tcBorders>
              <w:top w:val="nil"/>
              <w:left w:val="nil"/>
              <w:bottom w:val="single" w:color="auto" w:sz="4" w:space="0"/>
              <w:right w:val="nil"/>
            </w:tcBorders>
            <w:noWrap/>
            <w:vAlign w:val="bottom"/>
          </w:tcPr>
          <w:p>
            <w:pPr>
              <w:keepNext w:val="0"/>
              <w:keepLines w:val="0"/>
              <w:widowControl/>
              <w:suppressLineNumbers w:val="0"/>
              <w:jc w:val="center"/>
              <w:textAlignment w:val="bottom"/>
              <w:rPr>
                <w:rFonts w:hint="default" w:ascii="宋体" w:hAnsi="宋体" w:eastAsia="宋体" w:cs="宋体"/>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202</w:t>
            </w:r>
            <w:r>
              <w:rPr>
                <w:rFonts w:hint="eastAsia" w:ascii="Times New Roman" w:hAnsi="Times New Roman" w:eastAsia="宋体"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603" w:type="pct"/>
            <w:gridSpan w:val="3"/>
            <w:tcBorders>
              <w:top w:val="nil"/>
              <w:left w:val="nil"/>
              <w:bottom w:val="single" w:color="auto" w:sz="4" w:space="0"/>
              <w:right w:val="nil"/>
            </w:tcBorders>
            <w:noWrap/>
            <w:vAlign w:val="bottom"/>
          </w:tcPr>
          <w:p>
            <w:pPr>
              <w:keepNext w:val="0"/>
              <w:keepLines w:val="0"/>
              <w:widowControl/>
              <w:suppressLineNumbers w:val="0"/>
              <w:jc w:val="right"/>
              <w:textAlignment w:val="bottom"/>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2662" w:type="pct"/>
            <w:gridSpan w:val="3"/>
            <w:vMerge w:val="restart"/>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项目</w:t>
            </w:r>
          </w:p>
        </w:tc>
        <w:tc>
          <w:tcPr>
            <w:tcW w:w="2337" w:type="pct"/>
            <w:gridSpan w:val="6"/>
            <w:vMerge w:val="restart"/>
            <w:tcBorders>
              <w:top w:val="single" w:color="auto" w:sz="4" w:space="0"/>
              <w:left w:val="single" w:color="auto" w:sz="4" w:space="0"/>
              <w:right w:val="single" w:color="000000" w:sz="4" w:space="0"/>
            </w:tcBorders>
            <w:noWrap w:val="0"/>
            <w:vAlign w:val="center"/>
          </w:tcPr>
          <w:p>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本年支出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2662" w:type="pct"/>
            <w:gridSpan w:val="3"/>
            <w:vMerge w:val="continue"/>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2337" w:type="pct"/>
            <w:gridSpan w:val="6"/>
            <w:vMerge w:val="continue"/>
            <w:tcBorders>
              <w:left w:val="single" w:color="auto"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587" w:type="pct"/>
            <w:vMerge w:val="restart"/>
            <w:tcBorders>
              <w:top w:val="single" w:color="auto" w:sz="4" w:space="0"/>
              <w:left w:val="single" w:color="auto" w:sz="4" w:space="0"/>
              <w:bottom w:val="single" w:color="auto" w:sz="4" w:space="0"/>
              <w:right w:val="single" w:color="auto" w:sz="4" w:space="0"/>
            </w:tcBorders>
            <w:noWrap w:val="0"/>
            <w:vAlign w:val="center"/>
          </w:tcPr>
          <w:p>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1074" w:type="pct"/>
            <w:gridSpan w:val="2"/>
            <w:vMerge w:val="restart"/>
            <w:tcBorders>
              <w:top w:val="single" w:color="auto" w:sz="4" w:space="0"/>
              <w:left w:val="single" w:color="auto" w:sz="4" w:space="0"/>
              <w:bottom w:val="single" w:color="auto" w:sz="4" w:space="0"/>
              <w:right w:val="single" w:color="auto" w:sz="4" w:space="0"/>
            </w:tcBorders>
            <w:noWrap w:val="0"/>
            <w:vAlign w:val="center"/>
          </w:tcPr>
          <w:p>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科目名称</w:t>
            </w:r>
          </w:p>
        </w:tc>
        <w:tc>
          <w:tcPr>
            <w:tcW w:w="709" w:type="pct"/>
            <w:gridSpan w:val="2"/>
            <w:vMerge w:val="restart"/>
            <w:tcBorders>
              <w:top w:val="nil"/>
              <w:left w:val="single" w:color="auto"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合计</w:t>
            </w:r>
          </w:p>
        </w:tc>
        <w:tc>
          <w:tcPr>
            <w:tcW w:w="709" w:type="pct"/>
            <w:gridSpan w:val="3"/>
            <w:vMerge w:val="restart"/>
            <w:tcBorders>
              <w:top w:val="nil"/>
              <w:left w:val="nil"/>
              <w:right w:val="single" w:color="000000" w:sz="4" w:space="0"/>
            </w:tcBorders>
            <w:noWrap w:val="0"/>
            <w:vAlign w:val="center"/>
          </w:tcPr>
          <w:p>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基本支出</w:t>
            </w:r>
          </w:p>
        </w:tc>
        <w:tc>
          <w:tcPr>
            <w:tcW w:w="919" w:type="pct"/>
            <w:vMerge w:val="restart"/>
            <w:tcBorders>
              <w:top w:val="nil"/>
              <w:left w:val="nil"/>
              <w:right w:val="single" w:color="000000" w:sz="4" w:space="0"/>
            </w:tcBorders>
            <w:noWrap w:val="0"/>
            <w:vAlign w:val="center"/>
          </w:tcPr>
          <w:p>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项目支出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587" w:type="pct"/>
            <w:vMerge w:val="continue"/>
            <w:tcBorders>
              <w:top w:val="single" w:color="auto" w:sz="4" w:space="0"/>
              <w:left w:val="single" w:color="auto" w:sz="4" w:space="0"/>
              <w:bottom w:val="single" w:color="auto"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74" w:type="pct"/>
            <w:gridSpan w:val="2"/>
            <w:vMerge w:val="continue"/>
            <w:tcBorders>
              <w:top w:val="single" w:color="auto" w:sz="4" w:space="0"/>
              <w:left w:val="nil"/>
              <w:bottom w:val="single" w:color="auto" w:sz="4" w:space="0"/>
              <w:right w:val="single" w:color="auto"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709" w:type="pct"/>
            <w:gridSpan w:val="2"/>
            <w:vMerge w:val="continue"/>
            <w:tcBorders>
              <w:left w:val="single" w:color="auto" w:sz="4" w:space="0"/>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709" w:type="pct"/>
            <w:gridSpan w:val="3"/>
            <w:vMerge w:val="continue"/>
            <w:tcBorders>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919" w:type="pct"/>
            <w:vMerge w:val="continue"/>
            <w:tcBorders>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2662" w:type="pct"/>
            <w:gridSpan w:val="3"/>
            <w:tcBorders>
              <w:top w:val="single" w:color="auto" w:sz="4" w:space="0"/>
              <w:left w:val="single" w:color="auto" w:sz="4" w:space="0"/>
              <w:bottom w:val="single" w:color="000000" w:sz="4" w:space="0"/>
              <w:right w:val="single" w:color="auto" w:sz="4" w:space="0"/>
            </w:tcBorders>
            <w:noWrap/>
            <w:vAlign w:val="center"/>
          </w:tcPr>
          <w:p>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栏次</w:t>
            </w:r>
          </w:p>
        </w:tc>
        <w:tc>
          <w:tcPr>
            <w:tcW w:w="706" w:type="pct"/>
            <w:tcBorders>
              <w:top w:val="nil"/>
              <w:left w:val="single" w:color="auto"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1</w:t>
            </w:r>
          </w:p>
        </w:tc>
        <w:tc>
          <w:tcPr>
            <w:tcW w:w="706" w:type="pct"/>
            <w:gridSpan w:val="3"/>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2</w:t>
            </w:r>
          </w:p>
        </w:tc>
        <w:tc>
          <w:tcPr>
            <w:tcW w:w="924"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2662" w:type="pct"/>
            <w:gridSpan w:val="3"/>
            <w:tcBorders>
              <w:top w:val="single" w:color="000000" w:sz="4" w:space="0"/>
              <w:left w:val="single" w:color="000000" w:sz="4" w:space="0"/>
              <w:bottom w:val="single" w:color="000000" w:sz="4" w:space="0"/>
              <w:right w:val="single" w:color="000000" w:sz="4" w:space="0"/>
            </w:tcBorders>
            <w:noWrap/>
            <w:vAlign w:val="center"/>
          </w:tcPr>
          <w:p>
            <w:pPr>
              <w:jc w:val="center"/>
              <w:rPr>
                <w:rFonts w:hint="default" w:ascii="Times New Roman" w:hAnsi="Times New Roman" w:eastAsia="宋体"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合计</w:t>
            </w:r>
          </w:p>
        </w:tc>
        <w:tc>
          <w:tcPr>
            <w:tcW w:w="706" w:type="pct"/>
            <w:tcBorders>
              <w:top w:val="single" w:color="000000" w:sz="4" w:space="0"/>
              <w:left w:val="single" w:color="000000" w:sz="4" w:space="0"/>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06" w:type="pct"/>
            <w:gridSpan w:val="3"/>
            <w:tcBorders>
              <w:top w:val="single" w:color="000000" w:sz="4" w:space="0"/>
              <w:left w:val="single" w:color="000000" w:sz="4" w:space="0"/>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924" w:type="pct"/>
            <w:gridSpan w:val="2"/>
            <w:tcBorders>
              <w:top w:val="single" w:color="000000" w:sz="4" w:space="0"/>
              <w:left w:val="single" w:color="000000" w:sz="4" w:space="0"/>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9"/>
            <w:tcBorders>
              <w:top w:val="nil"/>
              <w:left w:val="nil"/>
              <w:bottom w:val="nil"/>
              <w:right w:val="nil"/>
            </w:tcBorders>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注：本表反映部门本年度国有资本经营预算财政拨款支出情况。（如无相关数据，则需注明空表列示）</w:t>
            </w:r>
          </w:p>
        </w:tc>
      </w:tr>
    </w:tbl>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3"/>
        <w:tblpPr w:leftFromText="180" w:rightFromText="180" w:vertAnchor="text" w:horzAnchor="page" w:tblpX="282" w:tblpY="39"/>
        <w:tblOverlap w:val="never"/>
        <w:tblW w:w="7211"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987"/>
        <w:gridCol w:w="1226"/>
        <w:gridCol w:w="814"/>
        <w:gridCol w:w="946"/>
        <w:gridCol w:w="519"/>
        <w:gridCol w:w="544"/>
        <w:gridCol w:w="777"/>
        <w:gridCol w:w="845"/>
        <w:gridCol w:w="5"/>
        <w:gridCol w:w="1133"/>
        <w:gridCol w:w="640"/>
        <w:gridCol w:w="1027"/>
        <w:gridCol w:w="946"/>
        <w:gridCol w:w="1187"/>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14"/>
            <w:tcBorders>
              <w:top w:val="nil"/>
              <w:left w:val="nil"/>
              <w:bottom w:val="nil"/>
              <w:right w:val="nil"/>
            </w:tcBorders>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财政拨款“三公”经费支出决算表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60" w:hRule="atLeast"/>
        </w:trPr>
        <w:tc>
          <w:tcPr>
            <w:tcW w:w="5000" w:type="pct"/>
            <w:gridSpan w:val="14"/>
            <w:tcBorders>
              <w:top w:val="nil"/>
              <w:left w:val="nil"/>
              <w:bottom w:val="nil"/>
              <w:right w:val="nil"/>
            </w:tcBorders>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公开</w:t>
            </w:r>
            <w:r>
              <w:rPr>
                <w:rFonts w:hint="default" w:ascii="Times New Roman" w:hAnsi="Times New Roman" w:eastAsia="方正仿宋_GB2312" w:cs="Times New Roman"/>
                <w:i w:val="0"/>
                <w:iCs w:val="0"/>
                <w:color w:val="000000"/>
                <w:kern w:val="0"/>
                <w:sz w:val="18"/>
                <w:szCs w:val="18"/>
                <w:highlight w:val="none"/>
                <w:u w:val="none"/>
                <w:lang w:val="en-US" w:eastAsia="zh-CN" w:bidi="ar"/>
              </w:rPr>
              <w:t>09</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60" w:hRule="atLeast"/>
        </w:trPr>
        <w:tc>
          <w:tcPr>
            <w:tcW w:w="1936" w:type="pct"/>
            <w:gridSpan w:val="5"/>
            <w:tcBorders>
              <w:top w:val="nil"/>
              <w:left w:val="nil"/>
              <w:bottom w:val="single" w:color="auto" w:sz="4" w:space="0"/>
              <w:right w:val="nil"/>
            </w:tcBorders>
            <w:noWrap/>
            <w:vAlign w:val="bottom"/>
          </w:tcPr>
          <w:p>
            <w:pPr>
              <w:keepNext w:val="0"/>
              <w:keepLines w:val="0"/>
              <w:widowControl/>
              <w:suppressLineNumbers w:val="0"/>
              <w:jc w:val="left"/>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部门（单位）：石家庄广播电视台(本级)</w:t>
            </w:r>
          </w:p>
        </w:tc>
        <w:tc>
          <w:tcPr>
            <w:tcW w:w="933" w:type="pct"/>
            <w:gridSpan w:val="3"/>
            <w:tcBorders>
              <w:top w:val="nil"/>
              <w:left w:val="nil"/>
              <w:bottom w:val="single" w:color="auto" w:sz="4" w:space="0"/>
              <w:right w:val="nil"/>
            </w:tcBorders>
            <w:noWrap/>
            <w:vAlign w:val="bottom"/>
          </w:tcPr>
          <w:p>
            <w:pPr>
              <w:keepNext w:val="0"/>
              <w:keepLines w:val="0"/>
              <w:widowControl/>
              <w:suppressLineNumbers w:val="0"/>
              <w:jc w:val="center"/>
              <w:textAlignment w:val="bottom"/>
              <w:rPr>
                <w:rFonts w:hint="default" w:ascii="宋体" w:hAnsi="宋体" w:eastAsia="宋体" w:cs="宋体"/>
                <w:i w:val="0"/>
                <w:iCs w:val="0"/>
                <w:color w:val="000000"/>
                <w:kern w:val="0"/>
                <w:sz w:val="18"/>
                <w:szCs w:val="18"/>
                <w:highlight w:val="none"/>
                <w:u w:val="none"/>
                <w:lang w:val="en-US" w:eastAsia="zh-CN" w:bidi="ar"/>
              </w:rPr>
            </w:pPr>
            <w:r>
              <w:rPr>
                <w:rFonts w:hint="default" w:ascii="Times New Roman" w:hAnsi="Times New Roman" w:eastAsia="宋体" w:cs="Times New Roman"/>
                <w:i w:val="0"/>
                <w:iCs w:val="0"/>
                <w:color w:val="000000"/>
                <w:kern w:val="0"/>
                <w:sz w:val="18"/>
                <w:szCs w:val="18"/>
                <w:highlight w:val="none"/>
                <w:u w:val="none"/>
                <w:lang w:val="en-US" w:eastAsia="zh-CN" w:bidi="ar"/>
              </w:rPr>
              <w:t>202</w:t>
            </w:r>
            <w:r>
              <w:rPr>
                <w:rFonts w:hint="eastAsia" w:ascii="Times New Roman" w:hAnsi="Times New Roman" w:eastAsia="宋体" w:cs="Times New Roman"/>
                <w:i w:val="0"/>
                <w:iCs w:val="0"/>
                <w:color w:val="000000"/>
                <w:kern w:val="0"/>
                <w:sz w:val="18"/>
                <w:szCs w:val="18"/>
                <w:highlight w:val="none"/>
                <w:u w:val="none"/>
                <w:lang w:val="en-US" w:eastAsia="zh-CN" w:bidi="ar"/>
              </w:rPr>
              <w:t>4</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年度</w:t>
            </w:r>
          </w:p>
        </w:tc>
        <w:tc>
          <w:tcPr>
            <w:tcW w:w="2129" w:type="pct"/>
            <w:gridSpan w:val="6"/>
            <w:tcBorders>
              <w:top w:val="nil"/>
              <w:left w:val="nil"/>
              <w:bottom w:val="single" w:color="auto" w:sz="4" w:space="0"/>
              <w:right w:val="nil"/>
            </w:tcBorders>
            <w:noWrap/>
            <w:vAlign w:val="bottom"/>
          </w:tcPr>
          <w:p>
            <w:pPr>
              <w:keepNext w:val="0"/>
              <w:keepLines w:val="0"/>
              <w:widowControl/>
              <w:suppressLineNumbers w:val="0"/>
              <w:jc w:val="right"/>
              <w:textAlignment w:val="bottom"/>
              <w:rPr>
                <w:rFonts w:hint="default" w:ascii="宋体" w:hAnsi="宋体" w:eastAsia="宋体" w:cs="宋体"/>
                <w:i w:val="0"/>
                <w:iCs w:val="0"/>
                <w:color w:val="000000"/>
                <w:kern w:val="0"/>
                <w:sz w:val="18"/>
                <w:szCs w:val="18"/>
                <w:highlight w:val="none"/>
                <w:u w:val="none"/>
                <w:lang w:val="en-US" w:eastAsia="zh-CN" w:bidi="ar"/>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2506" w:type="pct"/>
            <w:gridSpan w:val="7"/>
            <w:tcBorders>
              <w:top w:val="single" w:color="auto"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预算数</w:t>
            </w:r>
          </w:p>
        </w:tc>
        <w:tc>
          <w:tcPr>
            <w:tcW w:w="2493" w:type="pct"/>
            <w:gridSpan w:val="7"/>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决算数</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vMerge w:val="restar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合计</w:t>
            </w:r>
          </w:p>
        </w:tc>
        <w:tc>
          <w:tcPr>
            <w:tcW w:w="528" w:type="pct"/>
            <w:vMerge w:val="restar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w:t>
            </w:r>
          </w:p>
        </w:tc>
        <w:tc>
          <w:tcPr>
            <w:tcW w:w="1217" w:type="pct"/>
            <w:gridSpan w:val="4"/>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公务用车购置及运行维护费</w:t>
            </w:r>
          </w:p>
        </w:tc>
        <w:tc>
          <w:tcPr>
            <w:tcW w:w="335" w:type="pct"/>
            <w:vMerge w:val="restar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c>
          <w:tcPr>
            <w:tcW w:w="366" w:type="pct"/>
            <w:gridSpan w:val="2"/>
            <w:vMerge w:val="restar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合计</w:t>
            </w:r>
          </w:p>
        </w:tc>
        <w:tc>
          <w:tcPr>
            <w:tcW w:w="488" w:type="pct"/>
            <w:vMerge w:val="restar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w:t>
            </w:r>
          </w:p>
        </w:tc>
        <w:tc>
          <w:tcPr>
            <w:tcW w:w="1126" w:type="pct"/>
            <w:gridSpan w:val="3"/>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公务用车购置及运行维护费</w:t>
            </w:r>
          </w:p>
        </w:tc>
        <w:tc>
          <w:tcPr>
            <w:tcW w:w="511" w:type="pct"/>
            <w:vMerge w:val="restar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vMerge w:val="continue"/>
            <w:tcBorders>
              <w:top w:val="nil"/>
              <w:left w:val="single" w:color="000000" w:sz="4" w:space="0"/>
              <w:bottom w:val="single" w:color="000000" w:sz="4" w:space="0"/>
              <w:right w:val="single" w:color="000000" w:sz="4" w:space="0"/>
            </w:tcBorders>
            <w:noWrap/>
            <w:vAlign w:val="center"/>
          </w:tcPr>
          <w:p>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528" w:type="pct"/>
            <w:vMerge w:val="continue"/>
            <w:tcBorders>
              <w:top w:val="nil"/>
              <w:left w:val="nil"/>
              <w:bottom w:val="single" w:color="000000" w:sz="4" w:space="0"/>
              <w:right w:val="single" w:color="000000" w:sz="4" w:space="0"/>
            </w:tcBorders>
            <w:noWrap/>
            <w:vAlign w:val="center"/>
          </w:tcPr>
          <w:p>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350"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小计</w:t>
            </w:r>
          </w:p>
        </w:tc>
        <w:tc>
          <w:tcPr>
            <w:tcW w:w="40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公务用车购置费</w:t>
            </w:r>
          </w:p>
        </w:tc>
        <w:tc>
          <w:tcPr>
            <w:tcW w:w="458"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335" w:type="pct"/>
            <w:vMerge w:val="continue"/>
            <w:tcBorders>
              <w:top w:val="nil"/>
              <w:left w:val="nil"/>
              <w:bottom w:val="single" w:color="000000" w:sz="4" w:space="0"/>
              <w:right w:val="single" w:color="000000" w:sz="4" w:space="0"/>
            </w:tcBorders>
            <w:noWrap/>
            <w:vAlign w:val="center"/>
          </w:tcPr>
          <w:p>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366" w:type="pct"/>
            <w:gridSpan w:val="2"/>
            <w:vMerge w:val="continue"/>
            <w:tcBorders>
              <w:top w:val="nil"/>
              <w:left w:val="nil"/>
              <w:bottom w:val="single" w:color="000000" w:sz="4" w:space="0"/>
              <w:right w:val="single" w:color="000000" w:sz="4" w:space="0"/>
            </w:tcBorders>
            <w:noWrap/>
            <w:vAlign w:val="center"/>
          </w:tcPr>
          <w:p>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488" w:type="pct"/>
            <w:vMerge w:val="continue"/>
            <w:tcBorders>
              <w:top w:val="nil"/>
              <w:left w:val="nil"/>
              <w:bottom w:val="single" w:color="000000" w:sz="4" w:space="0"/>
              <w:right w:val="single" w:color="000000" w:sz="4" w:space="0"/>
            </w:tcBorders>
            <w:noWrap/>
            <w:vAlign w:val="center"/>
          </w:tcPr>
          <w:p>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275"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小计</w:t>
            </w:r>
          </w:p>
        </w:tc>
        <w:tc>
          <w:tcPr>
            <w:tcW w:w="442"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公务用车购置费</w:t>
            </w:r>
          </w:p>
        </w:tc>
        <w:tc>
          <w:tcPr>
            <w:tcW w:w="40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511" w:type="pct"/>
            <w:vMerge w:val="continue"/>
            <w:tcBorders>
              <w:top w:val="nil"/>
              <w:left w:val="nil"/>
              <w:bottom w:val="single" w:color="000000" w:sz="4" w:space="0"/>
              <w:right w:val="single" w:color="000000" w:sz="4" w:space="0"/>
            </w:tcBorders>
            <w:noWrap/>
            <w:vAlign w:val="center"/>
          </w:tcPr>
          <w:p>
            <w:pPr>
              <w:jc w:val="center"/>
              <w:rPr>
                <w:rFonts w:hint="eastAsia" w:ascii="方正仿宋_GB2312" w:hAnsi="方正仿宋_GB2312" w:eastAsia="方正仿宋_GB2312" w:cs="方正仿宋_GB2312"/>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w:t>
            </w:r>
          </w:p>
        </w:tc>
        <w:tc>
          <w:tcPr>
            <w:tcW w:w="528"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2</w:t>
            </w:r>
          </w:p>
        </w:tc>
        <w:tc>
          <w:tcPr>
            <w:tcW w:w="350"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3</w:t>
            </w:r>
          </w:p>
        </w:tc>
        <w:tc>
          <w:tcPr>
            <w:tcW w:w="40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4</w:t>
            </w:r>
          </w:p>
        </w:tc>
        <w:tc>
          <w:tcPr>
            <w:tcW w:w="458"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5</w:t>
            </w:r>
          </w:p>
        </w:tc>
        <w:tc>
          <w:tcPr>
            <w:tcW w:w="335"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6</w:t>
            </w:r>
          </w:p>
        </w:tc>
        <w:tc>
          <w:tcPr>
            <w:tcW w:w="366"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7</w:t>
            </w:r>
          </w:p>
        </w:tc>
        <w:tc>
          <w:tcPr>
            <w:tcW w:w="488"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8</w:t>
            </w:r>
          </w:p>
        </w:tc>
        <w:tc>
          <w:tcPr>
            <w:tcW w:w="275"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9</w:t>
            </w:r>
          </w:p>
        </w:tc>
        <w:tc>
          <w:tcPr>
            <w:tcW w:w="442"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10</w:t>
            </w:r>
          </w:p>
        </w:tc>
        <w:tc>
          <w:tcPr>
            <w:tcW w:w="40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11</w:t>
            </w:r>
          </w:p>
        </w:tc>
        <w:tc>
          <w:tcPr>
            <w:tcW w:w="511"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tcBorders>
              <w:top w:val="nil"/>
              <w:left w:val="single" w:color="000000" w:sz="4" w:space="0"/>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p>
        </w:tc>
        <w:tc>
          <w:tcPr>
            <w:tcW w:w="528"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p>
        </w:tc>
        <w:tc>
          <w:tcPr>
            <w:tcW w:w="35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p>
        </w:tc>
        <w:tc>
          <w:tcPr>
            <w:tcW w:w="407"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p>
        </w:tc>
        <w:tc>
          <w:tcPr>
            <w:tcW w:w="458"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p>
        </w:tc>
        <w:tc>
          <w:tcPr>
            <w:tcW w:w="33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p>
        </w:tc>
        <w:tc>
          <w:tcPr>
            <w:tcW w:w="36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p>
        </w:tc>
        <w:tc>
          <w:tcPr>
            <w:tcW w:w="488"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p>
        </w:tc>
        <w:tc>
          <w:tcPr>
            <w:tcW w:w="27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p>
        </w:tc>
        <w:tc>
          <w:tcPr>
            <w:tcW w:w="44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p>
        </w:tc>
        <w:tc>
          <w:tcPr>
            <w:tcW w:w="407"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p>
        </w:tc>
        <w:tc>
          <w:tcPr>
            <w:tcW w:w="511"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5000" w:type="pct"/>
            <w:gridSpan w:val="14"/>
            <w:tcBorders>
              <w:top w:val="nil"/>
              <w:left w:val="nil"/>
              <w:bottom w:val="nil"/>
              <w:right w:val="nil"/>
            </w:tcBorders>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注：本表反映部门本年度财政拨款“三公”经费支出预决算情况。其中：预算数为“三公”经费全年预算数，反映按规定程序调整后的预算数；决算数是包括当年财政拨款和以前年度结转资金安排的实际支出。</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（如无相关数据，则需注明空表列示）</w:t>
            </w:r>
          </w:p>
        </w:tc>
      </w:tr>
    </w:tbl>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sectPr>
          <w:headerReference r:id="rId8" w:type="default"/>
          <w:pgSz w:w="11906" w:h="16838"/>
          <w:pgMar w:top="1531" w:right="1984" w:bottom="1531" w:left="2098" w:header="851" w:footer="992" w:gutter="0"/>
          <w:pgBorders>
            <w:top w:val="none" w:sz="0" w:space="0"/>
            <w:left w:val="none" w:sz="0" w:space="0"/>
            <w:bottom w:val="none" w:sz="0" w:space="0"/>
            <w:right w:val="none" w:sz="0" w:space="0"/>
          </w:pgBorders>
          <w:cols w:space="720" w:num="1"/>
          <w:docGrid w:type="lines" w:linePitch="312" w:charSpace="0"/>
        </w:sectPr>
      </w:pPr>
    </w:p>
    <w:p>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第三部分</w:t>
      </w:r>
      <w:r>
        <w:rPr>
          <w:rFonts w:ascii="Times New Roman" w:eastAsia="仿宋_GB2312"/>
          <w:b w:val="0"/>
          <w:sz w:val="44"/>
          <w:szCs w:val="44"/>
        </w:rPr>
        <w:t>2024</w:t>
      </w:r>
      <w:r>
        <w:rPr>
          <w:rFonts w:ascii="Times New Roman" w:eastAsia="黑体"/>
          <w:b w:val="0"/>
          <w:sz w:val="44"/>
          <w:szCs w:val="44"/>
        </w:rPr>
        <w:t>年度部门决算情况说明</w:t>
      </w:r>
    </w:p>
    <w:p>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一、收入支出决算总体情况说明</w:t>
      </w:r>
    </w:p>
    <w:p>
      <w:pPr>
        <w:snapToGrid w:val="0"/>
        <w:spacing w:line="600" w:lineRule="exact"/>
        <w:ind w:firstLine="640" w:firstLineChars="200"/>
        <w:rPr>
          <w:rFonts w:hint="eastAsia" w:ascii="华文仿宋" w:hAnsi="华文仿宋" w:eastAsia="华文仿宋" w:cs="华文仿宋"/>
          <w:sz w:val="32"/>
          <w:szCs w:val="32"/>
        </w:rPr>
      </w:pPr>
      <w:r>
        <w:rPr>
          <w:rFonts w:ascii="Times New Roman" w:eastAsia="仿宋_GB2312"/>
          <w:b w:val="0"/>
          <w:sz w:val="32"/>
          <w:szCs w:val="32"/>
        </w:rPr>
        <w:t>本单位2024年度收、支总计（含结转和结余）均为8,706.98万元。与2023年度决算相比，收支各减少212.42万元，下降2.4%，主要原因是</w:t>
      </w:r>
      <w:r>
        <w:rPr>
          <w:rFonts w:hint="eastAsia" w:ascii="Times New Roman" w:eastAsia="仿宋_GB2312"/>
          <w:b w:val="0"/>
          <w:sz w:val="32"/>
          <w:szCs w:val="32"/>
          <w:lang w:val="en-US" w:eastAsia="zh-CN"/>
        </w:rPr>
        <w:t>:</w:t>
      </w:r>
      <w:r>
        <w:rPr>
          <w:rFonts w:hint="eastAsia" w:ascii="华文仿宋" w:hAnsi="华文仿宋" w:eastAsia="华文仿宋" w:cs="华文仿宋"/>
          <w:sz w:val="32"/>
          <w:szCs w:val="32"/>
        </w:rPr>
        <w:t>（1）人员经费：减少在职人员经费183.67万元，增加退休人员费用146.61万元，原因为在职人员转退休。（2）“2024年市级文化产业</w:t>
      </w:r>
      <w:r>
        <w:rPr>
          <w:rFonts w:ascii="华文仿宋" w:hAnsi="华文仿宋" w:eastAsia="华文仿宋" w:cs="华文仿宋"/>
          <w:sz w:val="32"/>
          <w:szCs w:val="32"/>
        </w:rPr>
        <w:t>”</w:t>
      </w:r>
      <w:r>
        <w:rPr>
          <w:rFonts w:hint="eastAsia" w:ascii="华文仿宋" w:hAnsi="华文仿宋" w:eastAsia="华文仿宋" w:cs="华文仿宋"/>
          <w:sz w:val="32"/>
          <w:szCs w:val="32"/>
        </w:rPr>
        <w:t>项目减少1个，减少资金105.36万元。（3）积极响应市委、市政府号令，压减“融媒体建设补助”资金50万元。(4)削减“发射台基础设备设施更新改造及运行维护”项目，减少资金20万元。</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w:t>
      </w:r>
    </w:p>
    <w:p>
      <w:pPr>
        <w:pStyle w:val="1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eastAsia="Arial" w:cs="Times New Roman"/>
          <w:highlight w:val="none"/>
        </w:rPr>
      </w:pPr>
      <w:r>
        <w:rPr>
          <w:rFonts w:hint="eastAsia" w:ascii="Times New Roman" w:hAnsi="Times New Roman" w:eastAsia="宋体"/>
        </w:rPr>
        <w:drawing>
          <wp:inline distT="0" distB="0" distL="114300" distR="114300">
            <wp:extent cx="5256530" cy="2988310"/>
            <wp:effectExtent l="5080" t="4445" r="8890" b="17145"/>
            <wp:docPr id="5" name="图表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r>
        <w:rPr>
          <w:rFonts w:hint="default" w:ascii="Times New Roman" w:hAnsi="Times New Roman" w:eastAsia="Arial" w:cs="Times New Roman"/>
          <w:i w:val="0"/>
          <w:iCs w:val="0"/>
          <w:caps w:val="0"/>
          <w:color w:val="000000"/>
          <w:spacing w:val="0"/>
          <w:sz w:val="18"/>
          <w:szCs w:val="18"/>
          <w:highlight w:val="none"/>
          <w:shd w:val="clear" w:fill="FFFFFF"/>
        </w:rPr>
        <w:t> </w:t>
      </w:r>
    </w:p>
    <w:p>
      <w:pPr>
        <w:widowControl/>
        <w:spacing w:before="0" w:beforeLines="0" w:beforeAutospacing="0" w:after="0" w:afterLines="0" w:afterAutospacing="0" w:line="360" w:lineRule="auto"/>
        <w:jc w:val="left"/>
        <w:outlineLvl w:val="1"/>
        <w:rPr>
          <w:rFonts w:ascii="Times New Roman" w:eastAsia="黑体"/>
          <w:b w:val="0"/>
          <w:sz w:val="32"/>
          <w:szCs w:val="32"/>
        </w:rPr>
      </w:pPr>
    </w:p>
    <w:p>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二、收入决算情况说明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本年收入合计8,706.98万元，其中：财政拨款收入8,706.98万元，占100.0%；上级补助收入0.00万元，占0.0%；事业收入0.00万元，占0.0%；经营收入0.00万元，占0.0%；附属单位上缴收入0.00万元，占0.0%；其他收入0.00万元，占0.0%。</w:t>
      </w:r>
    </w:p>
    <w:p>
      <w:pPr>
        <w:adjustRightInd w:val="0"/>
        <w:snapToGrid w:val="0"/>
        <w:spacing w:line="580" w:lineRule="exact"/>
        <w:jc w:val="both"/>
        <w:rPr>
          <w:rFonts w:hint="default" w:ascii="Times New Roman" w:hAnsi="Times New Roman" w:eastAsia="仿宋_GB2312" w:cs="Times New Roman"/>
          <w:kern w:val="2"/>
          <w:sz w:val="32"/>
          <w:szCs w:val="32"/>
          <w:highlight w:val="yellow"/>
          <w:lang w:val="zh-CN"/>
        </w:rPr>
      </w:pPr>
      <w:r>
        <w:rPr>
          <w:rFonts w:ascii="Times New Roman" w:hAnsi="Times New Roman" w:eastAsia="仿宋_GB2312"/>
          <w:kern w:val="2"/>
          <w:sz w:val="32"/>
          <w:szCs w:val="32"/>
          <w:highlight w:val="yellow"/>
          <w:lang w:val="zh-CN"/>
        </w:rPr>
        <w:drawing>
          <wp:anchor distT="0" distB="0" distL="114300" distR="114300" simplePos="0" relativeHeight="251661312" behindDoc="0" locked="0" layoutInCell="1" allowOverlap="1">
            <wp:simplePos x="0" y="0"/>
            <wp:positionH relativeFrom="column">
              <wp:posOffset>-16510</wp:posOffset>
            </wp:positionH>
            <wp:positionV relativeFrom="paragraph">
              <wp:posOffset>201930</wp:posOffset>
            </wp:positionV>
            <wp:extent cx="5256530" cy="2988310"/>
            <wp:effectExtent l="5080" t="4445" r="8890" b="17145"/>
            <wp:wrapTopAndBottom/>
            <wp:docPr id="9" name="图表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anchor>
        </w:drawing>
      </w:r>
    </w:p>
    <w:p>
      <w:pPr>
        <w:widowControl/>
        <w:spacing w:before="0" w:beforeLines="0" w:beforeAutospacing="0" w:after="0" w:afterLines="0" w:afterAutospacing="0" w:line="360" w:lineRule="auto"/>
        <w:jc w:val="left"/>
        <w:outlineLvl w:val="1"/>
        <w:rPr>
          <w:rFonts w:ascii="Times New Roman" w:eastAsia="黑体"/>
          <w:b w:val="0"/>
          <w:sz w:val="32"/>
          <w:szCs w:val="32"/>
        </w:rPr>
      </w:pPr>
    </w:p>
    <w:p>
      <w:pPr>
        <w:widowControl/>
        <w:spacing w:before="0" w:beforeLines="0" w:beforeAutospacing="0" w:after="0" w:afterLines="0" w:afterAutospacing="0" w:line="360" w:lineRule="auto"/>
        <w:jc w:val="left"/>
        <w:outlineLvl w:val="1"/>
        <w:rPr>
          <w:rFonts w:ascii="Times New Roman" w:eastAsia="黑体"/>
          <w:b w:val="0"/>
          <w:sz w:val="32"/>
          <w:szCs w:val="32"/>
        </w:rPr>
      </w:pPr>
    </w:p>
    <w:p>
      <w:pPr>
        <w:widowControl/>
        <w:spacing w:before="0" w:beforeLines="0" w:beforeAutospacing="0" w:after="0" w:afterLines="0" w:afterAutospacing="0" w:line="360" w:lineRule="auto"/>
        <w:jc w:val="left"/>
        <w:outlineLvl w:val="1"/>
        <w:rPr>
          <w:rFonts w:ascii="Times New Roman" w:eastAsia="黑体"/>
          <w:b w:val="0"/>
          <w:sz w:val="32"/>
          <w:szCs w:val="32"/>
        </w:rPr>
      </w:pPr>
    </w:p>
    <w:p>
      <w:pPr>
        <w:widowControl/>
        <w:spacing w:before="0" w:beforeLines="0" w:beforeAutospacing="0" w:after="0" w:afterLines="0" w:afterAutospacing="0" w:line="360" w:lineRule="auto"/>
        <w:jc w:val="left"/>
        <w:outlineLvl w:val="1"/>
        <w:rPr>
          <w:rFonts w:ascii="Times New Roman" w:eastAsia="黑体"/>
          <w:b w:val="0"/>
          <w:sz w:val="32"/>
          <w:szCs w:val="32"/>
        </w:rPr>
      </w:pPr>
    </w:p>
    <w:p>
      <w:pPr>
        <w:widowControl/>
        <w:spacing w:before="0" w:beforeLines="0" w:beforeAutospacing="0" w:after="0" w:afterLines="0" w:afterAutospacing="0" w:line="360" w:lineRule="auto"/>
        <w:jc w:val="left"/>
        <w:outlineLvl w:val="1"/>
        <w:rPr>
          <w:rFonts w:ascii="Times New Roman" w:eastAsia="黑体"/>
          <w:b w:val="0"/>
          <w:sz w:val="32"/>
          <w:szCs w:val="32"/>
        </w:rPr>
      </w:pPr>
    </w:p>
    <w:p>
      <w:pPr>
        <w:widowControl/>
        <w:spacing w:before="0" w:beforeLines="0" w:beforeAutospacing="0" w:after="0" w:afterLines="0" w:afterAutospacing="0" w:line="360" w:lineRule="auto"/>
        <w:jc w:val="left"/>
        <w:outlineLvl w:val="1"/>
        <w:rPr>
          <w:rFonts w:ascii="Times New Roman" w:eastAsia="黑体"/>
          <w:b w:val="0"/>
          <w:sz w:val="32"/>
          <w:szCs w:val="32"/>
        </w:rPr>
      </w:pPr>
    </w:p>
    <w:p>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三、支出决算情况说明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本单位2024年度本年支出合计8,706.98万元，其中：基本支出5,177.70万元，占59.5%；项目支出3,529.28万元，占40.5%；上缴上级支出0.00万元，占0.0%；经营支出0.00万元，占0.0%；对附属单位补助支出0.00万元，占0.0%。</w:t>
      </w:r>
    </w:p>
    <w:p>
      <w:pPr>
        <w:autoSpaceDE w:val="0"/>
        <w:autoSpaceDN w:val="0"/>
        <w:adjustRightInd w:val="0"/>
        <w:jc w:val="center"/>
        <w:rPr>
          <w:rFonts w:hint="default" w:ascii="Times New Roman" w:hAnsi="Times New Roman" w:eastAsia="仿宋_GB2312" w:cs="Times New Roman"/>
          <w:color w:val="auto"/>
          <w:kern w:val="0"/>
          <w:sz w:val="32"/>
          <w:szCs w:val="32"/>
          <w:highlight w:val="none"/>
          <w:lang w:val="en-US" w:eastAsia="zh-CN" w:bidi="ar-SA"/>
        </w:rPr>
      </w:pPr>
      <w:r>
        <w:rPr>
          <w:rFonts w:ascii="Times New Roman" w:hAnsi="Times New Roman" w:eastAsia="仿宋_GB2312" w:cs="Times New Roman"/>
          <w:sz w:val="32"/>
          <w:szCs w:val="32"/>
          <w:highlight w:val="none"/>
        </w:rPr>
        <w:drawing>
          <wp:inline distT="0" distB="0" distL="114300" distR="114300">
            <wp:extent cx="5256530" cy="2988310"/>
            <wp:effectExtent l="5080" t="4445" r="11430" b="9525"/>
            <wp:docPr id="7" name="图表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四、财政拨款收入支出决算总体情况说明</w:t>
      </w:r>
    </w:p>
    <w:p>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（一）财政拨款收支与</w:t>
      </w:r>
      <w:r>
        <w:rPr>
          <w:rFonts w:ascii="Times New Roman" w:eastAsia="仿宋_GB2312"/>
          <w:b/>
          <w:sz w:val="32"/>
          <w:szCs w:val="32"/>
        </w:rPr>
        <w:t>2023</w:t>
      </w:r>
      <w:r>
        <w:rPr>
          <w:rFonts w:ascii="Times New Roman" w:eastAsia="楷体_GB2312"/>
          <w:b/>
          <w:sz w:val="32"/>
          <w:szCs w:val="32"/>
        </w:rPr>
        <w:t>年度决算对比情况</w:t>
      </w:r>
    </w:p>
    <w:p>
      <w:pPr>
        <w:snapToGrid w:val="0"/>
        <w:spacing w:line="600" w:lineRule="exact"/>
        <w:ind w:firstLine="640" w:firstLineChars="200"/>
        <w:rPr>
          <w:rFonts w:ascii="Times New Roman" w:eastAsia="仿宋_GB2312"/>
          <w:sz w:val="32"/>
          <w:szCs w:val="32"/>
        </w:rPr>
      </w:pPr>
      <w:r>
        <w:rPr>
          <w:rFonts w:ascii="Times New Roman" w:eastAsia="仿宋_GB2312"/>
          <w:b w:val="0"/>
          <w:sz w:val="32"/>
          <w:szCs w:val="32"/>
        </w:rPr>
        <w:t>本单位2024年度财政拨款收、支总计（含结转和结余）均为8,706.98万元。与2023年度相比，财政拨款收支各减少212.42万元，降低2.4%，主要原因是</w:t>
      </w:r>
      <w:r>
        <w:rPr>
          <w:rFonts w:hint="eastAsia" w:ascii="Times New Roman" w:eastAsia="仿宋_GB2312"/>
          <w:b w:val="0"/>
          <w:sz w:val="32"/>
          <w:szCs w:val="32"/>
          <w:lang w:val="en-US" w:eastAsia="zh-CN"/>
        </w:rPr>
        <w:t>:</w:t>
      </w:r>
      <w:r>
        <w:rPr>
          <w:rFonts w:hint="eastAsia" w:ascii="仿宋_GB2312" w:hAnsi="仿宋_GB2312" w:eastAsia="仿宋_GB2312" w:cs="仿宋_GB2312"/>
          <w:sz w:val="32"/>
          <w:szCs w:val="32"/>
        </w:rPr>
        <w:t>（1）人员经费：减少在职人员经费183.67万元，增加退休人员费用146.61万元，原因为在职人员转退休</w:t>
      </w:r>
      <w:r>
        <w:rPr>
          <w:rFonts w:hint="eastAsia" w:ascii="仿宋_GB2312" w:hAnsi="仿宋_GB2312" w:eastAsia="仿宋_GB2312" w:cs="仿宋_GB2312"/>
          <w:sz w:val="32"/>
          <w:szCs w:val="32"/>
          <w:lang w:val="en-US" w:eastAsia="zh-CN"/>
        </w:rPr>
        <w:t>;</w:t>
      </w:r>
      <w:r>
        <w:rPr>
          <w:rFonts w:hint="eastAsia" w:ascii="仿宋_GB2312" w:hAnsi="仿宋_GB2312" w:eastAsia="仿宋_GB2312" w:cs="仿宋_GB2312"/>
          <w:sz w:val="32"/>
          <w:szCs w:val="32"/>
        </w:rPr>
        <w:t>（2）“2024年市级文化产业”项目减少1个，减少资金105.36万元</w:t>
      </w:r>
      <w:r>
        <w:rPr>
          <w:rFonts w:hint="eastAsia" w:ascii="仿宋_GB2312" w:hAnsi="仿宋_GB2312" w:eastAsia="仿宋_GB2312" w:cs="仿宋_GB2312"/>
          <w:sz w:val="32"/>
          <w:szCs w:val="32"/>
          <w:lang w:val="en-US" w:eastAsia="zh-CN"/>
        </w:rPr>
        <w:t>;</w:t>
      </w:r>
      <w:r>
        <w:rPr>
          <w:rFonts w:hint="eastAsia" w:ascii="仿宋_GB2312" w:hAnsi="仿宋_GB2312" w:eastAsia="仿宋_GB2312" w:cs="仿宋_GB2312"/>
          <w:sz w:val="32"/>
          <w:szCs w:val="32"/>
        </w:rPr>
        <w:t>（3）积极响应市委、市政府号令，压减“融媒体建设补助”资金50万元</w:t>
      </w:r>
      <w:r>
        <w:rPr>
          <w:rFonts w:hint="eastAsia" w:ascii="仿宋_GB2312" w:hAnsi="仿宋_GB2312" w:eastAsia="仿宋_GB2312" w:cs="仿宋_GB2312"/>
          <w:sz w:val="32"/>
          <w:szCs w:val="32"/>
          <w:lang w:val="en-US" w:eastAsia="zh-CN"/>
        </w:rPr>
        <w:t>;</w:t>
      </w:r>
      <w:r>
        <w:rPr>
          <w:rFonts w:hint="eastAsia" w:ascii="仿宋_GB2312" w:hAnsi="仿宋_GB2312" w:eastAsia="仿宋_GB2312" w:cs="仿宋_GB2312"/>
          <w:sz w:val="32"/>
          <w:szCs w:val="32"/>
        </w:rPr>
        <w:t>(4)削减“发射台基础设备设施更新改造及运行维护”项目，减少资金20万元。</w:t>
      </w:r>
    </w:p>
    <w:p>
      <w:pPr>
        <w:snapToGrid w:val="0"/>
        <w:spacing w:line="600" w:lineRule="exact"/>
        <w:ind w:firstLine="640" w:firstLineChars="200"/>
        <w:rPr>
          <w:rFonts w:ascii="Times New Roman" w:eastAsia="仿宋_GB2312"/>
          <w:sz w:val="32"/>
          <w:szCs w:val="32"/>
        </w:rPr>
      </w:pPr>
      <w:r>
        <w:rPr>
          <w:rFonts w:ascii="Times New Roman" w:eastAsia="仿宋_GB2312"/>
          <w:b w:val="0"/>
          <w:sz w:val="32"/>
          <w:szCs w:val="32"/>
        </w:rPr>
        <w:t>本单位2024年度财政拨款本年收入8,706.98万元,比上年减少212.42万元，降低2.4%，主要原因是</w:t>
      </w:r>
      <w:r>
        <w:rPr>
          <w:rFonts w:hint="eastAsia" w:ascii="Times New Roman" w:eastAsia="仿宋_GB2312"/>
          <w:b w:val="0"/>
          <w:sz w:val="32"/>
          <w:szCs w:val="32"/>
          <w:lang w:val="en-US" w:eastAsia="zh-CN"/>
        </w:rPr>
        <w:t>:人员减少37.06万元，项目减少175.36万元。</w:t>
      </w:r>
      <w:r>
        <w:rPr>
          <w:rFonts w:ascii="Times New Roman" w:eastAsia="仿宋_GB2312"/>
          <w:b w:val="0"/>
          <w:sz w:val="32"/>
          <w:szCs w:val="32"/>
        </w:rPr>
        <w:t>本年支出8,706.98万元，比上年减少212.42万元，降低2.4%，主要原因是</w:t>
      </w:r>
      <w:r>
        <w:rPr>
          <w:rFonts w:hint="eastAsia" w:ascii="Times New Roman" w:eastAsia="仿宋_GB2312"/>
          <w:b w:val="0"/>
          <w:sz w:val="32"/>
          <w:szCs w:val="32"/>
          <w:lang w:val="en-US" w:eastAsia="zh-CN"/>
        </w:rPr>
        <w:t>:</w:t>
      </w:r>
      <w:r>
        <w:rPr>
          <w:rFonts w:hint="eastAsia" w:ascii="仿宋_GB2312" w:hAnsi="仿宋_GB2312" w:eastAsia="仿宋_GB2312" w:cs="仿宋_GB2312"/>
          <w:sz w:val="32"/>
          <w:szCs w:val="32"/>
        </w:rPr>
        <w:t>（1）人员经费：减少在职人员经费183.67万元，增加退休人员费用146.61万元，原因为在职人员转退休</w:t>
      </w:r>
      <w:r>
        <w:rPr>
          <w:rFonts w:hint="eastAsia" w:ascii="仿宋_GB2312" w:hAnsi="仿宋_GB2312" w:eastAsia="仿宋_GB2312" w:cs="仿宋_GB2312"/>
          <w:sz w:val="32"/>
          <w:szCs w:val="32"/>
          <w:lang w:val="en-US" w:eastAsia="zh-CN"/>
        </w:rPr>
        <w:t>;</w:t>
      </w:r>
      <w:r>
        <w:rPr>
          <w:rFonts w:hint="eastAsia" w:ascii="仿宋_GB2312" w:hAnsi="仿宋_GB2312" w:eastAsia="仿宋_GB2312" w:cs="仿宋_GB2312"/>
          <w:sz w:val="32"/>
          <w:szCs w:val="32"/>
        </w:rPr>
        <w:t>（2）“2024年市级文化产业”项目减少1个，减少资金105.36万元</w:t>
      </w:r>
      <w:r>
        <w:rPr>
          <w:rFonts w:hint="eastAsia" w:ascii="仿宋_GB2312" w:hAnsi="仿宋_GB2312" w:eastAsia="仿宋_GB2312" w:cs="仿宋_GB2312"/>
          <w:sz w:val="32"/>
          <w:szCs w:val="32"/>
          <w:lang w:val="en-US" w:eastAsia="zh-CN"/>
        </w:rPr>
        <w:t>;</w:t>
      </w:r>
      <w:r>
        <w:rPr>
          <w:rFonts w:hint="eastAsia" w:ascii="仿宋_GB2312" w:hAnsi="仿宋_GB2312" w:eastAsia="仿宋_GB2312" w:cs="仿宋_GB2312"/>
          <w:sz w:val="32"/>
          <w:szCs w:val="32"/>
        </w:rPr>
        <w:t>（3）积极响应市委、市政府号令，压减“融媒体建设补助”资金50万元</w:t>
      </w:r>
      <w:r>
        <w:rPr>
          <w:rFonts w:hint="eastAsia" w:ascii="仿宋_GB2312" w:hAnsi="仿宋_GB2312" w:eastAsia="仿宋_GB2312" w:cs="仿宋_GB2312"/>
          <w:sz w:val="32"/>
          <w:szCs w:val="32"/>
          <w:lang w:val="en-US" w:eastAsia="zh-CN"/>
        </w:rPr>
        <w:t>;</w:t>
      </w:r>
      <w:r>
        <w:rPr>
          <w:rFonts w:hint="eastAsia" w:ascii="仿宋_GB2312" w:hAnsi="仿宋_GB2312" w:eastAsia="仿宋_GB2312" w:cs="仿宋_GB2312"/>
          <w:sz w:val="32"/>
          <w:szCs w:val="32"/>
        </w:rPr>
        <w:t>(4)削减“发射台基础设备设施更新改造及运行维护”项目，减少资金20万元。</w:t>
      </w:r>
      <w:r>
        <w:rPr>
          <w:rFonts w:ascii="Times New Roman" w:eastAsia="仿宋_GB2312"/>
          <w:b w:val="0"/>
          <w:sz w:val="32"/>
          <w:szCs w:val="32"/>
        </w:rPr>
        <w:t>具体情况如下：</w:t>
      </w:r>
    </w:p>
    <w:p>
      <w:pPr>
        <w:snapToGrid w:val="0"/>
        <w:spacing w:line="600" w:lineRule="exact"/>
        <w:ind w:firstLine="640" w:firstLineChars="200"/>
        <w:rPr>
          <w:rFonts w:ascii="Times New Roman" w:eastAsia="仿宋_GB2312"/>
          <w:sz w:val="32"/>
          <w:szCs w:val="32"/>
        </w:rPr>
      </w:pPr>
      <w:r>
        <w:rPr>
          <w:rFonts w:ascii="Times New Roman" w:eastAsia="仿宋_GB2312"/>
          <w:b w:val="0"/>
          <w:sz w:val="32"/>
          <w:szCs w:val="32"/>
        </w:rPr>
        <w:t>1.一般公共预算财政拨款本年收入8,570.17万元,比上年减少212.42万元，降低2.4%，主要原因是</w:t>
      </w:r>
      <w:r>
        <w:rPr>
          <w:rFonts w:hint="eastAsia" w:ascii="Times New Roman" w:eastAsia="仿宋_GB2312"/>
          <w:b w:val="0"/>
          <w:sz w:val="32"/>
          <w:szCs w:val="32"/>
          <w:lang w:eastAsia="zh-CN"/>
        </w:rPr>
        <w:t>人员减少</w:t>
      </w:r>
      <w:r>
        <w:rPr>
          <w:rFonts w:hint="eastAsia" w:ascii="Times New Roman" w:eastAsia="仿宋_GB2312"/>
          <w:b w:val="0"/>
          <w:sz w:val="32"/>
          <w:szCs w:val="32"/>
          <w:lang w:val="en-US" w:eastAsia="zh-CN"/>
        </w:rPr>
        <w:t>37.06万元，项目减少175.36万元</w:t>
      </w:r>
      <w:r>
        <w:rPr>
          <w:rFonts w:ascii="Times New Roman" w:eastAsia="仿宋_GB2312"/>
          <w:b w:val="0"/>
          <w:sz w:val="32"/>
          <w:szCs w:val="32"/>
        </w:rPr>
        <w:t>；本年支出8,570.17万元，比上年减少212.42万元，降低2.4%，主要原因是</w:t>
      </w:r>
      <w:r>
        <w:rPr>
          <w:rFonts w:hint="eastAsia" w:ascii="Times New Roman" w:eastAsia="仿宋_GB2312"/>
          <w:b w:val="0"/>
          <w:sz w:val="32"/>
          <w:szCs w:val="32"/>
          <w:lang w:val="en-US" w:eastAsia="zh-CN"/>
        </w:rPr>
        <w:t>:</w:t>
      </w:r>
      <w:r>
        <w:rPr>
          <w:rFonts w:hint="eastAsia" w:ascii="仿宋_GB2312" w:hAnsi="仿宋_GB2312" w:eastAsia="仿宋_GB2312" w:cs="仿宋_GB2312"/>
          <w:sz w:val="32"/>
          <w:szCs w:val="32"/>
        </w:rPr>
        <w:t>（1）人员经费：减少在职人员经费183.67万元，增加退休人员费用146.61万元，原因为在职人员转退休</w:t>
      </w:r>
      <w:r>
        <w:rPr>
          <w:rFonts w:hint="eastAsia" w:ascii="仿宋_GB2312" w:hAnsi="仿宋_GB2312" w:eastAsia="仿宋_GB2312" w:cs="仿宋_GB2312"/>
          <w:sz w:val="32"/>
          <w:szCs w:val="32"/>
          <w:lang w:val="en-US" w:eastAsia="zh-CN"/>
        </w:rPr>
        <w:t>;</w:t>
      </w:r>
      <w:r>
        <w:rPr>
          <w:rFonts w:hint="eastAsia" w:ascii="仿宋_GB2312" w:hAnsi="仿宋_GB2312" w:eastAsia="仿宋_GB2312" w:cs="仿宋_GB2312"/>
          <w:sz w:val="32"/>
          <w:szCs w:val="32"/>
        </w:rPr>
        <w:t>（2）“2024年市级文化产业”项目减少1个，减少资金105.36万元</w:t>
      </w:r>
      <w:r>
        <w:rPr>
          <w:rFonts w:hint="eastAsia" w:ascii="仿宋_GB2312" w:hAnsi="仿宋_GB2312" w:eastAsia="仿宋_GB2312" w:cs="仿宋_GB2312"/>
          <w:sz w:val="32"/>
          <w:szCs w:val="32"/>
          <w:lang w:val="en-US" w:eastAsia="zh-CN"/>
        </w:rPr>
        <w:t>;</w:t>
      </w:r>
      <w:r>
        <w:rPr>
          <w:rFonts w:hint="eastAsia" w:ascii="仿宋_GB2312" w:hAnsi="仿宋_GB2312" w:eastAsia="仿宋_GB2312" w:cs="仿宋_GB2312"/>
          <w:sz w:val="32"/>
          <w:szCs w:val="32"/>
        </w:rPr>
        <w:t>（3）积极响应市委、市政府号令，压减“融媒体建设补助”资金50万元</w:t>
      </w:r>
      <w:r>
        <w:rPr>
          <w:rFonts w:hint="eastAsia" w:ascii="仿宋_GB2312" w:hAnsi="仿宋_GB2312" w:eastAsia="仿宋_GB2312" w:cs="仿宋_GB2312"/>
          <w:sz w:val="32"/>
          <w:szCs w:val="32"/>
          <w:lang w:val="en-US" w:eastAsia="zh-CN"/>
        </w:rPr>
        <w:t>;（4）</w:t>
      </w:r>
      <w:bookmarkStart w:id="0" w:name="_GoBack"/>
      <w:bookmarkEnd w:id="0"/>
      <w:r>
        <w:rPr>
          <w:rFonts w:hint="eastAsia" w:ascii="仿宋_GB2312" w:hAnsi="仿宋_GB2312" w:eastAsia="仿宋_GB2312" w:cs="仿宋_GB2312"/>
          <w:sz w:val="32"/>
          <w:szCs w:val="32"/>
        </w:rPr>
        <w:t>削减“发射台基础设备设施更新改造及运行维护”项目，减少资金20万元。</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2.政府性基金预算财政拨款本年收入136.81万元，比上年增加0.00万元，增长0.0%，</w:t>
      </w:r>
      <w:r>
        <w:rPr>
          <w:rFonts w:hint="eastAsia" w:ascii="Times New Roman" w:eastAsia="仿宋_GB2312"/>
          <w:b w:val="0"/>
          <w:sz w:val="32"/>
          <w:szCs w:val="32"/>
          <w:lang w:eastAsia="zh-CN"/>
        </w:rPr>
        <w:t>无变化</w:t>
      </w:r>
      <w:r>
        <w:rPr>
          <w:rFonts w:ascii="Times New Roman" w:eastAsia="仿宋_GB2312"/>
          <w:b w:val="0"/>
          <w:sz w:val="32"/>
          <w:szCs w:val="32"/>
        </w:rPr>
        <w:t>；本年支出136.81万元，比上年增加0.00万元，增长0.0%，</w:t>
      </w:r>
      <w:r>
        <w:rPr>
          <w:rFonts w:hint="eastAsia" w:ascii="Times New Roman" w:eastAsia="仿宋_GB2312"/>
          <w:b w:val="0"/>
          <w:sz w:val="32"/>
          <w:szCs w:val="32"/>
          <w:lang w:eastAsia="zh-CN"/>
        </w:rPr>
        <w:t>无变化</w:t>
      </w:r>
      <w:r>
        <w:rPr>
          <w:rFonts w:ascii="Times New Roman" w:eastAsia="仿宋_GB2312"/>
          <w:b w:val="0"/>
          <w:sz w:val="32"/>
          <w:szCs w:val="32"/>
        </w:rPr>
        <w:t>。</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3.国有资本经营预算财政拨款本年收入0.00万元，比上年增加0.00万元，增长0.00%，</w:t>
      </w:r>
      <w:r>
        <w:rPr>
          <w:rFonts w:hint="eastAsia" w:ascii="Times New Roman" w:eastAsia="仿宋_GB2312"/>
          <w:b w:val="0"/>
          <w:sz w:val="32"/>
          <w:szCs w:val="32"/>
          <w:lang w:eastAsia="zh-CN"/>
        </w:rPr>
        <w:t>无变化</w:t>
      </w:r>
      <w:r>
        <w:rPr>
          <w:rFonts w:ascii="Times New Roman" w:eastAsia="仿宋_GB2312"/>
          <w:b w:val="0"/>
          <w:sz w:val="32"/>
          <w:szCs w:val="32"/>
        </w:rPr>
        <w:t>；本年支出0.00万元，比上年增加0.00万元，增长0.00%，</w:t>
      </w:r>
      <w:r>
        <w:rPr>
          <w:rFonts w:hint="eastAsia" w:ascii="Times New Roman" w:eastAsia="仿宋_GB2312"/>
          <w:b w:val="0"/>
          <w:sz w:val="32"/>
          <w:szCs w:val="32"/>
          <w:lang w:eastAsia="zh-CN"/>
        </w:rPr>
        <w:t>无变化</w:t>
      </w:r>
      <w:r>
        <w:rPr>
          <w:rFonts w:ascii="Times New Roman" w:eastAsia="仿宋_GB2312"/>
          <w:b w:val="0"/>
          <w:sz w:val="32"/>
          <w:szCs w:val="32"/>
        </w:rPr>
        <w:t>。</w:t>
      </w:r>
    </w:p>
    <w:p>
      <w:pPr>
        <w:pStyle w:val="1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eastAsia="仿宋_GB2312" w:cs="Times New Roman"/>
          <w:sz w:val="32"/>
          <w:szCs w:val="32"/>
          <w:highlight w:val="none"/>
          <w:lang w:val="en-US" w:eastAsia="zh-CN"/>
        </w:rPr>
      </w:pPr>
      <w:r>
        <w:rPr>
          <w:rFonts w:ascii="Times New Roman" w:hAnsi="Times New Roman" w:eastAsia="仿宋_GB2312"/>
          <w:sz w:val="32"/>
          <w:szCs w:val="32"/>
        </w:rPr>
        <w:drawing>
          <wp:inline distT="0" distB="0" distL="114300" distR="114300">
            <wp:extent cx="5256530" cy="2988310"/>
            <wp:effectExtent l="5080" t="4445" r="8890" b="17145"/>
            <wp:docPr id="3" name="图表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（二）财政拨款收支与年初预算数对比情况</w:t>
      </w:r>
    </w:p>
    <w:p>
      <w:pPr>
        <w:adjustRightInd w:val="0"/>
        <w:snapToGrid w:val="0"/>
        <w:spacing w:line="600" w:lineRule="exact"/>
        <w:ind w:firstLine="640" w:firstLineChars="200"/>
        <w:rPr>
          <w:rFonts w:ascii="Times New Roman" w:eastAsia="仿宋_GB2312"/>
          <w:sz w:val="32"/>
          <w:szCs w:val="32"/>
        </w:rPr>
      </w:pPr>
      <w:r>
        <w:rPr>
          <w:rFonts w:ascii="Times New Roman" w:eastAsia="仿宋_GB2312"/>
          <w:b w:val="0"/>
          <w:sz w:val="32"/>
          <w:szCs w:val="32"/>
        </w:rPr>
        <w:t>本单位2024年度财政拨款本年收入8,706.98万元，完成年初预算</w:t>
      </w:r>
      <w:r>
        <w:rPr>
          <w:rFonts w:hint="eastAsia" w:ascii="Times New Roman" w:eastAsia="仿宋_GB2312"/>
          <w:b w:val="0"/>
          <w:sz w:val="32"/>
          <w:szCs w:val="32"/>
          <w:lang w:val="en-US" w:eastAsia="zh-CN"/>
        </w:rPr>
        <w:t>8556.99</w:t>
      </w:r>
      <w:r>
        <w:rPr>
          <w:rFonts w:ascii="Times New Roman" w:eastAsia="仿宋_GB2312"/>
          <w:b w:val="0"/>
          <w:sz w:val="32"/>
          <w:szCs w:val="32"/>
        </w:rPr>
        <w:t>的101.8%，比年初预算增加149.99万元，决算数大于预算数主要原因是</w:t>
      </w:r>
      <w:r>
        <w:rPr>
          <w:rFonts w:hint="eastAsia" w:ascii="华文仿宋" w:hAnsi="华文仿宋" w:eastAsia="华文仿宋" w:cs="华文仿宋"/>
          <w:sz w:val="32"/>
          <w:szCs w:val="32"/>
        </w:rPr>
        <w:t>在职人员增加了50.72万元；2024年市级文化产业繁荣资金</w:t>
      </w:r>
      <w:r>
        <w:rPr>
          <w:rFonts w:hint="eastAsia" w:ascii="华文仿宋" w:hAnsi="华文仿宋" w:eastAsia="华文仿宋" w:cs="华文仿宋"/>
          <w:sz w:val="32"/>
          <w:szCs w:val="32"/>
          <w:lang w:eastAsia="zh-CN"/>
        </w:rPr>
        <w:t>项目</w:t>
      </w:r>
      <w:r>
        <w:rPr>
          <w:rFonts w:hint="eastAsia" w:ascii="华文仿宋" w:hAnsi="华文仿宋" w:eastAsia="华文仿宋" w:cs="华文仿宋"/>
          <w:sz w:val="32"/>
          <w:szCs w:val="32"/>
        </w:rPr>
        <w:t>增加了99.27万元：其中广播剧《齐齐花坦与河北梆子》50万元，大型融媒体体验节目《遇见》节目49.27万元</w:t>
      </w:r>
      <w:r>
        <w:rPr>
          <w:rFonts w:hint="eastAsia" w:ascii="华文仿宋" w:hAnsi="华文仿宋" w:eastAsia="华文仿宋" w:cs="华文仿宋"/>
          <w:sz w:val="32"/>
          <w:szCs w:val="32"/>
          <w:lang w:eastAsia="zh-CN"/>
        </w:rPr>
        <w:t>；</w:t>
      </w:r>
      <w:r>
        <w:rPr>
          <w:rFonts w:ascii="Times New Roman" w:eastAsia="仿宋_GB2312"/>
          <w:b w:val="0"/>
          <w:sz w:val="32"/>
          <w:szCs w:val="32"/>
        </w:rPr>
        <w:t>本年支出8,706.98万元，完成年初预算的101.8%，比年初预算增加149.99万元，决算数大于预算数主要原因是</w:t>
      </w:r>
      <w:r>
        <w:rPr>
          <w:rFonts w:hint="eastAsia" w:ascii="Times New Roman" w:eastAsia="仿宋_GB2312"/>
          <w:b w:val="0"/>
          <w:sz w:val="32"/>
          <w:szCs w:val="32"/>
          <w:lang w:eastAsia="zh-CN"/>
        </w:rPr>
        <w:t>：</w:t>
      </w:r>
      <w:r>
        <w:rPr>
          <w:rFonts w:hint="eastAsia" w:ascii="华文仿宋" w:hAnsi="华文仿宋" w:eastAsia="华文仿宋" w:cs="华文仿宋"/>
          <w:sz w:val="32"/>
          <w:szCs w:val="32"/>
        </w:rPr>
        <w:t>在职人员经费增加了50.72万元；2024年市级文化产业繁荣资金增加了99.27万元：其中广播剧《齐齐花坦与河北梆子》50万元，大型融媒体体验节目《遇见》节目49.27万元</w:t>
      </w:r>
      <w:r>
        <w:rPr>
          <w:rFonts w:ascii="Times New Roman" w:eastAsia="仿宋_GB2312"/>
          <w:b w:val="0"/>
          <w:sz w:val="32"/>
          <w:szCs w:val="32"/>
        </w:rPr>
        <w:t>。具体情况如下：</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1.一般公共预算财政拨款本年收入</w:t>
      </w:r>
      <w:r>
        <w:rPr>
          <w:rFonts w:hint="eastAsia" w:ascii="Times New Roman" w:eastAsia="仿宋_GB2312"/>
          <w:b w:val="0"/>
          <w:sz w:val="32"/>
          <w:szCs w:val="32"/>
          <w:lang w:val="en-US" w:eastAsia="zh-CN"/>
        </w:rPr>
        <w:t>8570.17</w:t>
      </w:r>
      <w:r>
        <w:rPr>
          <w:rFonts w:ascii="Times New Roman" w:eastAsia="仿宋_GB2312"/>
          <w:b w:val="0"/>
          <w:sz w:val="32"/>
          <w:szCs w:val="32"/>
        </w:rPr>
        <w:t>完成年初预算</w:t>
      </w:r>
      <w:r>
        <w:rPr>
          <w:rFonts w:hint="eastAsia" w:ascii="Times New Roman" w:eastAsia="仿宋_GB2312"/>
          <w:b w:val="0"/>
          <w:sz w:val="32"/>
          <w:szCs w:val="32"/>
          <w:lang w:val="en-US" w:eastAsia="zh-CN"/>
        </w:rPr>
        <w:t>8420.18</w:t>
      </w:r>
      <w:r>
        <w:rPr>
          <w:rFonts w:ascii="Times New Roman" w:eastAsia="仿宋_GB2312"/>
          <w:b w:val="0"/>
          <w:sz w:val="32"/>
          <w:szCs w:val="32"/>
        </w:rPr>
        <w:t>的101.8%，比年初预算增加149.99万元，主要原因是</w:t>
      </w:r>
      <w:r>
        <w:rPr>
          <w:rFonts w:hint="eastAsia" w:ascii="华文仿宋" w:hAnsi="华文仿宋" w:eastAsia="华文仿宋" w:cs="华文仿宋"/>
          <w:sz w:val="32"/>
          <w:szCs w:val="32"/>
        </w:rPr>
        <w:t>在职人员增加了50.72万元；2024年市级文化产业繁荣资金</w:t>
      </w:r>
      <w:r>
        <w:rPr>
          <w:rFonts w:hint="eastAsia" w:ascii="华文仿宋" w:hAnsi="华文仿宋" w:eastAsia="华文仿宋" w:cs="华文仿宋"/>
          <w:sz w:val="32"/>
          <w:szCs w:val="32"/>
          <w:lang w:eastAsia="zh-CN"/>
        </w:rPr>
        <w:t>项目</w:t>
      </w:r>
      <w:r>
        <w:rPr>
          <w:rFonts w:hint="eastAsia" w:ascii="华文仿宋" w:hAnsi="华文仿宋" w:eastAsia="华文仿宋" w:cs="华文仿宋"/>
          <w:sz w:val="32"/>
          <w:szCs w:val="32"/>
        </w:rPr>
        <w:t>增加了99.27万元：其中广播剧《齐齐花坦与河北梆子》50万元，大型融媒体体验节目《遇见》节目49.27万元</w:t>
      </w:r>
      <w:r>
        <w:rPr>
          <w:rFonts w:hint="eastAsia" w:ascii="华文仿宋" w:hAnsi="华文仿宋" w:eastAsia="华文仿宋" w:cs="华文仿宋"/>
          <w:sz w:val="32"/>
          <w:szCs w:val="32"/>
          <w:lang w:eastAsia="zh-CN"/>
        </w:rPr>
        <w:t>；</w:t>
      </w:r>
      <w:r>
        <w:rPr>
          <w:rFonts w:ascii="Times New Roman" w:eastAsia="仿宋_GB2312"/>
          <w:b w:val="0"/>
          <w:sz w:val="32"/>
          <w:szCs w:val="32"/>
        </w:rPr>
        <w:t>支出完成年初预算的101.8%，比年初预算增加149.99万元，主要原因是</w:t>
      </w:r>
      <w:r>
        <w:rPr>
          <w:rFonts w:hint="eastAsia" w:ascii="Times New Roman" w:eastAsia="仿宋_GB2312"/>
          <w:b w:val="0"/>
          <w:sz w:val="32"/>
          <w:szCs w:val="32"/>
          <w:lang w:eastAsia="zh-CN"/>
        </w:rPr>
        <w:t>：</w:t>
      </w:r>
      <w:r>
        <w:rPr>
          <w:rFonts w:hint="eastAsia" w:ascii="华文仿宋" w:hAnsi="华文仿宋" w:eastAsia="华文仿宋" w:cs="华文仿宋"/>
          <w:sz w:val="32"/>
          <w:szCs w:val="32"/>
        </w:rPr>
        <w:t>在职人员经费增加了50.72万元；2024年市级文化产业繁荣资金增加了99.27万元：其中广播剧《齐齐花坦与河北梆子》50万元，大型融媒体体验节目《遇见》节目49.27万元</w:t>
      </w:r>
      <w:r>
        <w:rPr>
          <w:rFonts w:ascii="Times New Roman" w:eastAsia="仿宋_GB2312"/>
          <w:b w:val="0"/>
          <w:sz w:val="32"/>
          <w:szCs w:val="32"/>
        </w:rPr>
        <w:t>。</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2.政府性基金预算财政拨款本年收入完成年初预算100.0%，比年初预算增加0.00万元</w:t>
      </w:r>
      <w:r>
        <w:rPr>
          <w:rFonts w:hint="eastAsia" w:ascii="Times New Roman" w:eastAsia="仿宋_GB2312"/>
          <w:b w:val="0"/>
          <w:sz w:val="32"/>
          <w:szCs w:val="32"/>
          <w:lang w:eastAsia="zh-CN"/>
        </w:rPr>
        <w:t>，无变化</w:t>
      </w:r>
      <w:r>
        <w:rPr>
          <w:rFonts w:ascii="Times New Roman" w:eastAsia="仿宋_GB2312"/>
          <w:b w:val="0"/>
          <w:sz w:val="32"/>
          <w:szCs w:val="32"/>
        </w:rPr>
        <w:t>；支出完成年初预算的100.0%，比年初预算增加0.00万元，</w:t>
      </w:r>
      <w:r>
        <w:rPr>
          <w:rFonts w:hint="eastAsia" w:ascii="Times New Roman" w:eastAsia="仿宋_GB2312"/>
          <w:b w:val="0"/>
          <w:sz w:val="32"/>
          <w:szCs w:val="32"/>
          <w:lang w:eastAsia="zh-CN"/>
        </w:rPr>
        <w:t>无变化</w:t>
      </w:r>
      <w:r>
        <w:rPr>
          <w:rFonts w:ascii="Times New Roman" w:eastAsia="仿宋_GB2312"/>
          <w:b w:val="0"/>
          <w:sz w:val="32"/>
          <w:szCs w:val="32"/>
        </w:rPr>
        <w:t>。</w:t>
      </w:r>
    </w:p>
    <w:p>
      <w:pPr>
        <w:widowControl/>
        <w:spacing w:before="0" w:beforeLines="0" w:beforeAutospacing="0" w:after="0" w:afterLines="0" w:afterAutospacing="0" w:line="360" w:lineRule="auto"/>
        <w:ind w:firstLine="640" w:firstLineChars="200"/>
        <w:jc w:val="left"/>
        <w:rPr>
          <w:rFonts w:hint="eastAsia" w:ascii="Times New Roman" w:eastAsia="仿宋_GB2312"/>
          <w:sz w:val="32"/>
          <w:szCs w:val="32"/>
          <w:lang w:eastAsia="zh-CN"/>
        </w:rPr>
      </w:pPr>
      <w:r>
        <w:rPr>
          <w:rFonts w:ascii="Times New Roman" w:eastAsia="仿宋_GB2312"/>
          <w:b w:val="0"/>
          <w:sz w:val="32"/>
          <w:szCs w:val="32"/>
        </w:rPr>
        <w:t>3.</w:t>
      </w:r>
      <w:r>
        <w:rPr>
          <w:rFonts w:hint="eastAsia" w:ascii="Times New Roman" w:eastAsia="仿宋_GB2312"/>
          <w:b w:val="0"/>
          <w:sz w:val="32"/>
          <w:szCs w:val="32"/>
          <w:lang w:eastAsia="zh-CN"/>
        </w:rPr>
        <w:t>我单位本年无</w:t>
      </w:r>
      <w:r>
        <w:rPr>
          <w:rFonts w:ascii="Times New Roman" w:eastAsia="仿宋_GB2312"/>
          <w:b w:val="0"/>
          <w:sz w:val="32"/>
          <w:szCs w:val="32"/>
        </w:rPr>
        <w:t>国有资本经营预算财政拨款本年收入</w:t>
      </w:r>
      <w:r>
        <w:rPr>
          <w:rFonts w:hint="eastAsia" w:ascii="Times New Roman" w:eastAsia="仿宋_GB2312"/>
          <w:b w:val="0"/>
          <w:sz w:val="32"/>
          <w:szCs w:val="32"/>
          <w:lang w:eastAsia="zh-CN"/>
        </w:rPr>
        <w:t>及本年支出。</w:t>
      </w:r>
    </w:p>
    <w:p>
      <w:pPr>
        <w:pStyle w:val="1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ascii="Times New Roman" w:hAnsi="Times New Roman" w:eastAsia="Arial" w:cs="Times New Roman"/>
          <w:highlight w:val="none"/>
        </w:rPr>
      </w:pPr>
    </w:p>
    <w:p>
      <w:pPr>
        <w:pStyle w:val="1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eastAsia="仿宋_GB2312" w:cs="Times New Roman"/>
          <w:color w:val="auto"/>
          <w:kern w:val="0"/>
          <w:sz w:val="32"/>
          <w:szCs w:val="32"/>
          <w:highlight w:val="none"/>
          <w:lang w:val="en-US" w:eastAsia="zh-CN" w:bidi="ar-SA"/>
        </w:rPr>
      </w:pPr>
      <w:r>
        <w:rPr>
          <w:rFonts w:ascii="Times New Roman" w:hAnsi="Times New Roman" w:eastAsia="仿宋_GB2312"/>
          <w:sz w:val="32"/>
          <w:szCs w:val="32"/>
          <w:highlight w:val="none"/>
        </w:rPr>
        <w:drawing>
          <wp:inline distT="0" distB="0" distL="114300" distR="114300">
            <wp:extent cx="5256530" cy="2988310"/>
            <wp:effectExtent l="5080" t="4445" r="8890" b="17145"/>
            <wp:docPr id="11" name="图表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（三）财政拨款支出决算结构情况</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2024年度财政拨款支出8,706.98万元，主要用于以下方面：</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一般公共预算财政拨款支出：</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文化旅游体育与传媒（类）支出8,570.17万元，占98.4%，主要用于</w:t>
      </w:r>
      <w:r>
        <w:rPr>
          <w:rFonts w:hint="eastAsia" w:ascii="Times New Roman" w:eastAsia="仿宋_GB2312"/>
          <w:b w:val="0"/>
          <w:sz w:val="32"/>
          <w:szCs w:val="32"/>
          <w:lang w:eastAsia="zh-CN"/>
        </w:rPr>
        <w:t>在职人员及退休人员工资、津贴补贴、职工养老保险等人员支出</w:t>
      </w:r>
      <w:r>
        <w:rPr>
          <w:rFonts w:hint="eastAsia" w:ascii="Times New Roman" w:eastAsia="仿宋_GB2312"/>
          <w:b w:val="0"/>
          <w:sz w:val="32"/>
          <w:szCs w:val="32"/>
          <w:lang w:val="en-US" w:eastAsia="zh-CN"/>
        </w:rPr>
        <w:t>5177.7万元；</w:t>
      </w:r>
      <w:r>
        <w:rPr>
          <w:rFonts w:hint="eastAsia" w:ascii="Times New Roman" w:eastAsia="仿宋_GB2312"/>
          <w:b w:val="0"/>
          <w:sz w:val="32"/>
          <w:szCs w:val="32"/>
          <w:lang w:eastAsia="zh-CN"/>
        </w:rPr>
        <w:t>节目购买制作及播出等相关项目支出</w:t>
      </w:r>
      <w:r>
        <w:rPr>
          <w:rFonts w:hint="eastAsia" w:ascii="Times New Roman" w:eastAsia="仿宋_GB2312"/>
          <w:b w:val="0"/>
          <w:sz w:val="32"/>
          <w:szCs w:val="32"/>
          <w:lang w:val="en-US" w:eastAsia="zh-CN"/>
        </w:rPr>
        <w:t>3392.47万元</w:t>
      </w:r>
      <w:r>
        <w:rPr>
          <w:rFonts w:ascii="Times New Roman" w:eastAsia="仿宋_GB2312"/>
          <w:b w:val="0"/>
          <w:sz w:val="32"/>
          <w:szCs w:val="32"/>
        </w:rPr>
        <w:t>。</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政府性基金预算财政拨款支出：</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债务付息（类）支出136.81万元，占1.6%，主要用于</w:t>
      </w:r>
      <w:r>
        <w:rPr>
          <w:rFonts w:hint="eastAsia" w:ascii="Times New Roman" w:eastAsia="仿宋_GB2312"/>
          <w:b w:val="0"/>
          <w:sz w:val="32"/>
          <w:szCs w:val="32"/>
          <w:lang w:eastAsia="zh-CN"/>
        </w:rPr>
        <w:t>支付债券利息及利息服务费</w:t>
      </w:r>
      <w:r>
        <w:rPr>
          <w:rFonts w:ascii="Times New Roman" w:eastAsia="仿宋_GB2312"/>
          <w:b w:val="0"/>
          <w:sz w:val="32"/>
          <w:szCs w:val="32"/>
        </w:rPr>
        <w:t>等支出。</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国有资本经营预算财政拨款支出：</w:t>
      </w:r>
    </w:p>
    <w:p>
      <w:pPr>
        <w:pStyle w:val="1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ind w:right="0" w:firstLine="640" w:firstLineChars="200"/>
        <w:jc w:val="left"/>
        <w:textAlignment w:val="auto"/>
        <w:rPr>
          <w:rFonts w:hint="default" w:ascii="Times New Roman" w:hAnsi="Times New Roman" w:eastAsia="仿宋_GB2312" w:cs="Times New Roman"/>
          <w:color w:val="auto"/>
          <w:kern w:val="2"/>
          <w:sz w:val="32"/>
          <w:szCs w:val="32"/>
          <w:lang w:val="zh-CN" w:eastAsia="zh-CN" w:bidi="ar-SA"/>
        </w:rPr>
      </w:pPr>
      <w:r>
        <w:rPr>
          <w:rFonts w:hint="eastAsia" w:ascii="Times New Roman" w:eastAsia="仿宋_GB2312"/>
          <w:b w:val="0"/>
          <w:sz w:val="32"/>
          <w:szCs w:val="32"/>
          <w:lang w:eastAsia="zh-CN"/>
        </w:rPr>
        <w:t>我单位无国有资本经营预算财政拨款支出。</w:t>
      </w:r>
      <w:r>
        <w:rPr>
          <w:rFonts w:ascii="Times New Roman" w:hAnsi="Times New Roman" w:eastAsia="仿宋_GB2312"/>
          <w:kern w:val="2"/>
          <w:sz w:val="32"/>
          <w:szCs w:val="32"/>
          <w:lang w:val="zh-CN"/>
        </w:rPr>
        <w:drawing>
          <wp:inline distT="0" distB="0" distL="114300" distR="114300">
            <wp:extent cx="5859145" cy="2988310"/>
            <wp:effectExtent l="5080" t="4445" r="15875" b="17145"/>
            <wp:docPr id="13" name="图表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（四）一般公共预算基本支出决算情况说明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2024年度财政拨款基本支出5,177.70万元，其中：</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人员经费5,177.70万元，主要包括基本工资、津贴补贴、奖金、绩效工资、机关事业部门基本养老保险缴费、职业年金缴费、职工基本医疗保险缴费、公务员医疗补助缴费、住房公积金、医疗费、其他社会保障缴费、其他工资福利支出、离休费、退休费、生活补助、其他对个人和家庭的补助支出。</w:t>
      </w:r>
    </w:p>
    <w:p>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五、财政拨款“三公”经费支出决算情况说明</w:t>
      </w:r>
    </w:p>
    <w:p>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（一）“三公”经费财政拨款支出决算总体情况说明</w:t>
      </w:r>
    </w:p>
    <w:p>
      <w:pPr>
        <w:widowControl/>
        <w:spacing w:before="0" w:beforeLines="0" w:beforeAutospacing="0" w:after="0" w:afterLines="0" w:afterAutospacing="0" w:line="360" w:lineRule="auto"/>
        <w:ind w:firstLine="640" w:firstLineChars="200"/>
        <w:jc w:val="left"/>
        <w:rPr>
          <w:rFonts w:hint="eastAsia" w:ascii="Times New Roman" w:eastAsia="仿宋_GB2312"/>
          <w:sz w:val="32"/>
          <w:szCs w:val="32"/>
          <w:lang w:eastAsia="zh-CN"/>
        </w:rPr>
      </w:pPr>
      <w:r>
        <w:rPr>
          <w:rFonts w:hint="eastAsia" w:ascii="Times New Roman" w:eastAsia="仿宋_GB2312"/>
          <w:b w:val="0"/>
          <w:sz w:val="32"/>
          <w:szCs w:val="32"/>
          <w:lang w:eastAsia="zh-CN"/>
        </w:rPr>
        <w:t>本</w:t>
      </w:r>
      <w:r>
        <w:rPr>
          <w:rFonts w:ascii="Times New Roman" w:eastAsia="仿宋_GB2312"/>
          <w:b w:val="0"/>
          <w:sz w:val="32"/>
          <w:szCs w:val="32"/>
        </w:rPr>
        <w:t>单位2024年度</w:t>
      </w:r>
      <w:r>
        <w:rPr>
          <w:rFonts w:hint="eastAsia" w:ascii="Times New Roman" w:eastAsia="仿宋_GB2312"/>
          <w:b w:val="0"/>
          <w:sz w:val="32"/>
          <w:szCs w:val="32"/>
          <w:lang w:eastAsia="zh-CN"/>
        </w:rPr>
        <w:t>无</w:t>
      </w:r>
      <w:r>
        <w:rPr>
          <w:rFonts w:ascii="Times New Roman" w:eastAsia="仿宋_GB2312"/>
          <w:b w:val="0"/>
          <w:sz w:val="32"/>
          <w:szCs w:val="32"/>
        </w:rPr>
        <w:t>“三公”经费财政拨款支出</w:t>
      </w:r>
      <w:r>
        <w:rPr>
          <w:rFonts w:hint="eastAsia" w:ascii="Times New Roman" w:eastAsia="仿宋_GB2312"/>
          <w:b w:val="0"/>
          <w:sz w:val="32"/>
          <w:szCs w:val="32"/>
          <w:lang w:eastAsia="zh-CN"/>
        </w:rPr>
        <w:t>。</w:t>
      </w:r>
    </w:p>
    <w:p>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（二）“三公”经费财政拨款支出决算具体情况说明</w:t>
      </w:r>
    </w:p>
    <w:p>
      <w:pPr>
        <w:widowControl/>
        <w:spacing w:before="0" w:beforeLines="0" w:beforeAutospacing="0" w:after="0" w:afterLines="0" w:afterAutospacing="0" w:line="360" w:lineRule="auto"/>
        <w:ind w:firstLine="643" w:firstLineChars="200"/>
        <w:jc w:val="left"/>
        <w:rPr>
          <w:rFonts w:hint="eastAsia" w:ascii="Times New Roman" w:eastAsia="楷体_GB2312"/>
          <w:sz w:val="32"/>
          <w:szCs w:val="32"/>
          <w:lang w:eastAsia="zh-CN"/>
        </w:rPr>
      </w:pPr>
      <w:r>
        <w:rPr>
          <w:rFonts w:ascii="Times New Roman" w:eastAsia="楷体_GB2312"/>
          <w:b/>
          <w:sz w:val="32"/>
          <w:szCs w:val="32"/>
        </w:rPr>
        <w:t>1.因公出国（境）费支出情况。</w:t>
      </w:r>
      <w:r>
        <w:rPr>
          <w:rFonts w:hint="eastAsia" w:ascii="Times New Roman" w:eastAsia="仿宋_GB2312"/>
          <w:b w:val="0"/>
          <w:sz w:val="32"/>
          <w:szCs w:val="32"/>
          <w:lang w:eastAsia="zh-CN"/>
        </w:rPr>
        <w:t>本单位无此项支出。</w:t>
      </w:r>
    </w:p>
    <w:p>
      <w:pPr>
        <w:widowControl/>
        <w:spacing w:before="0" w:beforeLines="0" w:beforeAutospacing="0" w:after="0" w:afterLines="0" w:afterAutospacing="0" w:line="360" w:lineRule="auto"/>
        <w:ind w:firstLine="643" w:firstLineChars="200"/>
        <w:jc w:val="left"/>
        <w:rPr>
          <w:rFonts w:hint="eastAsia" w:ascii="Times New Roman" w:eastAsia="楷体_GB2312"/>
          <w:sz w:val="32"/>
          <w:szCs w:val="32"/>
          <w:lang w:eastAsia="zh-CN"/>
        </w:rPr>
      </w:pPr>
      <w:r>
        <w:rPr>
          <w:rFonts w:ascii="Times New Roman" w:eastAsia="楷体_GB2312"/>
          <w:b/>
          <w:sz w:val="32"/>
          <w:szCs w:val="32"/>
        </w:rPr>
        <w:t>2.公务用车购置及运行维护费支出情况。</w:t>
      </w:r>
      <w:r>
        <w:rPr>
          <w:rFonts w:hint="eastAsia" w:ascii="Times New Roman" w:eastAsia="仿宋_GB2312"/>
          <w:b w:val="0"/>
          <w:sz w:val="32"/>
          <w:szCs w:val="32"/>
          <w:lang w:eastAsia="zh-CN"/>
        </w:rPr>
        <w:t>本单位无此项支出。</w:t>
      </w:r>
    </w:p>
    <w:p>
      <w:pPr>
        <w:widowControl/>
        <w:spacing w:before="0" w:beforeLines="0" w:beforeAutospacing="0" w:after="0" w:afterLines="0" w:afterAutospacing="0" w:line="360" w:lineRule="auto"/>
        <w:ind w:firstLine="643" w:firstLineChars="200"/>
        <w:jc w:val="left"/>
        <w:rPr>
          <w:rFonts w:hint="eastAsia" w:ascii="Times New Roman" w:eastAsia="仿宋_GB2312"/>
          <w:sz w:val="32"/>
          <w:szCs w:val="32"/>
          <w:lang w:eastAsia="zh-CN"/>
        </w:rPr>
      </w:pPr>
      <w:r>
        <w:rPr>
          <w:rFonts w:ascii="Times New Roman" w:eastAsia="楷体_GB2312"/>
          <w:b/>
          <w:sz w:val="32"/>
          <w:szCs w:val="32"/>
        </w:rPr>
        <w:t>3.公务接待费支出情况。</w:t>
      </w:r>
      <w:r>
        <w:rPr>
          <w:rFonts w:ascii="Times New Roman" w:eastAsia="仿宋_GB2312"/>
          <w:b w:val="0"/>
          <w:sz w:val="32"/>
          <w:szCs w:val="32"/>
        </w:rPr>
        <w:t>本单位</w:t>
      </w:r>
      <w:r>
        <w:rPr>
          <w:rFonts w:hint="eastAsia" w:ascii="Times New Roman" w:eastAsia="仿宋_GB2312"/>
          <w:b w:val="0"/>
          <w:sz w:val="32"/>
          <w:szCs w:val="32"/>
          <w:lang w:eastAsia="zh-CN"/>
        </w:rPr>
        <w:t>无此项支出。</w:t>
      </w:r>
    </w:p>
    <w:p>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六、机关运行经费支出说明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w:t>
      </w:r>
      <w:r>
        <w:rPr>
          <w:rFonts w:hint="eastAsia" w:ascii="Times New Roman" w:eastAsia="仿宋_GB2312"/>
          <w:b w:val="0"/>
          <w:sz w:val="32"/>
          <w:szCs w:val="32"/>
          <w:lang w:eastAsia="zh-CN"/>
        </w:rPr>
        <w:t>无</w:t>
      </w:r>
      <w:r>
        <w:rPr>
          <w:rFonts w:ascii="Times New Roman" w:eastAsia="仿宋_GB2312"/>
          <w:b w:val="0"/>
          <w:sz w:val="32"/>
          <w:szCs w:val="32"/>
        </w:rPr>
        <w:t>机关运行经费支出。</w:t>
      </w:r>
    </w:p>
    <w:p>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七、政府采购支出说明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政府采购支出总额774.93万元，从采购类型来看，政府采购货物支出0.00万元、政府采购工程支出0.00万元、政府采购服务支出774.93万元。授予中小企业合同金额186.23万元，占政府采购支出总额的24.0%，其中授予小微企业合同金额186.23万元，占政府采购支出总额的24.0%。</w:t>
      </w:r>
    </w:p>
    <w:p>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八、国有资产占用情况说明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截至2024年12月31日，本单位共有车辆0辆，比上年增加0辆，</w:t>
      </w:r>
      <w:r>
        <w:rPr>
          <w:rFonts w:hint="eastAsia" w:ascii="Times New Roman" w:eastAsia="仿宋_GB2312"/>
          <w:b w:val="0"/>
          <w:sz w:val="32"/>
          <w:szCs w:val="32"/>
          <w:lang w:eastAsia="zh-CN"/>
        </w:rPr>
        <w:t>无变化</w:t>
      </w:r>
      <w:r>
        <w:rPr>
          <w:rFonts w:ascii="Times New Roman" w:eastAsia="仿宋_GB2312"/>
          <w:b w:val="0"/>
          <w:sz w:val="32"/>
          <w:szCs w:val="32"/>
        </w:rPr>
        <w:t>。</w:t>
      </w:r>
    </w:p>
    <w:p>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九、关于2024年度绩效评价情况的说明</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（一）绩效评价工作开展情况</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根据预算绩效管理要求，本单位组织对2024年度本级预算项目支出全面开展绩效自评，共涉及资金</w:t>
      </w:r>
      <w:r>
        <w:rPr>
          <w:rFonts w:hint="eastAsia" w:ascii="Times New Roman" w:eastAsia="仿宋_GB2312"/>
          <w:b w:val="0"/>
          <w:sz w:val="32"/>
          <w:szCs w:val="32"/>
          <w:lang w:val="en-US" w:eastAsia="zh-CN"/>
        </w:rPr>
        <w:t>3529.28</w:t>
      </w:r>
      <w:r>
        <w:rPr>
          <w:rFonts w:ascii="Times New Roman" w:eastAsia="仿宋_GB2312"/>
          <w:b w:val="0"/>
          <w:sz w:val="32"/>
          <w:szCs w:val="32"/>
        </w:rPr>
        <w:t>万元（决算金额）。其中，一般公共预算项目</w:t>
      </w:r>
      <w:r>
        <w:rPr>
          <w:rFonts w:hint="eastAsia" w:ascii="Times New Roman" w:eastAsia="仿宋_GB2312"/>
          <w:b w:val="0"/>
          <w:sz w:val="32"/>
          <w:szCs w:val="32"/>
          <w:lang w:val="en-US" w:eastAsia="zh-CN"/>
        </w:rPr>
        <w:t>8</w:t>
      </w:r>
      <w:r>
        <w:rPr>
          <w:rFonts w:ascii="Times New Roman" w:eastAsia="仿宋_GB2312"/>
          <w:b w:val="0"/>
          <w:sz w:val="32"/>
          <w:szCs w:val="32"/>
        </w:rPr>
        <w:t>个，涉及资金</w:t>
      </w:r>
      <w:r>
        <w:rPr>
          <w:rFonts w:hint="eastAsia" w:ascii="Times New Roman" w:eastAsia="仿宋_GB2312"/>
          <w:b w:val="0"/>
          <w:sz w:val="32"/>
          <w:szCs w:val="32"/>
          <w:lang w:val="en-US" w:eastAsia="zh-CN"/>
        </w:rPr>
        <w:t>3392.47</w:t>
      </w:r>
      <w:r>
        <w:rPr>
          <w:rFonts w:ascii="Times New Roman" w:eastAsia="仿宋_GB2312"/>
          <w:b w:val="0"/>
          <w:sz w:val="32"/>
          <w:szCs w:val="32"/>
        </w:rPr>
        <w:t>万元，占一般公共预算项目支出总额的</w:t>
      </w:r>
      <w:r>
        <w:rPr>
          <w:rFonts w:hint="eastAsia" w:ascii="Times New Roman" w:eastAsia="仿宋_GB2312"/>
          <w:b w:val="0"/>
          <w:sz w:val="32"/>
          <w:szCs w:val="32"/>
          <w:lang w:val="en-US" w:eastAsia="zh-CN"/>
        </w:rPr>
        <w:t>100</w:t>
      </w:r>
      <w:r>
        <w:rPr>
          <w:rFonts w:ascii="Times New Roman" w:eastAsia="仿宋_GB2312"/>
          <w:b w:val="0"/>
          <w:sz w:val="32"/>
          <w:szCs w:val="32"/>
        </w:rPr>
        <w:t>%；政府性基金预算项目</w:t>
      </w:r>
      <w:r>
        <w:rPr>
          <w:rFonts w:hint="eastAsia" w:ascii="Times New Roman" w:eastAsia="仿宋_GB2312"/>
          <w:b w:val="0"/>
          <w:sz w:val="32"/>
          <w:szCs w:val="32"/>
          <w:lang w:val="en-US" w:eastAsia="zh-CN"/>
        </w:rPr>
        <w:t>1</w:t>
      </w:r>
      <w:r>
        <w:rPr>
          <w:rFonts w:ascii="Times New Roman" w:eastAsia="仿宋_GB2312"/>
          <w:b w:val="0"/>
          <w:sz w:val="32"/>
          <w:szCs w:val="32"/>
        </w:rPr>
        <w:t>个，涉及资金</w:t>
      </w:r>
      <w:r>
        <w:rPr>
          <w:rFonts w:hint="eastAsia" w:ascii="Times New Roman" w:eastAsia="仿宋_GB2312"/>
          <w:b w:val="0"/>
          <w:sz w:val="32"/>
          <w:szCs w:val="32"/>
          <w:lang w:val="en-US" w:eastAsia="zh-CN"/>
        </w:rPr>
        <w:t>136.81</w:t>
      </w:r>
      <w:r>
        <w:rPr>
          <w:rFonts w:ascii="Times New Roman" w:eastAsia="仿宋_GB2312"/>
          <w:b w:val="0"/>
          <w:sz w:val="32"/>
          <w:szCs w:val="32"/>
        </w:rPr>
        <w:t>万元，占政府性基金预算项目支出总额的</w:t>
      </w:r>
      <w:r>
        <w:rPr>
          <w:rFonts w:hint="eastAsia" w:ascii="Times New Roman" w:eastAsia="仿宋_GB2312"/>
          <w:b w:val="0"/>
          <w:sz w:val="32"/>
          <w:szCs w:val="32"/>
          <w:lang w:val="en-US" w:eastAsia="zh-CN"/>
        </w:rPr>
        <w:t>100</w:t>
      </w:r>
      <w:r>
        <w:rPr>
          <w:rFonts w:ascii="Times New Roman" w:eastAsia="仿宋_GB2312"/>
          <w:b w:val="0"/>
          <w:sz w:val="32"/>
          <w:szCs w:val="32"/>
        </w:rPr>
        <w:t>%；国有资本经营预算项目</w:t>
      </w:r>
      <w:r>
        <w:rPr>
          <w:rFonts w:hint="eastAsia" w:ascii="Times New Roman" w:eastAsia="仿宋_GB2312"/>
          <w:b w:val="0"/>
          <w:sz w:val="32"/>
          <w:szCs w:val="32"/>
          <w:lang w:val="en-US" w:eastAsia="zh-CN"/>
        </w:rPr>
        <w:t>0</w:t>
      </w:r>
      <w:r>
        <w:rPr>
          <w:rFonts w:ascii="Times New Roman" w:eastAsia="仿宋_GB2312"/>
          <w:b w:val="0"/>
          <w:sz w:val="32"/>
          <w:szCs w:val="32"/>
        </w:rPr>
        <w:t>个，涉及资金</w:t>
      </w:r>
      <w:r>
        <w:rPr>
          <w:rFonts w:hint="eastAsia" w:ascii="Times New Roman" w:eastAsia="仿宋_GB2312"/>
          <w:b w:val="0"/>
          <w:sz w:val="32"/>
          <w:szCs w:val="32"/>
          <w:lang w:val="en-US" w:eastAsia="zh-CN"/>
        </w:rPr>
        <w:t>0</w:t>
      </w:r>
      <w:r>
        <w:rPr>
          <w:rFonts w:ascii="Times New Roman" w:eastAsia="仿宋_GB2312"/>
          <w:b w:val="0"/>
          <w:sz w:val="32"/>
          <w:szCs w:val="32"/>
        </w:rPr>
        <w:t>万元，占国有资本经营预算项目支出总额的</w:t>
      </w:r>
      <w:r>
        <w:rPr>
          <w:rFonts w:hint="eastAsia" w:ascii="Times New Roman" w:eastAsia="仿宋_GB2312"/>
          <w:b w:val="0"/>
          <w:sz w:val="32"/>
          <w:szCs w:val="32"/>
          <w:lang w:val="en-US" w:eastAsia="zh-CN"/>
        </w:rPr>
        <w:t>0</w:t>
      </w:r>
      <w:r>
        <w:rPr>
          <w:rFonts w:ascii="Times New Roman" w:eastAsia="仿宋_GB2312"/>
          <w:b w:val="0"/>
          <w:sz w:val="32"/>
          <w:szCs w:val="32"/>
        </w:rPr>
        <w:t>%。</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组织对</w:t>
      </w:r>
      <w:r>
        <w:rPr>
          <w:rFonts w:hint="eastAsia" w:ascii="Times New Roman" w:eastAsia="仿宋_GB2312"/>
          <w:b w:val="0"/>
          <w:sz w:val="32"/>
          <w:szCs w:val="32"/>
          <w:lang w:val="en-US" w:eastAsia="zh-CN"/>
        </w:rPr>
        <w:t>1</w:t>
      </w:r>
      <w:r>
        <w:rPr>
          <w:rFonts w:ascii="Times New Roman" w:eastAsia="仿宋_GB2312"/>
          <w:b w:val="0"/>
          <w:sz w:val="32"/>
          <w:szCs w:val="32"/>
        </w:rPr>
        <w:t>等个项目开展了部门重点评价，涉及一般公共预算支出</w:t>
      </w:r>
      <w:r>
        <w:rPr>
          <w:rFonts w:hint="eastAsia" w:ascii="Times New Roman" w:eastAsia="仿宋_GB2312"/>
          <w:b w:val="0"/>
          <w:sz w:val="32"/>
          <w:szCs w:val="32"/>
          <w:lang w:val="en-US" w:eastAsia="zh-CN"/>
        </w:rPr>
        <w:t>750</w:t>
      </w:r>
      <w:r>
        <w:rPr>
          <w:rFonts w:ascii="Times New Roman" w:eastAsia="仿宋_GB2312"/>
          <w:b w:val="0"/>
          <w:sz w:val="32"/>
          <w:szCs w:val="32"/>
        </w:rPr>
        <w:t>万元，政府性基金预算支出</w:t>
      </w:r>
      <w:r>
        <w:rPr>
          <w:rFonts w:hint="eastAsia" w:ascii="Times New Roman" w:eastAsia="仿宋_GB2312"/>
          <w:b w:val="0"/>
          <w:sz w:val="32"/>
          <w:szCs w:val="32"/>
          <w:lang w:val="en-US" w:eastAsia="zh-CN"/>
        </w:rPr>
        <w:t>0</w:t>
      </w:r>
      <w:r>
        <w:rPr>
          <w:rFonts w:ascii="Times New Roman" w:eastAsia="仿宋_GB2312"/>
          <w:b w:val="0"/>
          <w:sz w:val="32"/>
          <w:szCs w:val="32"/>
        </w:rPr>
        <w:t>万元，国有资本经营预算支出</w:t>
      </w:r>
      <w:r>
        <w:rPr>
          <w:rFonts w:hint="eastAsia" w:ascii="Times New Roman" w:eastAsia="仿宋_GB2312"/>
          <w:b w:val="0"/>
          <w:sz w:val="32"/>
          <w:szCs w:val="32"/>
          <w:lang w:val="en-US" w:eastAsia="zh-CN"/>
        </w:rPr>
        <w:t>0</w:t>
      </w:r>
      <w:r>
        <w:rPr>
          <w:rFonts w:ascii="Times New Roman" w:eastAsia="仿宋_GB2312"/>
          <w:b w:val="0"/>
          <w:sz w:val="32"/>
          <w:szCs w:val="32"/>
        </w:rPr>
        <w:t>万元。</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（二）部门决算中项目绩效自评结果</w:t>
      </w:r>
    </w:p>
    <w:p>
      <w:pPr>
        <w:widowControl/>
        <w:spacing w:before="0" w:beforeLines="0" w:beforeAutospacing="0" w:after="0" w:afterLines="0" w:afterAutospacing="0" w:line="360" w:lineRule="auto"/>
        <w:ind w:firstLine="640" w:firstLineChars="200"/>
        <w:jc w:val="left"/>
        <w:rPr>
          <w:rFonts w:ascii="Times New Roman" w:eastAsia="仿宋_GB2312"/>
          <w:b w:val="0"/>
          <w:sz w:val="32"/>
          <w:szCs w:val="32"/>
          <w:highlight w:val="none"/>
        </w:rPr>
      </w:pPr>
      <w:r>
        <w:rPr>
          <w:rFonts w:ascii="Times New Roman" w:eastAsia="仿宋_GB2312"/>
          <w:b w:val="0"/>
          <w:sz w:val="32"/>
          <w:szCs w:val="32"/>
          <w:highlight w:val="none"/>
        </w:rPr>
        <w:t>根据年初设定的绩效目标，</w:t>
      </w:r>
      <w:r>
        <w:rPr>
          <w:rFonts w:ascii="Times New Roman" w:eastAsia="仿宋_GB2312"/>
          <w:b w:val="0"/>
          <w:sz w:val="32"/>
          <w:szCs w:val="32"/>
        </w:rPr>
        <w:t>本单位在今年部门决算公开中反映</w:t>
      </w:r>
      <w:r>
        <w:rPr>
          <w:rFonts w:hint="eastAsia" w:ascii="Times New Roman" w:eastAsia="仿宋_GB2312"/>
          <w:b w:val="0"/>
          <w:sz w:val="32"/>
          <w:szCs w:val="32"/>
          <w:lang w:eastAsia="zh-CN"/>
        </w:rPr>
        <w:t>预算项目</w:t>
      </w:r>
      <w:r>
        <w:rPr>
          <w:rFonts w:hint="eastAsia" w:ascii="Times New Roman" w:eastAsia="仿宋_GB2312"/>
          <w:b w:val="0"/>
          <w:sz w:val="32"/>
          <w:szCs w:val="32"/>
          <w:lang w:val="en-US" w:eastAsia="zh-CN"/>
        </w:rPr>
        <w:t>9</w:t>
      </w:r>
      <w:r>
        <w:rPr>
          <w:rFonts w:ascii="Times New Roman" w:eastAsia="仿宋_GB2312"/>
          <w:b w:val="0"/>
          <w:sz w:val="32"/>
          <w:szCs w:val="32"/>
        </w:rPr>
        <w:t>个项目绩效自评结果。</w:t>
      </w:r>
      <w:r>
        <w:rPr>
          <w:rFonts w:ascii="Times New Roman" w:eastAsia="仿宋_GB2312"/>
          <w:b w:val="0"/>
          <w:sz w:val="32"/>
          <w:szCs w:val="32"/>
          <w:highlight w:val="none"/>
        </w:rPr>
        <w:t>绩效自评得分为</w:t>
      </w:r>
      <w:r>
        <w:rPr>
          <w:rFonts w:hint="eastAsia" w:ascii="Times New Roman" w:eastAsia="仿宋_GB2312"/>
          <w:b w:val="0"/>
          <w:sz w:val="32"/>
          <w:szCs w:val="32"/>
          <w:highlight w:val="none"/>
          <w:lang w:val="en-US" w:eastAsia="zh-CN"/>
        </w:rPr>
        <w:t>100</w:t>
      </w:r>
      <w:r>
        <w:rPr>
          <w:rFonts w:ascii="Times New Roman" w:eastAsia="仿宋_GB2312"/>
          <w:b w:val="0"/>
          <w:sz w:val="32"/>
          <w:szCs w:val="32"/>
          <w:highlight w:val="none"/>
        </w:rPr>
        <w:t>分</w:t>
      </w:r>
      <w:r>
        <w:rPr>
          <w:rFonts w:hint="eastAsia" w:ascii="Times New Roman" w:eastAsia="仿宋_GB2312"/>
          <w:b w:val="0"/>
          <w:sz w:val="32"/>
          <w:szCs w:val="32"/>
          <w:highlight w:val="none"/>
          <w:lang w:eastAsia="zh-CN"/>
        </w:rPr>
        <w:t>的</w:t>
      </w:r>
      <w:r>
        <w:rPr>
          <w:rFonts w:ascii="Times New Roman" w:eastAsia="仿宋_GB2312"/>
          <w:b w:val="0"/>
          <w:sz w:val="32"/>
          <w:szCs w:val="32"/>
          <w:highlight w:val="none"/>
        </w:rPr>
        <w:t>项目</w:t>
      </w:r>
      <w:r>
        <w:rPr>
          <w:rFonts w:hint="eastAsia" w:ascii="Times New Roman" w:eastAsia="仿宋_GB2312"/>
          <w:b w:val="0"/>
          <w:sz w:val="32"/>
          <w:szCs w:val="32"/>
          <w:highlight w:val="none"/>
          <w:lang w:val="en-US" w:eastAsia="zh-CN"/>
        </w:rPr>
        <w:t>8个</w:t>
      </w:r>
      <w:r>
        <w:rPr>
          <w:rFonts w:hint="eastAsia" w:ascii="Times New Roman" w:eastAsia="仿宋_GB2312"/>
          <w:b w:val="0"/>
          <w:sz w:val="32"/>
          <w:szCs w:val="32"/>
          <w:highlight w:val="none"/>
          <w:lang w:eastAsia="zh-CN"/>
        </w:rPr>
        <w:t>，</w:t>
      </w:r>
      <w:r>
        <w:rPr>
          <w:rFonts w:hint="eastAsia" w:ascii="Times New Roman" w:eastAsia="仿宋_GB2312"/>
          <w:b w:val="0"/>
          <w:sz w:val="32"/>
          <w:szCs w:val="32"/>
          <w:highlight w:val="none"/>
          <w:lang w:val="en-US" w:eastAsia="zh-CN"/>
        </w:rPr>
        <w:t>90分以上绩效自评得分项目1个，90分以下绩效自评得分项目0个</w:t>
      </w:r>
      <w:r>
        <w:rPr>
          <w:rFonts w:hint="eastAsia" w:ascii="Times New Roman" w:eastAsia="仿宋_GB2312"/>
          <w:b w:val="0"/>
          <w:sz w:val="32"/>
          <w:szCs w:val="32"/>
          <w:highlight w:val="none"/>
          <w:lang w:eastAsia="zh-CN"/>
        </w:rPr>
        <w:t>。</w:t>
      </w:r>
      <w:r>
        <w:rPr>
          <w:rFonts w:ascii="Times New Roman" w:eastAsia="仿宋_GB2312"/>
          <w:b w:val="0"/>
          <w:sz w:val="32"/>
          <w:szCs w:val="32"/>
          <w:highlight w:val="none"/>
        </w:rPr>
        <w:t>全年预算数为</w:t>
      </w:r>
      <w:r>
        <w:rPr>
          <w:rFonts w:hint="eastAsia" w:ascii="Times New Roman" w:eastAsia="仿宋_GB2312"/>
          <w:b w:val="0"/>
          <w:sz w:val="32"/>
          <w:szCs w:val="32"/>
          <w:highlight w:val="none"/>
          <w:lang w:val="en-US" w:eastAsia="zh-CN"/>
        </w:rPr>
        <w:t>3529.28</w:t>
      </w:r>
      <w:r>
        <w:rPr>
          <w:rFonts w:ascii="Times New Roman" w:eastAsia="仿宋_GB2312"/>
          <w:b w:val="0"/>
          <w:sz w:val="32"/>
          <w:szCs w:val="32"/>
          <w:highlight w:val="none"/>
        </w:rPr>
        <w:t>万元，执行数为</w:t>
      </w:r>
      <w:r>
        <w:rPr>
          <w:rFonts w:hint="eastAsia" w:ascii="Times New Roman" w:eastAsia="仿宋_GB2312"/>
          <w:b w:val="0"/>
          <w:sz w:val="32"/>
          <w:szCs w:val="32"/>
          <w:highlight w:val="none"/>
          <w:lang w:val="en-US" w:eastAsia="zh-CN"/>
        </w:rPr>
        <w:t>3529.28</w:t>
      </w:r>
      <w:r>
        <w:rPr>
          <w:rFonts w:ascii="Times New Roman" w:eastAsia="仿宋_GB2312"/>
          <w:b w:val="0"/>
          <w:sz w:val="32"/>
          <w:szCs w:val="32"/>
          <w:highlight w:val="none"/>
        </w:rPr>
        <w:t>万元，完成预算的</w:t>
      </w:r>
      <w:r>
        <w:rPr>
          <w:rFonts w:hint="eastAsia" w:ascii="Times New Roman" w:eastAsia="仿宋_GB2312"/>
          <w:b w:val="0"/>
          <w:sz w:val="32"/>
          <w:szCs w:val="32"/>
          <w:highlight w:val="none"/>
          <w:lang w:val="en-US" w:eastAsia="zh-CN"/>
        </w:rPr>
        <w:t>100</w:t>
      </w:r>
      <w:r>
        <w:rPr>
          <w:rFonts w:ascii="Times New Roman" w:eastAsia="仿宋_GB2312"/>
          <w:b w:val="0"/>
          <w:sz w:val="32"/>
          <w:szCs w:val="32"/>
          <w:highlight w:val="none"/>
        </w:rPr>
        <w:t>%。</w:t>
      </w:r>
    </w:p>
    <w:p>
      <w:pPr>
        <w:pStyle w:val="17"/>
        <w:ind w:firstLine="640"/>
        <w:rPr>
          <w:rFonts w:hint="eastAsia" w:ascii="Times New Roman" w:eastAsia="仿宋_GB2312"/>
          <w:b w:val="0"/>
          <w:sz w:val="32"/>
          <w:szCs w:val="32"/>
          <w:highlight w:val="none"/>
          <w:lang w:val="en-US" w:eastAsia="zh-CN"/>
        </w:rPr>
      </w:pPr>
      <w:r>
        <w:rPr>
          <w:rFonts w:hint="eastAsia" w:ascii="Times New Roman" w:eastAsia="仿宋_GB2312"/>
          <w:b w:val="0"/>
          <w:sz w:val="32"/>
          <w:szCs w:val="32"/>
          <w:highlight w:val="none"/>
          <w:lang w:val="en-US" w:eastAsia="zh-CN"/>
        </w:rPr>
        <w:t>公益节目购买制作费项目绩效自评情况：根据年初设定的目标，公益节目购买制作费项目绩效自评得分为100分（绩效自评表附后）。全年预算数为2000万元，执行数为2000万元，完成预算的100%。通过项目实施，完成了年初设定的各项绩效目标，制作了有分量、有力度、有温度的新闻报道，扎实推进了2024实事宣传报道工作。未发现问题。</w:t>
      </w:r>
    </w:p>
    <w:p>
      <w:pPr>
        <w:pStyle w:val="17"/>
        <w:rPr>
          <w:rFonts w:hint="default" w:eastAsia="仿宋_GB2312"/>
          <w:lang w:val="en-US" w:eastAsia="zh-CN"/>
        </w:rPr>
      </w:pPr>
      <w:r>
        <w:rPr>
          <w:rFonts w:hint="eastAsia" w:ascii="Times New Roman" w:eastAsia="仿宋_GB2312"/>
          <w:b w:val="0"/>
          <w:sz w:val="32"/>
          <w:szCs w:val="32"/>
          <w:highlight w:val="none"/>
          <w:lang w:val="en-US" w:eastAsia="zh-CN"/>
        </w:rPr>
        <w:t xml:space="preserve">    融媒体建设补助资金项目绩效自评情况：根据年初设定的目标，融媒体建设补助资金项目绩效自评得分为100分（绩效自评表附后）。全年预算数为750万元，执行数为750万元，完成预算的100%。通过项目实施，完成了年初设定的各项绩效目标，将党和政府的声音传递给人民群众，向着新型广电融媒体迈出了坚实的步伐。未发现问题。</w:t>
      </w:r>
    </w:p>
    <w:p>
      <w:pPr>
        <w:pStyle w:val="17"/>
        <w:ind w:firstLine="640" w:firstLineChars="200"/>
        <w:rPr>
          <w:rFonts w:hint="default" w:eastAsia="仿宋_GB2312"/>
          <w:lang w:val="en-US" w:eastAsia="zh-CN"/>
        </w:rPr>
      </w:pPr>
      <w:r>
        <w:rPr>
          <w:rFonts w:hint="eastAsia" w:ascii="Times New Roman" w:eastAsia="仿宋_GB2312"/>
          <w:b w:val="0"/>
          <w:sz w:val="32"/>
          <w:szCs w:val="32"/>
          <w:highlight w:val="none"/>
          <w:lang w:val="en-US" w:eastAsia="zh-CN"/>
        </w:rPr>
        <w:t>贷款贴息项目绩效自评情况：根据年初设定的目标，贷款贴息项目绩效自评得分为100分（绩效自评表附后）。全年预算数为500万元，执行数为500万元，完成预算的100%。通过项目实施，完成了年初设定的各项绩效目标，全部用于支付银行贷款利息，缓解债务压力，保障资金正常运转。未发现问题。</w:t>
      </w:r>
    </w:p>
    <w:p>
      <w:pPr>
        <w:pStyle w:val="17"/>
        <w:ind w:firstLine="640" w:firstLineChars="200"/>
        <w:rPr>
          <w:rFonts w:hint="eastAsia" w:ascii="Times New Roman" w:eastAsia="仿宋_GB2312"/>
          <w:b w:val="0"/>
          <w:sz w:val="32"/>
          <w:szCs w:val="32"/>
          <w:highlight w:val="none"/>
          <w:lang w:val="en-US" w:eastAsia="zh-CN"/>
        </w:rPr>
      </w:pPr>
      <w:r>
        <w:rPr>
          <w:rFonts w:hint="eastAsia" w:ascii="Times New Roman" w:eastAsia="仿宋_GB2312"/>
          <w:b w:val="0"/>
          <w:sz w:val="32"/>
          <w:szCs w:val="32"/>
          <w:highlight w:val="none"/>
          <w:lang w:val="en-US" w:eastAsia="zh-CN"/>
        </w:rPr>
        <w:t>专项债券利息项目绩效自评情况：根据年初设定的目标，专项债券利息项目绩效自评得分为100分（绩效自评表附后）。全年预算数为136.8万元，执行数为136.8万元，完成预算的100%。通过项目实施，完成了年初设定的各项绩效目标，全部用于支付专项债券利息，缓解债务压力，避免人才流失，提高节目质量。未发现问题。</w:t>
      </w:r>
    </w:p>
    <w:p>
      <w:pPr>
        <w:pStyle w:val="17"/>
        <w:ind w:firstLine="640" w:firstLineChars="200"/>
        <w:rPr>
          <w:rFonts w:hint="eastAsia" w:ascii="Times New Roman" w:eastAsia="仿宋_GB2312"/>
          <w:b w:val="0"/>
          <w:sz w:val="32"/>
          <w:szCs w:val="32"/>
          <w:highlight w:val="none"/>
          <w:lang w:val="en-US" w:eastAsia="zh-CN"/>
        </w:rPr>
      </w:pPr>
      <w:r>
        <w:rPr>
          <w:rFonts w:hint="eastAsia" w:ascii="Times New Roman" w:eastAsia="仿宋_GB2312"/>
          <w:b w:val="0"/>
          <w:sz w:val="32"/>
          <w:szCs w:val="32"/>
          <w:highlight w:val="none"/>
          <w:lang w:val="en-US" w:eastAsia="zh-CN"/>
        </w:rPr>
        <w:t>专项债券利息服务费项目绩效自评情况：根据年初设定的目标，专项债券利息服务费项目绩效自评得分为100分（绩效自评表附后）。全年预算数为0.01万元，执行数为0.01万元，完成预算的100%。通过项目实施，完成了年初设定的各项绩效目标，全部用于支付专项债券利息服务费，缓解债务压力，避免人才流失，提高节目质量。未发现问题。</w:t>
      </w:r>
    </w:p>
    <w:p>
      <w:pPr>
        <w:pStyle w:val="17"/>
        <w:ind w:firstLine="640" w:firstLineChars="200"/>
        <w:rPr>
          <w:rFonts w:hint="eastAsia" w:ascii="Times New Roman" w:eastAsia="仿宋_GB2312"/>
          <w:b w:val="0"/>
          <w:sz w:val="32"/>
          <w:szCs w:val="32"/>
          <w:highlight w:val="none"/>
          <w:lang w:val="en-US" w:eastAsia="zh-CN"/>
        </w:rPr>
      </w:pPr>
      <w:r>
        <w:rPr>
          <w:rFonts w:hint="eastAsia" w:ascii="Times New Roman" w:eastAsia="仿宋_GB2312"/>
          <w:b w:val="0"/>
          <w:sz w:val="32"/>
          <w:szCs w:val="32"/>
          <w:highlight w:val="none"/>
          <w:lang w:val="en-US" w:eastAsia="zh-CN"/>
        </w:rPr>
        <w:t>石家庄电视发射台项目绩效自评情况：根据年初设定的目标，石家庄电视发射台项目绩效自评得分为100分（绩效自评表附后）。全年预算数为31.2万元，执行数为31.2万元，完成预算的100%。通过项目实施，完成了年初设定的各项绩效目标，确保地面数字电视有效覆盖，提高央视传播影响力。未发现问题。</w:t>
      </w:r>
    </w:p>
    <w:p>
      <w:pPr>
        <w:pStyle w:val="17"/>
        <w:ind w:firstLine="640" w:firstLineChars="200"/>
        <w:rPr>
          <w:rFonts w:hint="eastAsia" w:ascii="Times New Roman" w:eastAsia="仿宋_GB2312"/>
          <w:b w:val="0"/>
          <w:sz w:val="32"/>
          <w:szCs w:val="32"/>
          <w:highlight w:val="none"/>
          <w:lang w:val="en-US" w:eastAsia="zh-CN"/>
        </w:rPr>
      </w:pPr>
      <w:r>
        <w:rPr>
          <w:rFonts w:hint="eastAsia" w:ascii="Times New Roman" w:eastAsia="仿宋_GB2312"/>
          <w:b w:val="0"/>
          <w:sz w:val="32"/>
          <w:szCs w:val="32"/>
          <w:highlight w:val="none"/>
          <w:lang w:val="en-US" w:eastAsia="zh-CN"/>
        </w:rPr>
        <w:t>石家庄中波台项目绩效自评情况：根据年初设定的目标，石家庄中波台项目绩效自评得分为100分（绩效自评表附后）。全年预算数为12万元，执行数为12万元，完成预算的100%。通过项目实施，完成了年初设定的各项绩效目标，定期对各系统进行日常维护、检测、调整，确保3套中波频率播出良好运行。未发现问题。</w:t>
      </w:r>
    </w:p>
    <w:p>
      <w:pPr>
        <w:pStyle w:val="2"/>
        <w:keepNext w:val="0"/>
        <w:keepLines w:val="0"/>
        <w:pageBreakBefore w:val="0"/>
        <w:widowControl w:val="0"/>
        <w:kinsoku/>
        <w:wordWrap/>
        <w:overflowPunct/>
        <w:topLinePunct w:val="0"/>
        <w:autoSpaceDE/>
        <w:autoSpaceDN/>
        <w:bidi w:val="0"/>
        <w:spacing w:line="600" w:lineRule="exact"/>
        <w:ind w:right="0" w:rightChars="0" w:firstLine="640"/>
        <w:jc w:val="both"/>
        <w:textAlignment w:val="auto"/>
        <w:rPr>
          <w:rFonts w:hint="eastAsia" w:ascii="Times New Roman" w:eastAsia="仿宋_GB2312"/>
          <w:b w:val="0"/>
          <w:sz w:val="32"/>
          <w:szCs w:val="32"/>
          <w:highlight w:val="none"/>
          <w:lang w:val="en-US" w:eastAsia="zh-CN"/>
        </w:rPr>
      </w:pPr>
      <w:r>
        <w:rPr>
          <w:rFonts w:hint="eastAsia" w:ascii="仿宋_GB2312" w:hAnsi="仿宋_GB2312" w:eastAsia="仿宋_GB2312" w:cs="仿宋_GB2312"/>
          <w:color w:val="auto"/>
          <w:sz w:val="32"/>
          <w:szCs w:val="32"/>
          <w:lang w:val="en-US" w:eastAsia="zh-CN"/>
        </w:rPr>
        <w:t>2024市</w:t>
      </w:r>
      <w:r>
        <w:rPr>
          <w:rFonts w:hint="eastAsia" w:ascii="仿宋_GB2312" w:hAnsi="仿宋_GB2312" w:eastAsia="仿宋_GB2312" w:cs="仿宋_GB2312"/>
          <w:color w:val="auto"/>
          <w:sz w:val="32"/>
          <w:szCs w:val="32"/>
        </w:rPr>
        <w:t>级文化产业</w:t>
      </w:r>
      <w:r>
        <w:rPr>
          <w:rFonts w:hint="eastAsia" w:ascii="仿宋_GB2312" w:hAnsi="仿宋_GB2312" w:eastAsia="仿宋_GB2312" w:cs="仿宋_GB2312"/>
          <w:color w:val="auto"/>
          <w:sz w:val="32"/>
          <w:szCs w:val="32"/>
          <w:lang w:eastAsia="zh-CN"/>
        </w:rPr>
        <w:t>繁荣</w:t>
      </w:r>
      <w:r>
        <w:rPr>
          <w:rFonts w:hint="eastAsia" w:ascii="仿宋_GB2312" w:hAnsi="仿宋_GB2312" w:eastAsia="仿宋_GB2312" w:cs="仿宋_GB2312"/>
          <w:color w:val="auto"/>
          <w:sz w:val="32"/>
          <w:szCs w:val="32"/>
        </w:rPr>
        <w:t>资金</w:t>
      </w:r>
      <w:r>
        <w:rPr>
          <w:rFonts w:hint="eastAsia" w:ascii="仿宋_GB2312" w:hAnsi="仿宋_GB2312" w:eastAsia="仿宋_GB2312" w:cs="仿宋_GB2312"/>
          <w:color w:val="auto"/>
          <w:sz w:val="32"/>
          <w:szCs w:val="32"/>
          <w:lang w:val="en-US" w:eastAsia="zh-CN"/>
        </w:rPr>
        <w:t>《穿越诗文遇见你》</w:t>
      </w:r>
      <w:r>
        <w:rPr>
          <w:rFonts w:hint="eastAsia" w:ascii="Times New Roman" w:eastAsia="仿宋_GB2312"/>
          <w:b w:val="0"/>
          <w:sz w:val="32"/>
          <w:szCs w:val="32"/>
          <w:highlight w:val="none"/>
          <w:lang w:val="en-US" w:eastAsia="zh-CN"/>
        </w:rPr>
        <w:t>项目绩效自评情况：根据年初设定的目标，</w:t>
      </w:r>
      <w:r>
        <w:rPr>
          <w:rFonts w:hint="eastAsia" w:ascii="仿宋_GB2312" w:hAnsi="仿宋_GB2312" w:eastAsia="仿宋_GB2312" w:cs="仿宋_GB2312"/>
          <w:color w:val="auto"/>
          <w:sz w:val="32"/>
          <w:szCs w:val="32"/>
          <w:lang w:val="en-US" w:eastAsia="zh-CN"/>
        </w:rPr>
        <w:t>《穿越诗文遇见你》</w:t>
      </w:r>
      <w:r>
        <w:rPr>
          <w:rFonts w:hint="eastAsia" w:ascii="Times New Roman" w:eastAsia="仿宋_GB2312"/>
          <w:b w:val="0"/>
          <w:sz w:val="32"/>
          <w:szCs w:val="32"/>
          <w:highlight w:val="none"/>
          <w:lang w:val="en-US" w:eastAsia="zh-CN"/>
        </w:rPr>
        <w:t>项目绩效自评得分为99.5分（绩效自评表附后）。</w:t>
      </w:r>
      <w:r>
        <w:rPr>
          <w:rFonts w:hint="eastAsia" w:ascii="仿宋_GB2312" w:hAnsi="仿宋_GB2312" w:eastAsia="仿宋_GB2312" w:cs="仿宋_GB2312"/>
          <w:color w:val="auto"/>
          <w:sz w:val="32"/>
          <w:szCs w:val="32"/>
          <w:lang w:val="en-US" w:eastAsia="zh-CN"/>
        </w:rPr>
        <w:t>项目全年资金99.27万元，其中财政资金49.27万元，自筹资金50万元，全部执行到位。</w:t>
      </w:r>
      <w:r>
        <w:rPr>
          <w:rFonts w:hint="eastAsia" w:ascii="Times New Roman" w:eastAsia="仿宋_GB2312"/>
          <w:b w:val="0"/>
          <w:sz w:val="32"/>
          <w:szCs w:val="32"/>
          <w:highlight w:val="none"/>
          <w:lang w:val="en-US" w:eastAsia="zh-CN"/>
        </w:rPr>
        <w:t>完成预算的100%。通过项目实施，完成了年初设定的各项绩效目标，节目和视频在多平台播出，</w:t>
      </w:r>
      <w:r>
        <w:rPr>
          <w:rFonts w:hint="eastAsia" w:ascii="仿宋_GB2312" w:hAnsi="仿宋_GB2312" w:eastAsia="仿宋_GB2312" w:cs="仿宋_GB2312"/>
          <w:color w:val="auto"/>
          <w:sz w:val="32"/>
          <w:szCs w:val="32"/>
        </w:rPr>
        <w:t>以诗文的全新视角更好地弘扬燕赵文化、历史文化，提升观众对石家庄的文化认同感</w:t>
      </w:r>
      <w:r>
        <w:rPr>
          <w:rFonts w:hint="eastAsia" w:ascii="仿宋_GB2312" w:hAnsi="仿宋_GB2312" w:eastAsia="仿宋_GB2312" w:cs="仿宋_GB2312"/>
          <w:color w:val="auto"/>
          <w:sz w:val="32"/>
          <w:szCs w:val="32"/>
          <w:lang w:eastAsia="zh-CN"/>
        </w:rPr>
        <w:t>，</w:t>
      </w:r>
      <w:r>
        <w:rPr>
          <w:rFonts w:hint="eastAsia" w:ascii="Times New Roman" w:eastAsia="仿宋_GB2312"/>
          <w:b w:val="0"/>
          <w:sz w:val="32"/>
          <w:szCs w:val="32"/>
          <w:highlight w:val="none"/>
          <w:lang w:val="en-US" w:eastAsia="zh-CN"/>
        </w:rPr>
        <w:t>持续激发开拓省会人民进取的信心和动力，达到促进、激励、鼓干劲的作用。未发现问题。</w:t>
      </w:r>
    </w:p>
    <w:p>
      <w:pPr>
        <w:pStyle w:val="2"/>
        <w:keepNext w:val="0"/>
        <w:keepLines w:val="0"/>
        <w:pageBreakBefore w:val="0"/>
        <w:widowControl w:val="0"/>
        <w:kinsoku/>
        <w:wordWrap/>
        <w:overflowPunct/>
        <w:topLinePunct w:val="0"/>
        <w:autoSpaceDE/>
        <w:autoSpaceDN/>
        <w:bidi w:val="0"/>
        <w:spacing w:line="600" w:lineRule="exact"/>
        <w:ind w:right="0" w:rightChars="0" w:firstLine="640"/>
        <w:jc w:val="both"/>
        <w:textAlignment w:val="auto"/>
        <w:rPr>
          <w:rFonts w:hint="default" w:ascii="Times New Roman" w:eastAsia="仿宋_GB2312"/>
          <w:b w:val="0"/>
          <w:sz w:val="32"/>
          <w:szCs w:val="32"/>
          <w:highlight w:val="none"/>
          <w:lang w:val="en-US" w:eastAsia="zh-CN"/>
        </w:rPr>
      </w:pPr>
      <w:r>
        <w:rPr>
          <w:rFonts w:hint="eastAsia" w:ascii="Times New Roman" w:eastAsia="仿宋_GB2312"/>
          <w:b w:val="0"/>
          <w:sz w:val="32"/>
          <w:szCs w:val="32"/>
          <w:highlight w:val="none"/>
          <w:lang w:val="en-US" w:eastAsia="zh-CN"/>
        </w:rPr>
        <w:t>2024市级文化产业繁荣引导资金广播剧《齐齐花坦与河北梆子》项目绩效自评情况，根据年初设定的目标，《齐齐花坦与河北梆子》项目绩效自评得分为99.5分（绩效自评表附后）。项目全年资金70万元，其中财政资金50万元，自筹资金20万，全部执行到位，完成预算的100%。通过项目实施，完成了年初设定的各项绩效目标，点亮石家庄“北方戏窝子”戏曲文化品牌，让戏曲融入百姓生活，满足人民群众的精神文化需求，充分展示我市的文化底蕴和精神内涵。未发现问题。</w:t>
      </w:r>
    </w:p>
    <w:p>
      <w:pPr>
        <w:pStyle w:val="17"/>
        <w:ind w:firstLine="640"/>
        <w:rPr>
          <w:rFonts w:hint="default" w:ascii="Times New Roman" w:eastAsia="仿宋_GB2312"/>
          <w:b w:val="0"/>
          <w:sz w:val="32"/>
          <w:szCs w:val="32"/>
          <w:highlight w:val="none"/>
          <w:lang w:val="en-US" w:eastAsia="zh-CN"/>
        </w:rPr>
      </w:pPr>
    </w:p>
    <w:p>
      <w:pPr>
        <w:pStyle w:val="17"/>
        <w:ind w:firstLine="640"/>
        <w:rPr>
          <w:rFonts w:hint="default" w:ascii="Times New Roman" w:eastAsia="仿宋_GB2312"/>
          <w:b w:val="0"/>
          <w:sz w:val="32"/>
          <w:szCs w:val="32"/>
          <w:highlight w:val="none"/>
          <w:lang w:val="en-US" w:eastAsia="zh-CN"/>
        </w:rPr>
      </w:pPr>
    </w:p>
    <w:p>
      <w:pPr>
        <w:pStyle w:val="17"/>
        <w:ind w:firstLine="640"/>
        <w:rPr>
          <w:rFonts w:hint="default" w:ascii="Times New Roman" w:eastAsia="仿宋_GB2312"/>
          <w:b w:val="0"/>
          <w:sz w:val="32"/>
          <w:szCs w:val="32"/>
          <w:highlight w:val="none"/>
          <w:lang w:val="en-US" w:eastAsia="zh-CN"/>
        </w:rPr>
      </w:pPr>
    </w:p>
    <w:p>
      <w:pPr>
        <w:widowControl/>
        <w:spacing w:before="0" w:beforeLines="0" w:beforeAutospacing="0" w:after="0" w:afterLines="0" w:afterAutospacing="0" w:line="360" w:lineRule="auto"/>
        <w:ind w:firstLine="640" w:firstLineChars="200"/>
        <w:jc w:val="left"/>
        <w:rPr>
          <w:rFonts w:ascii="Times New Roman" w:eastAsia="黑体"/>
          <w:b w:val="0"/>
          <w:sz w:val="32"/>
          <w:szCs w:val="32"/>
        </w:rPr>
      </w:pPr>
    </w:p>
    <w:p>
      <w:pPr>
        <w:widowControl/>
        <w:spacing w:before="0" w:beforeLines="0" w:beforeAutospacing="0" w:after="0" w:afterLines="0" w:afterAutospacing="0" w:line="360" w:lineRule="auto"/>
        <w:ind w:firstLine="640" w:firstLineChars="200"/>
        <w:jc w:val="left"/>
        <w:rPr>
          <w:rFonts w:ascii="Times New Roman" w:eastAsia="黑体"/>
          <w:b w:val="0"/>
          <w:sz w:val="32"/>
          <w:szCs w:val="32"/>
        </w:rPr>
      </w:pPr>
    </w:p>
    <w:p>
      <w:pPr>
        <w:widowControl/>
        <w:spacing w:before="0" w:beforeLines="0" w:beforeAutospacing="0" w:after="0" w:afterLines="0" w:afterAutospacing="0" w:line="360" w:lineRule="auto"/>
        <w:ind w:firstLine="640" w:firstLineChars="200"/>
        <w:jc w:val="left"/>
        <w:rPr>
          <w:rFonts w:ascii="Times New Roman" w:eastAsia="黑体"/>
          <w:b w:val="0"/>
          <w:sz w:val="32"/>
          <w:szCs w:val="32"/>
        </w:rPr>
      </w:pPr>
    </w:p>
    <w:p>
      <w:pPr>
        <w:widowControl/>
        <w:spacing w:before="0" w:beforeLines="0" w:beforeAutospacing="0" w:after="0" w:afterLines="0" w:afterAutospacing="0" w:line="360" w:lineRule="auto"/>
        <w:ind w:firstLine="640" w:firstLineChars="200"/>
        <w:jc w:val="left"/>
        <w:rPr>
          <w:rFonts w:ascii="Times New Roman" w:eastAsia="黑体"/>
          <w:b w:val="0"/>
          <w:sz w:val="32"/>
          <w:szCs w:val="32"/>
        </w:rPr>
      </w:pPr>
    </w:p>
    <w:p>
      <w:pPr>
        <w:pStyle w:val="2"/>
        <w:rPr>
          <w:rFonts w:ascii="Times New Roman" w:eastAsia="黑体"/>
          <w:b w:val="0"/>
          <w:sz w:val="32"/>
          <w:szCs w:val="32"/>
        </w:rPr>
      </w:pPr>
    </w:p>
    <w:p>
      <w:pPr>
        <w:pStyle w:val="2"/>
        <w:rPr>
          <w:rFonts w:ascii="Times New Roman" w:eastAsia="黑体"/>
          <w:b w:val="0"/>
          <w:sz w:val="32"/>
          <w:szCs w:val="32"/>
        </w:rPr>
      </w:pPr>
    </w:p>
    <w:p>
      <w:pPr>
        <w:widowControl/>
        <w:spacing w:before="0" w:beforeLines="0" w:beforeAutospacing="0" w:after="0" w:afterLines="0" w:afterAutospacing="0" w:line="360" w:lineRule="auto"/>
        <w:ind w:firstLine="640" w:firstLineChars="200"/>
        <w:jc w:val="left"/>
        <w:rPr>
          <w:rFonts w:ascii="Times New Roman" w:eastAsia="黑体"/>
          <w:sz w:val="32"/>
          <w:szCs w:val="32"/>
        </w:rPr>
      </w:pPr>
      <w:r>
        <w:rPr>
          <w:rFonts w:ascii="Times New Roman" w:eastAsia="黑体"/>
          <w:b w:val="0"/>
          <w:sz w:val="32"/>
          <w:szCs w:val="32"/>
        </w:rPr>
        <w:t>十、其他需要说明的情况</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1.本单位2024年度国有资本经营预算财政拨款支出决算表（公开08表）、财政拨款“三公”经费支出决算表（公开09表）无相应收支，故空表列示。</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2.由于决算公开表格中金额数值应当保留两位小数，公开数据为四舍五入计算结果，个别数据合计项与分项之和存在小数点后差额，特此说明。</w:t>
      </w:r>
    </w:p>
    <w:p>
      <w:pPr>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br w:type="page"/>
      </w:r>
    </w:p>
    <w:p>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第四部分名词解释</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一、财政拨款收入：</w:t>
      </w:r>
      <w:r>
        <w:rPr>
          <w:rFonts w:ascii="Times New Roman" w:eastAsia="仿宋_GB2312"/>
          <w:b w:val="0"/>
          <w:sz w:val="32"/>
          <w:szCs w:val="32"/>
        </w:rPr>
        <w:t>指单位从同级财政部门取得的财政预算资金。</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二、事业收入：</w:t>
      </w:r>
      <w:r>
        <w:rPr>
          <w:rFonts w:ascii="Times New Roman" w:eastAsia="仿宋_GB2312"/>
          <w:b w:val="0"/>
          <w:sz w:val="32"/>
          <w:szCs w:val="32"/>
        </w:rPr>
        <w:t>指事业单位开展专业业务活动及辅助活动取得的收入。</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三、经营收入：</w:t>
      </w:r>
      <w:r>
        <w:rPr>
          <w:rFonts w:ascii="Times New Roman" w:eastAsia="仿宋_GB2312"/>
          <w:b w:val="0"/>
          <w:sz w:val="32"/>
          <w:szCs w:val="32"/>
        </w:rPr>
        <w:t>指事业单位在专业业务活动及其辅助活动之外开展非独立核算经营活动取得的收入。</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四、其他收入：</w:t>
      </w:r>
      <w:r>
        <w:rPr>
          <w:rFonts w:ascii="Times New Roman" w:eastAsia="仿宋_GB2312"/>
          <w:b w:val="0"/>
          <w:sz w:val="32"/>
          <w:szCs w:val="32"/>
        </w:rPr>
        <w:t>指单位取得的除上述收入以外的各项收入。主要是事业单位固定资产出租收入、存款利息收入等。</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五、使用非财政拨款结余（含专用结余）：</w:t>
      </w:r>
      <w:r>
        <w:rPr>
          <w:rFonts w:ascii="Times New Roman" w:eastAsia="仿宋_GB2312"/>
          <w:b w:val="0"/>
          <w:sz w:val="32"/>
          <w:szCs w:val="32"/>
        </w:rPr>
        <w:t>指事业单位按照预算管理要求使用非财政拨款结余弥补收支差额的金额，以及使用专用结余安排支出的金额。</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六、年初结转和结余：</w:t>
      </w:r>
      <w:r>
        <w:rPr>
          <w:rFonts w:ascii="Times New Roman" w:eastAsia="仿宋_GB2312"/>
          <w:b w:val="0"/>
          <w:sz w:val="32"/>
          <w:szCs w:val="32"/>
        </w:rPr>
        <w:t>指单位以前年度尚未完成、结转到本年仍按原规定用途继续使用的资金，或项目已完成等产生的结余资金。</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七、结余分配：</w:t>
      </w:r>
      <w:r>
        <w:rPr>
          <w:rFonts w:ascii="Times New Roman" w:eastAsia="仿宋_GB2312"/>
          <w:b w:val="0"/>
          <w:sz w:val="32"/>
          <w:szCs w:val="32"/>
        </w:rPr>
        <w:t>指事业单位按照会计制度规定缴纳的所得税、提取的专用结余以及转入非财政拨款结余的金额等。</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八、年末结转和结余：</w:t>
      </w:r>
      <w:r>
        <w:rPr>
          <w:rFonts w:ascii="Times New Roman" w:eastAsia="仿宋_GB2312"/>
          <w:b w:val="0"/>
          <w:sz w:val="32"/>
          <w:szCs w:val="32"/>
        </w:rPr>
        <w:t>指单位按有关规定结转到下年或以后年度继续使用的资金，或项目已完成等产生的结余资金。</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九、基本支出：</w:t>
      </w:r>
      <w:r>
        <w:rPr>
          <w:rFonts w:ascii="Times New Roman" w:eastAsia="仿宋_GB2312"/>
          <w:b w:val="0"/>
          <w:sz w:val="32"/>
          <w:szCs w:val="32"/>
        </w:rPr>
        <w:t>指为保障机构正常运转、完成日常工作任务而发生的人员支出和公用支出。</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十、项目支出：</w:t>
      </w:r>
      <w:r>
        <w:rPr>
          <w:rFonts w:ascii="Times New Roman" w:eastAsia="仿宋_GB2312"/>
          <w:b w:val="0"/>
          <w:sz w:val="32"/>
          <w:szCs w:val="32"/>
        </w:rPr>
        <w:t>指在基本支出之外为完成特定行政任务和事业发展目标所发生的支出。</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十一、经营支出：</w:t>
      </w:r>
      <w:r>
        <w:rPr>
          <w:rFonts w:ascii="Times New Roman" w:eastAsia="仿宋_GB2312"/>
          <w:b w:val="0"/>
          <w:sz w:val="32"/>
          <w:szCs w:val="32"/>
        </w:rPr>
        <w:t>指事业单位在专业业务活动及其辅助活动之外开展非独立核算经营活动发生的支出。</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十二、基本建设支出：</w:t>
      </w:r>
      <w:r>
        <w:rPr>
          <w:rFonts w:ascii="Times New Roman" w:eastAsia="仿宋_GB2312"/>
          <w:b w:val="0"/>
          <w:sz w:val="32"/>
          <w:szCs w:val="32"/>
        </w:rPr>
        <w:t>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十三、其他资本性支出：</w:t>
      </w:r>
      <w:r>
        <w:rPr>
          <w:rFonts w:ascii="Times New Roman" w:eastAsia="仿宋_GB2312"/>
          <w:b w:val="0"/>
          <w:sz w:val="32"/>
          <w:szCs w:val="32"/>
        </w:rPr>
        <w:t>填列由各级非发展与改革部门集中安排的用于购置固定资产、战备性和应急性储备、土地和无形资产，以及购建基础设施、大型修缮和财政支持企业更新改造所发生的支出。</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十四、“三公”经费：</w:t>
      </w:r>
      <w:r>
        <w:rPr>
          <w:rFonts w:ascii="Times New Roman" w:eastAsia="仿宋_GB2312"/>
          <w:b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十五、其他交通费用：</w:t>
      </w:r>
      <w:r>
        <w:rPr>
          <w:rFonts w:ascii="Times New Roman" w:eastAsia="仿宋_GB2312"/>
          <w:b w:val="0"/>
          <w:sz w:val="32"/>
          <w:szCs w:val="32"/>
        </w:rPr>
        <w:t>填列单位除公务用车运行维护费以外的其他交通费用。如公务交通补贴、租车费用、出租车费用，飞机、船舶等燃料费、维修费、保险费等。</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十六、公务用车购置：</w:t>
      </w:r>
      <w:r>
        <w:rPr>
          <w:rFonts w:ascii="Times New Roman" w:eastAsia="仿宋_GB2312"/>
          <w:b w:val="0"/>
          <w:sz w:val="32"/>
          <w:szCs w:val="32"/>
        </w:rPr>
        <w:t>填列单位公务用车车辆购置支出（含车辆购置税、牌照费）。</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十七、其他交通工具购置：</w:t>
      </w:r>
      <w:r>
        <w:rPr>
          <w:rFonts w:ascii="Times New Roman" w:eastAsia="仿宋_GB2312"/>
          <w:b w:val="0"/>
          <w:sz w:val="32"/>
          <w:szCs w:val="32"/>
        </w:rPr>
        <w:t>填列单位除公务用车外的其他各类交通工具（如船舶、飞机等）购置支出（含车辆购置税、牌照费）。</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十八、机关运行经费：</w:t>
      </w:r>
      <w:r>
        <w:rPr>
          <w:rFonts w:ascii="Times New Roman" w:eastAsia="仿宋_GB2312"/>
          <w:b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sectPr>
      <w:pgSz w:w="11906" w:h="16838"/>
      <w:pgMar w:top="2098" w:right="1417" w:bottom="1871" w:left="1417" w:header="851" w:footer="992" w:gutter="0"/>
      <w:pgBorders>
        <w:top w:val="none" w:sz="0" w:space="0"/>
        <w:left w:val="none" w:sz="0" w:space="0"/>
        <w:bottom w:val="none" w:sz="0" w:space="0"/>
        <w:right w:val="none" w:sz="0" w:space="0"/>
      </w:pgBorders>
      <w:cols w:space="0" w:num="1"/>
      <w:rtlGutter w:val="0"/>
      <w:docGrid w:type="lines" w:linePitch="329"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7A"/>
    <w:family w:val="auto"/>
    <w:pitch w:val="default"/>
    <w:sig w:usb0="E0002AFF" w:usb1="C0007841"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embedRegular r:id="rId1" w:fontKey="{2577CC0F-E113-479B-AEF1-6A33E3F09F83}"/>
  </w:font>
  <w:font w:name="黑体">
    <w:panose1 w:val="02010609060101010101"/>
    <w:charset w:val="86"/>
    <w:family w:val="auto"/>
    <w:pitch w:val="default"/>
    <w:sig w:usb0="800002BF" w:usb1="38CF7CFA" w:usb2="00000016" w:usb3="00000000" w:csb0="00040001" w:csb1="00000000"/>
    <w:embedRegular r:id="rId2" w:fontKey="{F443AC01-268B-4B9C-9212-411FAF281817}"/>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embedRegular r:id="rId3" w:fontKey="{2E4CE14E-5A5A-4C85-A380-E4D72C976034}"/>
  </w:font>
  <w:font w:name="仿宋">
    <w:panose1 w:val="02010609060101010101"/>
    <w:charset w:val="86"/>
    <w:family w:val="modern"/>
    <w:pitch w:val="default"/>
    <w:sig w:usb0="800002BF" w:usb1="38CF7CFA" w:usb2="00000016" w:usb3="00000000" w:csb0="00040001" w:csb1="00000000"/>
    <w:embedRegular r:id="rId4" w:fontKey="{487973DC-F56E-412A-A15E-92EC49B2C773}"/>
  </w:font>
  <w:font w:name="Calibri Light">
    <w:altName w:val="Calibri"/>
    <w:panose1 w:val="020F0302020204030204"/>
    <w:charset w:val="00"/>
    <w:family w:val="auto"/>
    <w:pitch w:val="default"/>
    <w:sig w:usb0="00000000" w:usb1="00000000" w:usb2="00000009" w:usb3="00000000" w:csb0="200001FF" w:csb1="00000000"/>
  </w:font>
  <w:font w:name="华文中宋">
    <w:altName w:val="宋体"/>
    <w:panose1 w:val="02010600040101010101"/>
    <w:charset w:val="86"/>
    <w:family w:val="auto"/>
    <w:pitch w:val="default"/>
    <w:sig w:usb0="00000000" w:usb1="00000000" w:usb2="00000000" w:usb3="00000000" w:csb0="0004009F" w:csb1="DFD70000"/>
  </w:font>
  <w:font w:name="楷体_GB2312">
    <w:panose1 w:val="02010609030101010101"/>
    <w:charset w:val="86"/>
    <w:family w:val="auto"/>
    <w:pitch w:val="default"/>
    <w:sig w:usb0="00000001" w:usb1="080E0000" w:usb2="00000000" w:usb3="00000000" w:csb0="00040000" w:csb1="00000000"/>
    <w:embedRegular r:id="rId5" w:fontKey="{F572114C-64FC-4C44-BBC8-DAE1D7F7E4A0}"/>
  </w:font>
  <w:font w:name="方正小标宋_GBK">
    <w:panose1 w:val="02000000000000000000"/>
    <w:charset w:val="86"/>
    <w:family w:val="script"/>
    <w:pitch w:val="default"/>
    <w:sig w:usb0="A00002BF" w:usb1="38CF7CFA" w:usb2="00082016" w:usb3="00000000" w:csb0="00040001" w:csb1="00000000"/>
    <w:embedRegular r:id="rId6" w:fontKey="{BE0C176E-75A7-402E-B34F-5C724C968119}"/>
  </w:font>
  <w:font w:name="仿宋_GB2312">
    <w:panose1 w:val="02010609030101010101"/>
    <w:charset w:val="86"/>
    <w:family w:val="auto"/>
    <w:pitch w:val="default"/>
    <w:sig w:usb0="00000001" w:usb1="080E0000" w:usb2="00000000" w:usb3="00000000" w:csb0="00040000" w:csb1="00000000"/>
    <w:embedRegular r:id="rId7" w:fontKey="{40021042-4A73-4684-A34D-19651FE947F4}"/>
  </w:font>
  <w:font w:name="华文仿宋">
    <w:altName w:val="仿宋"/>
    <w:panose1 w:val="02010600040101010101"/>
    <w:charset w:val="86"/>
    <w:family w:val="auto"/>
    <w:pitch w:val="default"/>
    <w:sig w:usb0="00000000" w:usb1="00000000" w:usb2="00000010" w:usb3="00000000" w:csb0="0004009F" w:csb1="00000000"/>
    <w:embedRegular r:id="rId8" w:fontKey="{746914E2-34C2-4994-B909-92EABBF78C20}"/>
  </w:font>
  <w:font w:name="ArialUnicodeMS">
    <w:altName w:val="Malgun Gothic"/>
    <w:panose1 w:val="00000000000000000000"/>
    <w:charset w:val="81"/>
    <w:family w:val="auto"/>
    <w:pitch w:val="default"/>
    <w:sig w:usb0="00000000" w:usb1="00000000" w:usb2="00000010" w:usb3="00000000" w:csb0="00080001" w:csb1="00000000"/>
    <w:embedRegular r:id="rId9" w:fontKey="{53FC9B68-E402-46BF-9A08-EBFF4F8229E4}"/>
  </w:font>
  <w:font w:name="Malgun Gothic">
    <w:panose1 w:val="020B0503020000020004"/>
    <w:charset w:val="81"/>
    <w:family w:val="auto"/>
    <w:pitch w:val="default"/>
    <w:sig w:usb0="900002AF" w:usb1="01D77CFB" w:usb2="00000012" w:usb3="00000000" w:csb0="00080001" w:csb1="00000000"/>
  </w:font>
  <w:font w:name="方正仿宋_GB2312">
    <w:altName w:val="仿宋"/>
    <w:panose1 w:val="02000000000000000000"/>
    <w:charset w:val="86"/>
    <w:family w:val="auto"/>
    <w:pitch w:val="default"/>
    <w:sig w:usb0="00000000" w:usb1="00000000" w:usb2="00000012" w:usb3="00000000" w:csb0="00040001" w:csb1="00000000"/>
    <w:embedRegular r:id="rId10" w:fontKey="{B635DA0E-80D2-450D-94D3-8B17CCB3C50E}"/>
  </w:font>
  <w:font w:name="微软雅黑">
    <w:panose1 w:val="020B0503020204020204"/>
    <w:charset w:val="86"/>
    <w:family w:val="auto"/>
    <w:pitch w:val="default"/>
    <w:sig w:usb0="80000287" w:usb1="280F3C52"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0"/>
      <w:jc w:val="center"/>
    </w:pPr>
  </w:p>
  <w:p>
    <w:pPr>
      <w:pStyle w:val="1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0"/>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5F16A424"/>
    <w:multiLevelType w:val="multilevel"/>
    <w:tmpl w:val="5F16A424"/>
    <w:lvl w:ilvl="0" w:tentative="0">
      <w:start w:val="1"/>
      <w:numFmt w:val="decimal"/>
      <w:pStyle w:val="4"/>
      <w:lvlText w:val="%1."/>
      <w:lvlJc w:val="left"/>
      <w:pPr>
        <w:ind w:left="425" w:hanging="425"/>
      </w:pPr>
      <w:rPr>
        <w:rFonts w:hint="default"/>
      </w:rPr>
    </w:lvl>
    <w:lvl w:ilvl="1" w:tentative="0">
      <w:start w:val="1"/>
      <w:numFmt w:val="decimal"/>
      <w:pStyle w:val="5"/>
      <w:lvlText w:val="%1.%2."/>
      <w:lvlJc w:val="left"/>
      <w:pPr>
        <w:ind w:left="567" w:hanging="567"/>
      </w:pPr>
      <w:rPr>
        <w:rFonts w:hint="default"/>
      </w:rPr>
    </w:lvl>
    <w:lvl w:ilvl="2" w:tentative="0">
      <w:start w:val="1"/>
      <w:numFmt w:val="decimal"/>
      <w:pStyle w:val="6"/>
      <w:lvlText w:val="%1.%2.%3."/>
      <w:lvlJc w:val="left"/>
      <w:pPr>
        <w:ind w:left="709" w:hanging="709"/>
      </w:pPr>
      <w:rPr>
        <w:rFonts w:hint="default"/>
      </w:rPr>
    </w:lvl>
    <w:lvl w:ilvl="3" w:tentative="0">
      <w:start w:val="1"/>
      <w:numFmt w:val="decimal"/>
      <w:pStyle w:val="7"/>
      <w:lvlText w:val="%1.%2.%3.%4."/>
      <w:lvlJc w:val="left"/>
      <w:pPr>
        <w:ind w:left="850" w:hanging="850"/>
      </w:pPr>
      <w:rPr>
        <w:rFonts w:hint="default"/>
      </w:rPr>
    </w:lvl>
    <w:lvl w:ilvl="4" w:tentative="0">
      <w:start w:val="1"/>
      <w:numFmt w:val="decimal"/>
      <w:lvlText w:val="%1.%2.%3.%4.%5."/>
      <w:lvlJc w:val="left"/>
      <w:pPr>
        <w:ind w:left="991" w:hanging="991"/>
      </w:pPr>
      <w:rPr>
        <w:rFonts w:hint="default"/>
      </w:rPr>
    </w:lvl>
    <w:lvl w:ilvl="5" w:tentative="0">
      <w:start w:val="1"/>
      <w:numFmt w:val="decimal"/>
      <w:lvlText w:val="%1.%2.%3.%4.%5.%6."/>
      <w:lvlJc w:val="left"/>
      <w:pPr>
        <w:ind w:left="1134" w:hanging="1134"/>
      </w:pPr>
      <w:rPr>
        <w:rFonts w:hint="default"/>
      </w:rPr>
    </w:lvl>
    <w:lvl w:ilvl="6" w:tentative="0">
      <w:start w:val="1"/>
      <w:numFmt w:val="decimal"/>
      <w:lvlText w:val="%1.%2.%3.%4.%5.%6.%7."/>
      <w:lvlJc w:val="left"/>
      <w:pPr>
        <w:ind w:left="1275" w:hanging="1275"/>
      </w:pPr>
      <w:rPr>
        <w:rFonts w:hint="default"/>
      </w:rPr>
    </w:lvl>
    <w:lvl w:ilvl="7" w:tentative="0">
      <w:start w:val="1"/>
      <w:numFmt w:val="decimal"/>
      <w:lvlText w:val="%1.%2.%3.%4.%5.%6.%7.%8."/>
      <w:lvlJc w:val="left"/>
      <w:pPr>
        <w:ind w:left="1418" w:hanging="1418"/>
      </w:pPr>
      <w:rPr>
        <w:rFonts w:hint="default"/>
      </w:rPr>
    </w:lvl>
    <w:lvl w:ilvl="8" w:tentative="0">
      <w:start w:val="1"/>
      <w:numFmt w:val="decimal"/>
      <w:lvlText w:val="%1.%2.%3.%4.%5.%6.%7.%8.%9."/>
      <w:lvlJc w:val="left"/>
      <w:pPr>
        <w:ind w:left="1558" w:hanging="1558"/>
      </w:pPr>
      <w:rPr>
        <w:rFont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isplayBackgroundShape w:val="1"/>
  <w:embedTrueTypeFonts/>
  <w:saveSubsetFonts/>
  <w:bordersDoNotSurroundHeader w:val="0"/>
  <w:bordersDoNotSurroundFooter w:val="0"/>
  <w:documentProtection w:enforcement="0"/>
  <w:defaultTabStop w:val="420"/>
  <w:drawingGridVerticalSpacing w:val="165"/>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jb3VudCI6NjksImhkaWQiOiJiMzk2N2EzZjUyYWViODRjZjJhMDZjM2YyYjk4MTExMiIsInVzZXJDb3VudCI6MX0="/>
  </w:docVars>
  <w:rsids>
    <w:rsidRoot w:val="00000000"/>
    <w:rsid w:val="00086151"/>
    <w:rsid w:val="00236F8C"/>
    <w:rsid w:val="00822154"/>
    <w:rsid w:val="00C65689"/>
    <w:rsid w:val="00CC2C8E"/>
    <w:rsid w:val="010F399F"/>
    <w:rsid w:val="01A03C5A"/>
    <w:rsid w:val="01A5267D"/>
    <w:rsid w:val="01AF6A8D"/>
    <w:rsid w:val="024808A2"/>
    <w:rsid w:val="025C3821"/>
    <w:rsid w:val="02DA3B1B"/>
    <w:rsid w:val="02E57B4D"/>
    <w:rsid w:val="03450B90"/>
    <w:rsid w:val="037B12D4"/>
    <w:rsid w:val="03804D63"/>
    <w:rsid w:val="03FB73B0"/>
    <w:rsid w:val="04806B11"/>
    <w:rsid w:val="049C1B9D"/>
    <w:rsid w:val="04BD008C"/>
    <w:rsid w:val="04C55939"/>
    <w:rsid w:val="04DA28BB"/>
    <w:rsid w:val="04F528BE"/>
    <w:rsid w:val="050E10CE"/>
    <w:rsid w:val="054F2DFB"/>
    <w:rsid w:val="05991C82"/>
    <w:rsid w:val="05AA4217"/>
    <w:rsid w:val="05CD1EC8"/>
    <w:rsid w:val="061416A9"/>
    <w:rsid w:val="061D60A6"/>
    <w:rsid w:val="06236884"/>
    <w:rsid w:val="06B07006"/>
    <w:rsid w:val="06FC7C2A"/>
    <w:rsid w:val="07533AFE"/>
    <w:rsid w:val="07AC18F2"/>
    <w:rsid w:val="07B3657A"/>
    <w:rsid w:val="07C857D0"/>
    <w:rsid w:val="083F3A0A"/>
    <w:rsid w:val="08AB5AAF"/>
    <w:rsid w:val="09012C64"/>
    <w:rsid w:val="093B2E99"/>
    <w:rsid w:val="095D7943"/>
    <w:rsid w:val="09C006C6"/>
    <w:rsid w:val="0A10621F"/>
    <w:rsid w:val="0A464C4F"/>
    <w:rsid w:val="0A6729A3"/>
    <w:rsid w:val="0A694877"/>
    <w:rsid w:val="0AA954BE"/>
    <w:rsid w:val="0AE70639"/>
    <w:rsid w:val="0B4F5E6D"/>
    <w:rsid w:val="0B753AE2"/>
    <w:rsid w:val="0BB67D0A"/>
    <w:rsid w:val="0BC56230"/>
    <w:rsid w:val="0BCF21BD"/>
    <w:rsid w:val="0C4E53E8"/>
    <w:rsid w:val="0C6712D6"/>
    <w:rsid w:val="0C9F7900"/>
    <w:rsid w:val="0CB23317"/>
    <w:rsid w:val="0D101068"/>
    <w:rsid w:val="0D4E13BE"/>
    <w:rsid w:val="0D7557DF"/>
    <w:rsid w:val="0D853E34"/>
    <w:rsid w:val="0D9C2A57"/>
    <w:rsid w:val="0DC3019B"/>
    <w:rsid w:val="0DFA5D82"/>
    <w:rsid w:val="0E1E52CE"/>
    <w:rsid w:val="0E866524"/>
    <w:rsid w:val="0E9268D3"/>
    <w:rsid w:val="0E957F1F"/>
    <w:rsid w:val="0F0E7284"/>
    <w:rsid w:val="0F28110F"/>
    <w:rsid w:val="0F37083F"/>
    <w:rsid w:val="0F7470AF"/>
    <w:rsid w:val="0F891DB8"/>
    <w:rsid w:val="0F8D3287"/>
    <w:rsid w:val="0FAA3B86"/>
    <w:rsid w:val="10191346"/>
    <w:rsid w:val="102A01A6"/>
    <w:rsid w:val="105A290D"/>
    <w:rsid w:val="10754A6C"/>
    <w:rsid w:val="108B537D"/>
    <w:rsid w:val="10B11DB1"/>
    <w:rsid w:val="11177F57"/>
    <w:rsid w:val="11217C97"/>
    <w:rsid w:val="11464C20"/>
    <w:rsid w:val="115E4926"/>
    <w:rsid w:val="118A1FFA"/>
    <w:rsid w:val="11DD6047"/>
    <w:rsid w:val="11E35B5A"/>
    <w:rsid w:val="11E42DD6"/>
    <w:rsid w:val="125F5A1B"/>
    <w:rsid w:val="126979D6"/>
    <w:rsid w:val="129E45A7"/>
    <w:rsid w:val="13074404"/>
    <w:rsid w:val="136A5C00"/>
    <w:rsid w:val="13B97B08"/>
    <w:rsid w:val="13C527AC"/>
    <w:rsid w:val="14711797"/>
    <w:rsid w:val="147B6F17"/>
    <w:rsid w:val="14D42061"/>
    <w:rsid w:val="15081C8B"/>
    <w:rsid w:val="15090D5C"/>
    <w:rsid w:val="15CF053D"/>
    <w:rsid w:val="15E0131A"/>
    <w:rsid w:val="15E11DC0"/>
    <w:rsid w:val="16457D9F"/>
    <w:rsid w:val="17223EFF"/>
    <w:rsid w:val="17AA5F28"/>
    <w:rsid w:val="17B713F6"/>
    <w:rsid w:val="184350A0"/>
    <w:rsid w:val="18935485"/>
    <w:rsid w:val="18A34206"/>
    <w:rsid w:val="18DE3B2C"/>
    <w:rsid w:val="1906685D"/>
    <w:rsid w:val="19111683"/>
    <w:rsid w:val="19353916"/>
    <w:rsid w:val="193E101D"/>
    <w:rsid w:val="19C10AF1"/>
    <w:rsid w:val="1A017CDA"/>
    <w:rsid w:val="1A2672DE"/>
    <w:rsid w:val="1AA81D42"/>
    <w:rsid w:val="1AB433D9"/>
    <w:rsid w:val="1AFB6D70"/>
    <w:rsid w:val="1B1B11EE"/>
    <w:rsid w:val="1B3719E0"/>
    <w:rsid w:val="1B6261C3"/>
    <w:rsid w:val="1B731730"/>
    <w:rsid w:val="1B882BB5"/>
    <w:rsid w:val="1B9B33C7"/>
    <w:rsid w:val="1B9D7FEC"/>
    <w:rsid w:val="1BA55461"/>
    <w:rsid w:val="1BE74496"/>
    <w:rsid w:val="1C3D67D1"/>
    <w:rsid w:val="1C40731A"/>
    <w:rsid w:val="1C506572"/>
    <w:rsid w:val="1C560392"/>
    <w:rsid w:val="1C581532"/>
    <w:rsid w:val="1C9F2E05"/>
    <w:rsid w:val="1CA15E03"/>
    <w:rsid w:val="1CA24F0C"/>
    <w:rsid w:val="1CF8716C"/>
    <w:rsid w:val="1D1638FE"/>
    <w:rsid w:val="1D1E545A"/>
    <w:rsid w:val="1D4B1F5B"/>
    <w:rsid w:val="1D6C5CA0"/>
    <w:rsid w:val="1D725586"/>
    <w:rsid w:val="1D745B4F"/>
    <w:rsid w:val="1D867987"/>
    <w:rsid w:val="1D944010"/>
    <w:rsid w:val="1DD70E85"/>
    <w:rsid w:val="1DE74AD7"/>
    <w:rsid w:val="1DF60A19"/>
    <w:rsid w:val="1DFA6713"/>
    <w:rsid w:val="1E050843"/>
    <w:rsid w:val="1E2D3FB0"/>
    <w:rsid w:val="1E2E50F1"/>
    <w:rsid w:val="1E3B4E26"/>
    <w:rsid w:val="1EDF707D"/>
    <w:rsid w:val="1F394761"/>
    <w:rsid w:val="1F65664C"/>
    <w:rsid w:val="1F7C149A"/>
    <w:rsid w:val="1F84140D"/>
    <w:rsid w:val="1F9B7FFD"/>
    <w:rsid w:val="1F9C7614"/>
    <w:rsid w:val="1FBE1971"/>
    <w:rsid w:val="2008768D"/>
    <w:rsid w:val="204B327F"/>
    <w:rsid w:val="204C2B10"/>
    <w:rsid w:val="207D30AD"/>
    <w:rsid w:val="209064B9"/>
    <w:rsid w:val="20970D81"/>
    <w:rsid w:val="20D165D5"/>
    <w:rsid w:val="210878E6"/>
    <w:rsid w:val="210E1408"/>
    <w:rsid w:val="211069AD"/>
    <w:rsid w:val="21573FAB"/>
    <w:rsid w:val="2172069C"/>
    <w:rsid w:val="21987BC4"/>
    <w:rsid w:val="21BE314A"/>
    <w:rsid w:val="220451AB"/>
    <w:rsid w:val="2237486E"/>
    <w:rsid w:val="223D1378"/>
    <w:rsid w:val="22451BC7"/>
    <w:rsid w:val="22940650"/>
    <w:rsid w:val="22AD4B1E"/>
    <w:rsid w:val="22C43743"/>
    <w:rsid w:val="22D31DF3"/>
    <w:rsid w:val="22FD3CF7"/>
    <w:rsid w:val="232C221B"/>
    <w:rsid w:val="2356249E"/>
    <w:rsid w:val="236E713A"/>
    <w:rsid w:val="23700968"/>
    <w:rsid w:val="238761A6"/>
    <w:rsid w:val="23920578"/>
    <w:rsid w:val="23BB6F9A"/>
    <w:rsid w:val="23FC3864"/>
    <w:rsid w:val="24731335"/>
    <w:rsid w:val="24857B00"/>
    <w:rsid w:val="24F25212"/>
    <w:rsid w:val="251B0465"/>
    <w:rsid w:val="254B0AC6"/>
    <w:rsid w:val="25571AB6"/>
    <w:rsid w:val="25B40AD6"/>
    <w:rsid w:val="25BE7872"/>
    <w:rsid w:val="25BF702A"/>
    <w:rsid w:val="26390459"/>
    <w:rsid w:val="264D2D17"/>
    <w:rsid w:val="26D50E55"/>
    <w:rsid w:val="271A539C"/>
    <w:rsid w:val="273823FA"/>
    <w:rsid w:val="274972D4"/>
    <w:rsid w:val="27AA3D97"/>
    <w:rsid w:val="280A3758"/>
    <w:rsid w:val="28292E99"/>
    <w:rsid w:val="28353E69"/>
    <w:rsid w:val="289057C5"/>
    <w:rsid w:val="28A67C7A"/>
    <w:rsid w:val="28EA3248"/>
    <w:rsid w:val="28F879DA"/>
    <w:rsid w:val="294B7731"/>
    <w:rsid w:val="29514455"/>
    <w:rsid w:val="29D21FF2"/>
    <w:rsid w:val="2A611B0F"/>
    <w:rsid w:val="2AC1762B"/>
    <w:rsid w:val="2AE845D0"/>
    <w:rsid w:val="2B4975FB"/>
    <w:rsid w:val="2B695031"/>
    <w:rsid w:val="2B735A8F"/>
    <w:rsid w:val="2BA7478D"/>
    <w:rsid w:val="2BB038DB"/>
    <w:rsid w:val="2BB761E0"/>
    <w:rsid w:val="2BB812F9"/>
    <w:rsid w:val="2BE35C27"/>
    <w:rsid w:val="2BFA504B"/>
    <w:rsid w:val="2C681F1F"/>
    <w:rsid w:val="2C8608DC"/>
    <w:rsid w:val="2C8756C9"/>
    <w:rsid w:val="2CA4764A"/>
    <w:rsid w:val="2CC42ECA"/>
    <w:rsid w:val="2CDA4349"/>
    <w:rsid w:val="2D225539"/>
    <w:rsid w:val="2D4618D2"/>
    <w:rsid w:val="2D5F021B"/>
    <w:rsid w:val="2D6E1286"/>
    <w:rsid w:val="2D70583E"/>
    <w:rsid w:val="2D943575"/>
    <w:rsid w:val="2E0725DC"/>
    <w:rsid w:val="2E1B4BB8"/>
    <w:rsid w:val="2E256CB6"/>
    <w:rsid w:val="2E5F27E4"/>
    <w:rsid w:val="2EBD223E"/>
    <w:rsid w:val="2EC10AD1"/>
    <w:rsid w:val="2ECB6A5A"/>
    <w:rsid w:val="2EE65418"/>
    <w:rsid w:val="2EFC0112"/>
    <w:rsid w:val="2F0F6197"/>
    <w:rsid w:val="2F2B730D"/>
    <w:rsid w:val="2F9F3DC1"/>
    <w:rsid w:val="2FD0216F"/>
    <w:rsid w:val="2FFC7AC2"/>
    <w:rsid w:val="301430AF"/>
    <w:rsid w:val="30630612"/>
    <w:rsid w:val="308E59B0"/>
    <w:rsid w:val="30B10568"/>
    <w:rsid w:val="30D5145E"/>
    <w:rsid w:val="30E55DD3"/>
    <w:rsid w:val="30E60399"/>
    <w:rsid w:val="31356AA5"/>
    <w:rsid w:val="313E22F0"/>
    <w:rsid w:val="31B0194C"/>
    <w:rsid w:val="31CE17D1"/>
    <w:rsid w:val="32270449"/>
    <w:rsid w:val="323E4515"/>
    <w:rsid w:val="3286389B"/>
    <w:rsid w:val="32994FDB"/>
    <w:rsid w:val="32CF5C94"/>
    <w:rsid w:val="32D337C7"/>
    <w:rsid w:val="32E200EC"/>
    <w:rsid w:val="32E5408B"/>
    <w:rsid w:val="32EB0D70"/>
    <w:rsid w:val="332824BC"/>
    <w:rsid w:val="332868BB"/>
    <w:rsid w:val="333211F3"/>
    <w:rsid w:val="33504B41"/>
    <w:rsid w:val="338B4A07"/>
    <w:rsid w:val="33944811"/>
    <w:rsid w:val="33CE0488"/>
    <w:rsid w:val="341D31EE"/>
    <w:rsid w:val="34262463"/>
    <w:rsid w:val="34296F31"/>
    <w:rsid w:val="34340A27"/>
    <w:rsid w:val="346A2989"/>
    <w:rsid w:val="348865E9"/>
    <w:rsid w:val="348F70D5"/>
    <w:rsid w:val="349D2BAD"/>
    <w:rsid w:val="34B25886"/>
    <w:rsid w:val="35277FF8"/>
    <w:rsid w:val="35763460"/>
    <w:rsid w:val="35776F72"/>
    <w:rsid w:val="35997371"/>
    <w:rsid w:val="35DD4D47"/>
    <w:rsid w:val="360134DF"/>
    <w:rsid w:val="360B1E2F"/>
    <w:rsid w:val="360D500F"/>
    <w:rsid w:val="36330424"/>
    <w:rsid w:val="36FE3ABA"/>
    <w:rsid w:val="37072BDE"/>
    <w:rsid w:val="37455334"/>
    <w:rsid w:val="37527C32"/>
    <w:rsid w:val="37731921"/>
    <w:rsid w:val="37E509C0"/>
    <w:rsid w:val="37E96FB8"/>
    <w:rsid w:val="38222D85"/>
    <w:rsid w:val="38803721"/>
    <w:rsid w:val="38925A62"/>
    <w:rsid w:val="389F5F4F"/>
    <w:rsid w:val="38C36BA2"/>
    <w:rsid w:val="38E11CEF"/>
    <w:rsid w:val="38F6595C"/>
    <w:rsid w:val="391702A7"/>
    <w:rsid w:val="39286EB6"/>
    <w:rsid w:val="39601DF4"/>
    <w:rsid w:val="396960F3"/>
    <w:rsid w:val="39840D35"/>
    <w:rsid w:val="39A97DAF"/>
    <w:rsid w:val="39CD1330"/>
    <w:rsid w:val="39DD1AFF"/>
    <w:rsid w:val="3A2510B9"/>
    <w:rsid w:val="3A2B1DFC"/>
    <w:rsid w:val="3AA6422C"/>
    <w:rsid w:val="3AAF46D5"/>
    <w:rsid w:val="3AF562AE"/>
    <w:rsid w:val="3B135A0E"/>
    <w:rsid w:val="3B272BBC"/>
    <w:rsid w:val="3B374FEE"/>
    <w:rsid w:val="3B4410EE"/>
    <w:rsid w:val="3B56159C"/>
    <w:rsid w:val="3B596DF7"/>
    <w:rsid w:val="3B7D732B"/>
    <w:rsid w:val="3BD30423"/>
    <w:rsid w:val="3C6C0B58"/>
    <w:rsid w:val="3CBE41D5"/>
    <w:rsid w:val="3D446B0E"/>
    <w:rsid w:val="3D745844"/>
    <w:rsid w:val="3D8626D0"/>
    <w:rsid w:val="3D953A6B"/>
    <w:rsid w:val="3DBB5979"/>
    <w:rsid w:val="3DD56F21"/>
    <w:rsid w:val="3DEF6699"/>
    <w:rsid w:val="3E1057AF"/>
    <w:rsid w:val="3E6C0DFA"/>
    <w:rsid w:val="3E740322"/>
    <w:rsid w:val="3E7F4380"/>
    <w:rsid w:val="3E8D171B"/>
    <w:rsid w:val="3EA5630D"/>
    <w:rsid w:val="3EBA731B"/>
    <w:rsid w:val="3EE33949"/>
    <w:rsid w:val="3EFB5800"/>
    <w:rsid w:val="3F3B4E59"/>
    <w:rsid w:val="3F6E677C"/>
    <w:rsid w:val="3F712F46"/>
    <w:rsid w:val="3FBC0EF7"/>
    <w:rsid w:val="3FCD2AB9"/>
    <w:rsid w:val="3FD17600"/>
    <w:rsid w:val="402E7C36"/>
    <w:rsid w:val="4050218A"/>
    <w:rsid w:val="405C7868"/>
    <w:rsid w:val="408B24EB"/>
    <w:rsid w:val="408D1DBF"/>
    <w:rsid w:val="40C652D1"/>
    <w:rsid w:val="417044B8"/>
    <w:rsid w:val="41A203A0"/>
    <w:rsid w:val="41A25D3E"/>
    <w:rsid w:val="41C77987"/>
    <w:rsid w:val="41E83F8C"/>
    <w:rsid w:val="422D1842"/>
    <w:rsid w:val="425B7C31"/>
    <w:rsid w:val="427D66D0"/>
    <w:rsid w:val="42BC7E02"/>
    <w:rsid w:val="42C82575"/>
    <w:rsid w:val="43022EE1"/>
    <w:rsid w:val="431A5F8F"/>
    <w:rsid w:val="431F247A"/>
    <w:rsid w:val="43335E8F"/>
    <w:rsid w:val="433F2968"/>
    <w:rsid w:val="43655F7F"/>
    <w:rsid w:val="43676E20"/>
    <w:rsid w:val="43A31040"/>
    <w:rsid w:val="43BF774E"/>
    <w:rsid w:val="43CD062F"/>
    <w:rsid w:val="43E214F9"/>
    <w:rsid w:val="43F06264"/>
    <w:rsid w:val="44404C8E"/>
    <w:rsid w:val="447537F1"/>
    <w:rsid w:val="44870D07"/>
    <w:rsid w:val="44D33826"/>
    <w:rsid w:val="45344EFF"/>
    <w:rsid w:val="45513D03"/>
    <w:rsid w:val="45541E1C"/>
    <w:rsid w:val="45FE7734"/>
    <w:rsid w:val="461F0A8B"/>
    <w:rsid w:val="4648721E"/>
    <w:rsid w:val="46663E71"/>
    <w:rsid w:val="466A37AC"/>
    <w:rsid w:val="468A1A00"/>
    <w:rsid w:val="46CB071B"/>
    <w:rsid w:val="46DE140B"/>
    <w:rsid w:val="46E77334"/>
    <w:rsid w:val="46F22E29"/>
    <w:rsid w:val="46F7142F"/>
    <w:rsid w:val="47107AE3"/>
    <w:rsid w:val="473C62ED"/>
    <w:rsid w:val="47617242"/>
    <w:rsid w:val="478C16C9"/>
    <w:rsid w:val="47BD246B"/>
    <w:rsid w:val="47CB2B0C"/>
    <w:rsid w:val="47E773CE"/>
    <w:rsid w:val="47EE2C9A"/>
    <w:rsid w:val="47F00499"/>
    <w:rsid w:val="48015FF5"/>
    <w:rsid w:val="483820D2"/>
    <w:rsid w:val="48692CD0"/>
    <w:rsid w:val="48AE3D01"/>
    <w:rsid w:val="48B96318"/>
    <w:rsid w:val="49067B2F"/>
    <w:rsid w:val="49677E31"/>
    <w:rsid w:val="496C2225"/>
    <w:rsid w:val="49A35E02"/>
    <w:rsid w:val="49AE2880"/>
    <w:rsid w:val="49F42EAF"/>
    <w:rsid w:val="4A337323"/>
    <w:rsid w:val="4A5B28DC"/>
    <w:rsid w:val="4AA06B93"/>
    <w:rsid w:val="4ADB18EB"/>
    <w:rsid w:val="4B3A6FE7"/>
    <w:rsid w:val="4B96118E"/>
    <w:rsid w:val="4BAE1B66"/>
    <w:rsid w:val="4BC806E6"/>
    <w:rsid w:val="4BED4708"/>
    <w:rsid w:val="4BF133DC"/>
    <w:rsid w:val="4C2E4987"/>
    <w:rsid w:val="4C4117A4"/>
    <w:rsid w:val="4C507D4A"/>
    <w:rsid w:val="4CDF5563"/>
    <w:rsid w:val="4CFB2214"/>
    <w:rsid w:val="4D2C4D26"/>
    <w:rsid w:val="4D335E0E"/>
    <w:rsid w:val="4D4E4EA3"/>
    <w:rsid w:val="4D9A5B1B"/>
    <w:rsid w:val="4DA55D85"/>
    <w:rsid w:val="4DBB20DB"/>
    <w:rsid w:val="4DDC3F22"/>
    <w:rsid w:val="4DE66FB2"/>
    <w:rsid w:val="4DEC6CB8"/>
    <w:rsid w:val="4E1040C7"/>
    <w:rsid w:val="4E1760BF"/>
    <w:rsid w:val="4E30647F"/>
    <w:rsid w:val="4EBA03C3"/>
    <w:rsid w:val="4EBC5459"/>
    <w:rsid w:val="4ED94CB0"/>
    <w:rsid w:val="4EEC2ED3"/>
    <w:rsid w:val="4F0E56EA"/>
    <w:rsid w:val="4F2E11BC"/>
    <w:rsid w:val="4F3C4343"/>
    <w:rsid w:val="4F416688"/>
    <w:rsid w:val="4F5620B0"/>
    <w:rsid w:val="4F616EB4"/>
    <w:rsid w:val="4F6654EE"/>
    <w:rsid w:val="4F7379C6"/>
    <w:rsid w:val="4F872BDB"/>
    <w:rsid w:val="4FA033E9"/>
    <w:rsid w:val="4FA743DA"/>
    <w:rsid w:val="4FB3565A"/>
    <w:rsid w:val="4FC4714D"/>
    <w:rsid w:val="503D1C79"/>
    <w:rsid w:val="507A6406"/>
    <w:rsid w:val="50853863"/>
    <w:rsid w:val="508A4590"/>
    <w:rsid w:val="50F1461D"/>
    <w:rsid w:val="50FE5411"/>
    <w:rsid w:val="510B072E"/>
    <w:rsid w:val="511B0BF4"/>
    <w:rsid w:val="51264306"/>
    <w:rsid w:val="514E62C9"/>
    <w:rsid w:val="516123CE"/>
    <w:rsid w:val="51932FAD"/>
    <w:rsid w:val="51B177A9"/>
    <w:rsid w:val="51E066EB"/>
    <w:rsid w:val="52640E8B"/>
    <w:rsid w:val="5267570A"/>
    <w:rsid w:val="52707792"/>
    <w:rsid w:val="52A12CDC"/>
    <w:rsid w:val="52DF0C92"/>
    <w:rsid w:val="52E1159C"/>
    <w:rsid w:val="52E34D6A"/>
    <w:rsid w:val="531E524E"/>
    <w:rsid w:val="534072EB"/>
    <w:rsid w:val="537648BE"/>
    <w:rsid w:val="538E2D0B"/>
    <w:rsid w:val="53922782"/>
    <w:rsid w:val="539C1424"/>
    <w:rsid w:val="53A639C0"/>
    <w:rsid w:val="53F00A24"/>
    <w:rsid w:val="53F63DBA"/>
    <w:rsid w:val="5448624E"/>
    <w:rsid w:val="546E2B1A"/>
    <w:rsid w:val="5482555F"/>
    <w:rsid w:val="54A31DD8"/>
    <w:rsid w:val="54AA6F8B"/>
    <w:rsid w:val="54D26583"/>
    <w:rsid w:val="55363E67"/>
    <w:rsid w:val="556E6DF7"/>
    <w:rsid w:val="55965CE3"/>
    <w:rsid w:val="559D47CE"/>
    <w:rsid w:val="55BE1959"/>
    <w:rsid w:val="56232437"/>
    <w:rsid w:val="56541A75"/>
    <w:rsid w:val="568832FC"/>
    <w:rsid w:val="568C4181"/>
    <w:rsid w:val="570725A9"/>
    <w:rsid w:val="5714693E"/>
    <w:rsid w:val="571D0C9C"/>
    <w:rsid w:val="573A16CE"/>
    <w:rsid w:val="579C7F80"/>
    <w:rsid w:val="57B30D7C"/>
    <w:rsid w:val="58166B03"/>
    <w:rsid w:val="583E3C94"/>
    <w:rsid w:val="58721734"/>
    <w:rsid w:val="58900246"/>
    <w:rsid w:val="58977358"/>
    <w:rsid w:val="58D53944"/>
    <w:rsid w:val="58D65478"/>
    <w:rsid w:val="58F52487"/>
    <w:rsid w:val="590422E6"/>
    <w:rsid w:val="592257E5"/>
    <w:rsid w:val="59655E33"/>
    <w:rsid w:val="59C3685A"/>
    <w:rsid w:val="59CF5BD9"/>
    <w:rsid w:val="59E20C3C"/>
    <w:rsid w:val="5A1D5B0A"/>
    <w:rsid w:val="5A3B4B4E"/>
    <w:rsid w:val="5A4804CA"/>
    <w:rsid w:val="5A594C85"/>
    <w:rsid w:val="5A8842AA"/>
    <w:rsid w:val="5AEB1E3C"/>
    <w:rsid w:val="5B2507CA"/>
    <w:rsid w:val="5B2A474A"/>
    <w:rsid w:val="5B2D237E"/>
    <w:rsid w:val="5B830730"/>
    <w:rsid w:val="5BBB2DD6"/>
    <w:rsid w:val="5BE263B6"/>
    <w:rsid w:val="5C8E5C5A"/>
    <w:rsid w:val="5C965E61"/>
    <w:rsid w:val="5CF0089C"/>
    <w:rsid w:val="5CF5796F"/>
    <w:rsid w:val="5D242A11"/>
    <w:rsid w:val="5D9217C2"/>
    <w:rsid w:val="5DAD06BF"/>
    <w:rsid w:val="5DC92CE9"/>
    <w:rsid w:val="5DE23CB3"/>
    <w:rsid w:val="5DE97EEC"/>
    <w:rsid w:val="5DFA5EB0"/>
    <w:rsid w:val="5E000E4D"/>
    <w:rsid w:val="5E0B583E"/>
    <w:rsid w:val="5E201A7B"/>
    <w:rsid w:val="5EA45884"/>
    <w:rsid w:val="5EBD0484"/>
    <w:rsid w:val="5F2C5C7C"/>
    <w:rsid w:val="5F36141C"/>
    <w:rsid w:val="5F506F43"/>
    <w:rsid w:val="5FC5273F"/>
    <w:rsid w:val="604F6C39"/>
    <w:rsid w:val="60806DF2"/>
    <w:rsid w:val="61072DA5"/>
    <w:rsid w:val="611C0817"/>
    <w:rsid w:val="61224A52"/>
    <w:rsid w:val="61520CCB"/>
    <w:rsid w:val="61851A29"/>
    <w:rsid w:val="622D1522"/>
    <w:rsid w:val="622E0574"/>
    <w:rsid w:val="62683B6B"/>
    <w:rsid w:val="6275761C"/>
    <w:rsid w:val="62816E52"/>
    <w:rsid w:val="62AB7BE6"/>
    <w:rsid w:val="62AC5944"/>
    <w:rsid w:val="632F3F8A"/>
    <w:rsid w:val="63716241"/>
    <w:rsid w:val="637279B4"/>
    <w:rsid w:val="63817D2B"/>
    <w:rsid w:val="63BD1FA9"/>
    <w:rsid w:val="63D175D1"/>
    <w:rsid w:val="63D27965"/>
    <w:rsid w:val="63F4667E"/>
    <w:rsid w:val="64095516"/>
    <w:rsid w:val="641A2468"/>
    <w:rsid w:val="64372F20"/>
    <w:rsid w:val="648944D0"/>
    <w:rsid w:val="64DC72D7"/>
    <w:rsid w:val="64FA42B4"/>
    <w:rsid w:val="65262602"/>
    <w:rsid w:val="653619A6"/>
    <w:rsid w:val="65610A02"/>
    <w:rsid w:val="65A11EA3"/>
    <w:rsid w:val="65AC3D66"/>
    <w:rsid w:val="65BB5334"/>
    <w:rsid w:val="663E1DBA"/>
    <w:rsid w:val="665D0213"/>
    <w:rsid w:val="668506C7"/>
    <w:rsid w:val="669E59F1"/>
    <w:rsid w:val="66A2024B"/>
    <w:rsid w:val="66CB5E2D"/>
    <w:rsid w:val="6704732B"/>
    <w:rsid w:val="670F6731"/>
    <w:rsid w:val="672B39C4"/>
    <w:rsid w:val="67585CB0"/>
    <w:rsid w:val="67770F0C"/>
    <w:rsid w:val="67B03535"/>
    <w:rsid w:val="68174F69"/>
    <w:rsid w:val="682C436A"/>
    <w:rsid w:val="68382778"/>
    <w:rsid w:val="68391F41"/>
    <w:rsid w:val="68436B8C"/>
    <w:rsid w:val="68797358"/>
    <w:rsid w:val="6884624F"/>
    <w:rsid w:val="68A519DF"/>
    <w:rsid w:val="68C4160B"/>
    <w:rsid w:val="68C41C30"/>
    <w:rsid w:val="68CF3BA4"/>
    <w:rsid w:val="69257FA7"/>
    <w:rsid w:val="693F26C7"/>
    <w:rsid w:val="697E12B2"/>
    <w:rsid w:val="69C8706D"/>
    <w:rsid w:val="6A0E3FB4"/>
    <w:rsid w:val="6A292754"/>
    <w:rsid w:val="6A5E3B28"/>
    <w:rsid w:val="6A6B1EBE"/>
    <w:rsid w:val="6A8F43F7"/>
    <w:rsid w:val="6AD625F3"/>
    <w:rsid w:val="6B576D51"/>
    <w:rsid w:val="6B7218BE"/>
    <w:rsid w:val="6B750BA9"/>
    <w:rsid w:val="6BB93285"/>
    <w:rsid w:val="6C0C698C"/>
    <w:rsid w:val="6C222401"/>
    <w:rsid w:val="6C56267F"/>
    <w:rsid w:val="6C826EF9"/>
    <w:rsid w:val="6CAE4C93"/>
    <w:rsid w:val="6CB14F16"/>
    <w:rsid w:val="6CEC2069"/>
    <w:rsid w:val="6D0B1869"/>
    <w:rsid w:val="6D65402D"/>
    <w:rsid w:val="6D683822"/>
    <w:rsid w:val="6D8D136C"/>
    <w:rsid w:val="6DBF2759"/>
    <w:rsid w:val="6DC96F36"/>
    <w:rsid w:val="6DFA3EBF"/>
    <w:rsid w:val="6E3E63D2"/>
    <w:rsid w:val="6E5F7BE6"/>
    <w:rsid w:val="6E6918C6"/>
    <w:rsid w:val="6EEB4AC4"/>
    <w:rsid w:val="6F212DD6"/>
    <w:rsid w:val="6F3B5912"/>
    <w:rsid w:val="6FA14A81"/>
    <w:rsid w:val="6FA3261F"/>
    <w:rsid w:val="6FB44BAA"/>
    <w:rsid w:val="700D6539"/>
    <w:rsid w:val="704203E3"/>
    <w:rsid w:val="7058046B"/>
    <w:rsid w:val="707F2079"/>
    <w:rsid w:val="70922734"/>
    <w:rsid w:val="70CD16CB"/>
    <w:rsid w:val="70CE6DC7"/>
    <w:rsid w:val="710B3646"/>
    <w:rsid w:val="711759F2"/>
    <w:rsid w:val="713C4ED8"/>
    <w:rsid w:val="71407642"/>
    <w:rsid w:val="71641210"/>
    <w:rsid w:val="71D95B7C"/>
    <w:rsid w:val="71EA6A50"/>
    <w:rsid w:val="71FE31A8"/>
    <w:rsid w:val="720C30AE"/>
    <w:rsid w:val="721A7983"/>
    <w:rsid w:val="721F6113"/>
    <w:rsid w:val="7233782C"/>
    <w:rsid w:val="726A729D"/>
    <w:rsid w:val="73177841"/>
    <w:rsid w:val="733774FE"/>
    <w:rsid w:val="73617E1B"/>
    <w:rsid w:val="736D7653"/>
    <w:rsid w:val="738035CB"/>
    <w:rsid w:val="73852C46"/>
    <w:rsid w:val="7396335C"/>
    <w:rsid w:val="73F46595"/>
    <w:rsid w:val="73F47FAE"/>
    <w:rsid w:val="74283FA2"/>
    <w:rsid w:val="742C135B"/>
    <w:rsid w:val="74463733"/>
    <w:rsid w:val="748A2F40"/>
    <w:rsid w:val="74D84FF7"/>
    <w:rsid w:val="74F85778"/>
    <w:rsid w:val="75272439"/>
    <w:rsid w:val="758F1E9B"/>
    <w:rsid w:val="75CE266B"/>
    <w:rsid w:val="76120141"/>
    <w:rsid w:val="768216BE"/>
    <w:rsid w:val="76C23B43"/>
    <w:rsid w:val="76FD6F97"/>
    <w:rsid w:val="770218E8"/>
    <w:rsid w:val="779469CE"/>
    <w:rsid w:val="77992742"/>
    <w:rsid w:val="77BA7B83"/>
    <w:rsid w:val="77C875A5"/>
    <w:rsid w:val="780A4D52"/>
    <w:rsid w:val="78A27DF6"/>
    <w:rsid w:val="78E06AB0"/>
    <w:rsid w:val="79285B3A"/>
    <w:rsid w:val="79490B03"/>
    <w:rsid w:val="79625CA9"/>
    <w:rsid w:val="79A91196"/>
    <w:rsid w:val="7A0B32D3"/>
    <w:rsid w:val="7AC13CD3"/>
    <w:rsid w:val="7AE10264"/>
    <w:rsid w:val="7AE4248E"/>
    <w:rsid w:val="7B4A207F"/>
    <w:rsid w:val="7B936F45"/>
    <w:rsid w:val="7BA47419"/>
    <w:rsid w:val="7BB10D45"/>
    <w:rsid w:val="7BB44151"/>
    <w:rsid w:val="7C656A39"/>
    <w:rsid w:val="7CB93996"/>
    <w:rsid w:val="7CBE0F99"/>
    <w:rsid w:val="7D4E45F1"/>
    <w:rsid w:val="7DFB6D82"/>
    <w:rsid w:val="7E1D71D1"/>
    <w:rsid w:val="7E246254"/>
    <w:rsid w:val="7E553215"/>
    <w:rsid w:val="7E6D090F"/>
    <w:rsid w:val="7EC87726"/>
    <w:rsid w:val="7ECC66B2"/>
    <w:rsid w:val="7F2914C3"/>
    <w:rsid w:val="7F3C6E0C"/>
    <w:rsid w:val="7F5F2ED6"/>
    <w:rsid w:val="7FA837EF"/>
    <w:rsid w:val="7FC36955"/>
    <w:rsid w:val="7FE903A0"/>
    <w:rsid w:val="7FF07065"/>
    <w:rsid w:val="7FF97946"/>
    <w:rsid w:val="7FFE788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qFormat="1" w:unhideWhenUsed="0" w:uiPriority="0" w:semiHidden="0" w:name="header"/>
    <w:lsdException w:qFormat="1" w:unhideWhenUsed="0"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qFormat="1" w:unhideWhenUsed="0" w:uiPriority="0" w:semiHidden="0"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semiHidden="0"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cs="宋体" w:asciiTheme="minorHAnsi" w:hAnsiTheme="minorHAnsi" w:eastAsiaTheme="minorEastAsia"/>
      <w:color w:val="auto"/>
      <w:kern w:val="0"/>
      <w:sz w:val="24"/>
      <w:szCs w:val="24"/>
      <w:lang w:val="en-US" w:eastAsia="zh-CN" w:bidi="ar-SA"/>
    </w:rPr>
  </w:style>
  <w:style w:type="paragraph" w:styleId="4">
    <w:name w:val="heading 1"/>
    <w:basedOn w:val="1"/>
    <w:next w:val="1"/>
    <w:qFormat/>
    <w:uiPriority w:val="0"/>
    <w:pPr>
      <w:keepNext/>
      <w:keepLines/>
      <w:numPr>
        <w:ilvl w:val="0"/>
        <w:numId w:val="1"/>
      </w:numPr>
      <w:adjustRightInd w:val="0"/>
      <w:snapToGrid w:val="0"/>
      <w:spacing w:before="340" w:after="50" w:afterLines="50" w:line="578" w:lineRule="auto"/>
      <w:ind w:left="425" w:hanging="425"/>
      <w:jc w:val="left"/>
      <w:outlineLvl w:val="0"/>
    </w:pPr>
    <w:rPr>
      <w:rFonts w:ascii="Times New Roman" w:hAnsi="Times New Roman" w:eastAsia="仿宋" w:cs="Times New Roman"/>
      <w:b/>
      <w:bCs/>
      <w:kern w:val="44"/>
      <w:sz w:val="36"/>
      <w:szCs w:val="44"/>
    </w:rPr>
  </w:style>
  <w:style w:type="paragraph" w:styleId="5">
    <w:name w:val="heading 2"/>
    <w:basedOn w:val="1"/>
    <w:next w:val="1"/>
    <w:link w:val="18"/>
    <w:semiHidden/>
    <w:unhideWhenUsed/>
    <w:qFormat/>
    <w:uiPriority w:val="9"/>
    <w:pPr>
      <w:widowControl w:val="0"/>
      <w:numPr>
        <w:ilvl w:val="1"/>
        <w:numId w:val="1"/>
      </w:numPr>
      <w:spacing w:line="416" w:lineRule="auto"/>
      <w:ind w:left="567" w:hanging="567"/>
      <w:outlineLvl w:val="1"/>
    </w:pPr>
    <w:rPr>
      <w:rFonts w:ascii="Calibri Light" w:hAnsi="Calibri Light" w:eastAsia="宋体" w:cs="Times New Roman"/>
      <w:b/>
      <w:bCs/>
      <w:sz w:val="28"/>
      <w:szCs w:val="32"/>
    </w:rPr>
  </w:style>
  <w:style w:type="paragraph" w:styleId="6">
    <w:name w:val="heading 3"/>
    <w:basedOn w:val="1"/>
    <w:next w:val="1"/>
    <w:semiHidden/>
    <w:unhideWhenUsed/>
    <w:qFormat/>
    <w:uiPriority w:val="9"/>
    <w:pPr>
      <w:keepNext/>
      <w:keepLines/>
      <w:numPr>
        <w:ilvl w:val="2"/>
        <w:numId w:val="1"/>
      </w:numPr>
      <w:spacing w:before="50" w:beforeLines="50" w:after="50" w:afterLines="50" w:line="416" w:lineRule="auto"/>
      <w:outlineLvl w:val="2"/>
    </w:pPr>
    <w:rPr>
      <w:rFonts w:ascii="宋体" w:hAnsi="宋体" w:eastAsia="宋体" w:cs="宋体"/>
      <w:b/>
      <w:bCs/>
      <w:sz w:val="32"/>
    </w:rPr>
  </w:style>
  <w:style w:type="paragraph" w:styleId="7">
    <w:name w:val="heading 4"/>
    <w:basedOn w:val="1"/>
    <w:next w:val="1"/>
    <w:semiHidden/>
    <w:unhideWhenUsed/>
    <w:qFormat/>
    <w:uiPriority w:val="9"/>
    <w:pPr>
      <w:keepNext/>
      <w:keepLines/>
      <w:numPr>
        <w:ilvl w:val="3"/>
        <w:numId w:val="1"/>
      </w:numPr>
      <w:spacing w:before="120" w:after="120"/>
      <w:outlineLvl w:val="3"/>
    </w:pPr>
    <w:rPr>
      <w:rFonts w:ascii="Calibri Light" w:hAnsi="Calibri Light" w:eastAsia="宋体" w:cs="Times New Roman"/>
      <w:b/>
      <w:bCs/>
      <w:sz w:val="28"/>
      <w:szCs w:val="28"/>
    </w:rPr>
  </w:style>
  <w:style w:type="character" w:default="1" w:styleId="15">
    <w:name w:val="Default Paragraph Font"/>
    <w:semiHidden/>
    <w:unhideWhenUsed/>
    <w:qFormat/>
    <w:uiPriority w:val="1"/>
  </w:style>
  <w:style w:type="table" w:default="1" w:styleId="13">
    <w:name w:val="Normal Table"/>
    <w:semiHidden/>
    <w:unhideWhenUsed/>
    <w:qFormat/>
    <w:uiPriority w:val="99"/>
    <w:tblPr>
      <w:tblCellMar>
        <w:top w:w="0" w:type="dxa"/>
        <w:left w:w="108" w:type="dxa"/>
        <w:bottom w:w="0" w:type="dxa"/>
        <w:right w:w="108" w:type="dxa"/>
      </w:tblCellMar>
    </w:tblPr>
  </w:style>
  <w:style w:type="paragraph" w:styleId="2">
    <w:name w:val="Body Text First Indent 2"/>
    <w:basedOn w:val="3"/>
    <w:qFormat/>
    <w:uiPriority w:val="0"/>
    <w:pPr>
      <w:ind w:firstLine="200"/>
    </w:pPr>
  </w:style>
  <w:style w:type="paragraph" w:styleId="3">
    <w:name w:val="Body Text Indent"/>
    <w:basedOn w:val="1"/>
    <w:qFormat/>
    <w:uiPriority w:val="0"/>
    <w:pPr>
      <w:ind w:firstLine="420" w:firstLineChars="200"/>
    </w:pPr>
  </w:style>
  <w:style w:type="paragraph" w:styleId="8">
    <w:name w:val="annotation text"/>
    <w:basedOn w:val="1"/>
    <w:semiHidden/>
    <w:unhideWhenUsed/>
    <w:qFormat/>
    <w:uiPriority w:val="99"/>
    <w:pPr>
      <w:jc w:val="left"/>
    </w:pPr>
  </w:style>
  <w:style w:type="paragraph" w:styleId="9">
    <w:name w:val="Balloon Text"/>
    <w:basedOn w:val="1"/>
    <w:link w:val="27"/>
    <w:unhideWhenUsed/>
    <w:qFormat/>
    <w:uiPriority w:val="99"/>
    <w:rPr>
      <w:rFonts w:cstheme="minorBidi"/>
      <w:kern w:val="2"/>
      <w:sz w:val="18"/>
      <w:szCs w:val="18"/>
    </w:rPr>
  </w:style>
  <w:style w:type="paragraph" w:styleId="10">
    <w:name w:val="footer"/>
    <w:basedOn w:val="1"/>
    <w:link w:val="19"/>
    <w:qFormat/>
    <w:uiPriority w:val="99"/>
    <w:pPr>
      <w:tabs>
        <w:tab w:val="center" w:pos="4153"/>
        <w:tab w:val="right" w:pos="8306"/>
      </w:tabs>
      <w:snapToGrid w:val="0"/>
      <w:jc w:val="left"/>
    </w:pPr>
    <w:rPr>
      <w:rFonts w:cstheme="minorBidi"/>
      <w:kern w:val="2"/>
      <w:sz w:val="18"/>
      <w:szCs w:val="18"/>
    </w:rPr>
  </w:style>
  <w:style w:type="paragraph" w:styleId="11">
    <w:name w:val="header"/>
    <w:basedOn w:val="1"/>
    <w:link w:val="20"/>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jc w:val="center"/>
    </w:pPr>
    <w:rPr>
      <w:rFonts w:cstheme="minorBidi"/>
      <w:kern w:val="2"/>
      <w:sz w:val="18"/>
      <w:szCs w:val="18"/>
    </w:rPr>
  </w:style>
  <w:style w:type="paragraph" w:styleId="12">
    <w:name w:val="Normal (Web)"/>
    <w:basedOn w:val="1"/>
    <w:semiHidden/>
    <w:unhideWhenUsed/>
    <w:qFormat/>
    <w:uiPriority w:val="99"/>
    <w:pPr>
      <w:spacing w:before="0" w:beforeAutospacing="1" w:after="0" w:afterAutospacing="1"/>
      <w:ind w:left="0" w:right="0"/>
      <w:jc w:val="left"/>
    </w:pPr>
    <w:rPr>
      <w:kern w:val="0"/>
      <w:sz w:val="24"/>
      <w:lang w:val="en-US" w:eastAsia="zh-CN" w:bidi="ar"/>
    </w:rPr>
  </w:style>
  <w:style w:type="table" w:styleId="14">
    <w:name w:val="Table Grid"/>
    <w:qFormat/>
    <w:uiPriority w:val="0"/>
    <w:rPr>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styleId="16">
    <w:name w:val="Strong"/>
    <w:basedOn w:val="15"/>
    <w:qFormat/>
    <w:uiPriority w:val="22"/>
    <w:rPr>
      <w:b/>
    </w:rPr>
  </w:style>
  <w:style w:type="paragraph" w:customStyle="1" w:styleId="17">
    <w:name w:val="Default"/>
    <w:qFormat/>
    <w:uiPriority w:val="0"/>
    <w:pPr>
      <w:widowControl w:val="0"/>
      <w:autoSpaceDE w:val="0"/>
      <w:autoSpaceDN w:val="0"/>
      <w:adjustRightInd w:val="0"/>
    </w:pPr>
    <w:rPr>
      <w:rFonts w:ascii="宋体" w:hAnsi="Calibri" w:eastAsia="宋体" w:cs="宋体"/>
      <w:color w:val="000000"/>
      <w:sz w:val="24"/>
      <w:szCs w:val="24"/>
      <w:lang w:val="en-US" w:eastAsia="zh-CN" w:bidi="ar-SA"/>
    </w:rPr>
  </w:style>
  <w:style w:type="character" w:customStyle="1" w:styleId="18">
    <w:name w:val="标题 2 Char"/>
    <w:link w:val="5"/>
    <w:qFormat/>
    <w:uiPriority w:val="0"/>
    <w:rPr>
      <w:rFonts w:ascii="Calibri Light" w:hAnsi="Calibri Light" w:eastAsia="宋体" w:cs="Times New Roman"/>
      <w:b/>
      <w:bCs/>
      <w:sz w:val="28"/>
      <w:szCs w:val="32"/>
    </w:rPr>
  </w:style>
  <w:style w:type="character" w:customStyle="1" w:styleId="19">
    <w:name w:val="页脚 Char"/>
    <w:basedOn w:val="15"/>
    <w:link w:val="10"/>
    <w:qFormat/>
    <w:uiPriority w:val="99"/>
    <w:rPr>
      <w:rFonts w:asciiTheme="minorHAnsi" w:hAnsiTheme="minorHAnsi" w:eastAsiaTheme="minorEastAsia" w:cstheme="minorBidi"/>
      <w:sz w:val="18"/>
      <w:szCs w:val="18"/>
      <w:lang w:val="en-US" w:eastAsia="zh-CN" w:bidi="ar-SA"/>
    </w:rPr>
  </w:style>
  <w:style w:type="character" w:customStyle="1" w:styleId="20">
    <w:name w:val="页眉 Char"/>
    <w:basedOn w:val="15"/>
    <w:link w:val="11"/>
    <w:qFormat/>
    <w:uiPriority w:val="0"/>
    <w:rPr>
      <w:rFonts w:asciiTheme="minorHAnsi" w:hAnsiTheme="minorHAnsi" w:eastAsiaTheme="minorEastAsia" w:cstheme="minorBidi"/>
      <w:sz w:val="18"/>
      <w:szCs w:val="18"/>
      <w:lang w:val="en-US" w:eastAsia="zh-CN" w:bidi="ar-SA"/>
    </w:rPr>
  </w:style>
  <w:style w:type="character" w:customStyle="1" w:styleId="21">
    <w:name w:val="font11"/>
    <w:basedOn w:val="15"/>
    <w:qFormat/>
    <w:uiPriority w:val="0"/>
    <w:rPr>
      <w:rFonts w:hint="eastAsia" w:ascii="宋体" w:hAnsi="宋体" w:eastAsia="宋体" w:cs="宋体"/>
      <w:color w:val="000000"/>
      <w:sz w:val="20"/>
      <w:szCs w:val="20"/>
      <w:u w:val="none"/>
      <w:lang w:val="en-US" w:eastAsia="zh-CN" w:bidi="ar-SA"/>
    </w:rPr>
  </w:style>
  <w:style w:type="character" w:customStyle="1" w:styleId="22">
    <w:name w:val="font01"/>
    <w:basedOn w:val="15"/>
    <w:qFormat/>
    <w:uiPriority w:val="0"/>
    <w:rPr>
      <w:rFonts w:hint="eastAsia" w:ascii="宋体" w:hAnsi="宋体" w:eastAsia="宋体" w:cs="宋体"/>
      <w:color w:val="000000"/>
      <w:sz w:val="22"/>
      <w:szCs w:val="22"/>
      <w:u w:val="none"/>
      <w:lang w:val="en-US" w:eastAsia="zh-CN" w:bidi="ar-SA"/>
    </w:rPr>
  </w:style>
  <w:style w:type="character" w:customStyle="1" w:styleId="23">
    <w:name w:val="font41"/>
    <w:basedOn w:val="15"/>
    <w:qFormat/>
    <w:uiPriority w:val="0"/>
    <w:rPr>
      <w:rFonts w:hint="eastAsia" w:ascii="宋体" w:hAnsi="宋体" w:eastAsia="宋体" w:cs="宋体"/>
      <w:color w:val="000000"/>
      <w:sz w:val="24"/>
      <w:szCs w:val="24"/>
      <w:u w:val="none"/>
      <w:lang w:val="en-US" w:eastAsia="zh-CN" w:bidi="ar-SA"/>
    </w:rPr>
  </w:style>
  <w:style w:type="character" w:customStyle="1" w:styleId="24">
    <w:name w:val="font31"/>
    <w:basedOn w:val="15"/>
    <w:qFormat/>
    <w:uiPriority w:val="0"/>
    <w:rPr>
      <w:rFonts w:hint="eastAsia" w:ascii="华文中宋" w:hAnsi="华文中宋" w:eastAsia="华文中宋" w:cs="华文中宋"/>
      <w:color w:val="000000"/>
      <w:sz w:val="32"/>
      <w:szCs w:val="32"/>
      <w:u w:val="none"/>
      <w:lang w:val="en-US" w:eastAsia="zh-CN" w:bidi="ar-SA"/>
    </w:rPr>
  </w:style>
  <w:style w:type="character" w:customStyle="1" w:styleId="25">
    <w:name w:val="font91"/>
    <w:basedOn w:val="15"/>
    <w:qFormat/>
    <w:uiPriority w:val="0"/>
    <w:rPr>
      <w:rFonts w:hint="eastAsia" w:ascii="华文中宋" w:hAnsi="华文中宋" w:eastAsia="华文中宋" w:cs="华文中宋"/>
      <w:color w:val="000000"/>
      <w:sz w:val="32"/>
      <w:szCs w:val="32"/>
      <w:u w:val="none"/>
      <w:lang w:val="en-US" w:eastAsia="zh-CN" w:bidi="ar-SA"/>
    </w:rPr>
  </w:style>
  <w:style w:type="character" w:customStyle="1" w:styleId="26">
    <w:name w:val="font51"/>
    <w:basedOn w:val="15"/>
    <w:qFormat/>
    <w:uiPriority w:val="0"/>
    <w:rPr>
      <w:rFonts w:hint="eastAsia" w:ascii="宋体" w:hAnsi="宋体" w:eastAsia="宋体" w:cs="宋体"/>
      <w:color w:val="000000"/>
      <w:sz w:val="24"/>
      <w:szCs w:val="24"/>
      <w:u w:val="none"/>
      <w:lang w:val="en-US" w:eastAsia="zh-CN" w:bidi="ar-SA"/>
    </w:rPr>
  </w:style>
  <w:style w:type="character" w:customStyle="1" w:styleId="27">
    <w:name w:val="批注框文本 Char"/>
    <w:basedOn w:val="15"/>
    <w:link w:val="9"/>
    <w:semiHidden/>
    <w:qFormat/>
    <w:uiPriority w:val="99"/>
    <w:rPr>
      <w:rFonts w:asciiTheme="minorHAnsi" w:hAnsiTheme="minorHAnsi" w:eastAsiaTheme="minorEastAsia" w:cstheme="minorBidi"/>
      <w:sz w:val="18"/>
      <w:szCs w:val="18"/>
      <w:lang w:val="en-US" w:eastAsia="zh-CN" w:bidi="ar-SA"/>
    </w:rPr>
  </w:style>
</w:styles>
</file>

<file path=word/_rels/document.xml.rels><?xml version="1.0" encoding="UTF-8" standalone="yes"?>
<Relationships xmlns="http://schemas.openxmlformats.org/package/2006/relationships"><Relationship Id="rId9" Type="http://schemas.openxmlformats.org/officeDocument/2006/relationships/theme" Target="theme/theme1.xml"/><Relationship Id="rId8" Type="http://schemas.openxmlformats.org/officeDocument/2006/relationships/header" Target="header3.xml"/><Relationship Id="rId7" Type="http://schemas.openxmlformats.org/officeDocument/2006/relationships/footer" Target="footer3.xml"/><Relationship Id="rId6" Type="http://schemas.openxmlformats.org/officeDocument/2006/relationships/footer" Target="footer2.xml"/><Relationship Id="rId5" Type="http://schemas.openxmlformats.org/officeDocument/2006/relationships/header" Target="header2.xml"/><Relationship Id="rId4" Type="http://schemas.openxmlformats.org/officeDocument/2006/relationships/header" Target="header1.xml"/><Relationship Id="rId3" Type="http://schemas.openxmlformats.org/officeDocument/2006/relationships/footer" Target="footer1.xml"/><Relationship Id="rId2" Type="http://schemas.openxmlformats.org/officeDocument/2006/relationships/settings" Target="settings.xml"/><Relationship Id="rId19" Type="http://schemas.openxmlformats.org/officeDocument/2006/relationships/fontTable" Target="fontTable.xml"/><Relationship Id="rId18" Type="http://schemas.openxmlformats.org/officeDocument/2006/relationships/numbering" Target="numbering.xml"/><Relationship Id="rId17" Type="http://schemas.openxmlformats.org/officeDocument/2006/relationships/customXml" Target="../customXml/item1.xml"/><Relationship Id="rId16" Type="http://schemas.openxmlformats.org/officeDocument/2006/relationships/chart" Target="charts/chart6.xml"/><Relationship Id="rId15" Type="http://schemas.openxmlformats.org/officeDocument/2006/relationships/chart" Target="charts/chart5.xml"/><Relationship Id="rId14" Type="http://schemas.openxmlformats.org/officeDocument/2006/relationships/chart" Target="charts/chart4.xml"/><Relationship Id="rId13" Type="http://schemas.openxmlformats.org/officeDocument/2006/relationships/chart" Target="charts/chart3.xml"/><Relationship Id="rId12" Type="http://schemas.openxmlformats.org/officeDocument/2006/relationships/chart" Target="charts/chart2.xml"/><Relationship Id="rId11" Type="http://schemas.openxmlformats.org/officeDocument/2006/relationships/chart" Target="charts/chart1.xml"/><Relationship Id="rId10" Type="http://schemas.openxmlformats.org/officeDocument/2006/relationships/image" Target="media/image1.jpeg"/><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9" Type="http://schemas.openxmlformats.org/officeDocument/2006/relationships/font" Target="fonts/font9.odttf"/><Relationship Id="rId8" Type="http://schemas.openxmlformats.org/officeDocument/2006/relationships/font" Target="fonts/font8.odttf"/><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0" Type="http://schemas.openxmlformats.org/officeDocument/2006/relationships/font" Target="fonts/font10.odttf"/><Relationship Id="rId1" Type="http://schemas.openxmlformats.org/officeDocument/2006/relationships/font" Target="fonts/font1.odttf"/></Relationships>
</file>

<file path=word/charts/_rels/chart1.xml.rels><?xml version="1.0" encoding="UTF-8" standalone="yes"?>
<Relationships xmlns="http://schemas.openxmlformats.org/package/2006/relationships"><Relationship Id="rId3" Type="http://schemas.microsoft.com/office/2011/relationships/chartColorStyle" Target="colors1.xml"/><Relationship Id="rId2" Type="http://schemas.microsoft.com/office/2011/relationships/chartStyle" Target="style1.xml"/><Relationship Id="rId1" Type="http://schemas.openxmlformats.org/officeDocument/2006/relationships/package" Target="../embeddings/Workbook1.xlsx"/></Relationships>
</file>

<file path=word/charts/_rels/chart2.xml.rels><?xml version="1.0" encoding="UTF-8" standalone="yes"?>
<Relationships xmlns="http://schemas.openxmlformats.org/package/2006/relationships"><Relationship Id="rId3" Type="http://schemas.microsoft.com/office/2011/relationships/chartColorStyle" Target="colors2.xml"/><Relationship Id="rId2" Type="http://schemas.microsoft.com/office/2011/relationships/chartStyle" Target="style2.xml"/><Relationship Id="rId1" Type="http://schemas.openxmlformats.org/officeDocument/2006/relationships/package" Target="../embeddings/Workbook2.xlsx"/></Relationships>
</file>

<file path=word/charts/_rels/chart3.xml.rels><?xml version="1.0" encoding="UTF-8" standalone="yes"?>
<Relationships xmlns="http://schemas.openxmlformats.org/package/2006/relationships"><Relationship Id="rId3" Type="http://schemas.microsoft.com/office/2011/relationships/chartColorStyle" Target="colors3.xml"/><Relationship Id="rId2" Type="http://schemas.microsoft.com/office/2011/relationships/chartStyle" Target="style3.xml"/><Relationship Id="rId1" Type="http://schemas.openxmlformats.org/officeDocument/2006/relationships/package" Target="../embeddings/Workbook3.xlsx"/></Relationships>
</file>

<file path=word/charts/_rels/chart4.xml.rels><?xml version="1.0" encoding="UTF-8" standalone="yes"?>
<Relationships xmlns="http://schemas.openxmlformats.org/package/2006/relationships"><Relationship Id="rId3" Type="http://schemas.microsoft.com/office/2011/relationships/chartColorStyle" Target="colors4.xml"/><Relationship Id="rId2" Type="http://schemas.microsoft.com/office/2011/relationships/chartStyle" Target="style4.xml"/><Relationship Id="rId1" Type="http://schemas.openxmlformats.org/officeDocument/2006/relationships/package" Target="../embeddings/Workbook4.xlsx"/></Relationships>
</file>

<file path=word/charts/_rels/chart5.xml.rels><?xml version="1.0" encoding="UTF-8" standalone="yes"?>
<Relationships xmlns="http://schemas.openxmlformats.org/package/2006/relationships"><Relationship Id="rId3" Type="http://schemas.microsoft.com/office/2011/relationships/chartColorStyle" Target="colors5.xml"/><Relationship Id="rId2" Type="http://schemas.microsoft.com/office/2011/relationships/chartStyle" Target="style5.xml"/><Relationship Id="rId1" Type="http://schemas.openxmlformats.org/officeDocument/2006/relationships/package" Target="../embeddings/Workbook5.xlsx"/></Relationships>
</file>

<file path=word/charts/_rels/chart6.xml.rels><?xml version="1.0" encoding="UTF-8" standalone="yes"?>
<Relationships xmlns="http://schemas.openxmlformats.org/package/2006/relationships"><Relationship Id="rId3" Type="http://schemas.microsoft.com/office/2011/relationships/chartColorStyle" Target="colors6.xml"/><Relationship Id="rId2" Type="http://schemas.microsoft.com/office/2011/relationships/chartStyle" Target="style6.xml"/><Relationship Id="rId1" Type="http://schemas.openxmlformats.org/officeDocument/2006/relationships/package" Target="../embeddings/Workbook6.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1 </a:t>
            </a:r>
            <a:r>
              <a:rPr lang="zh-CN" altLang="en-US"/>
              <a:t>： </a:t>
            </a:r>
            <a:r>
              <a:rPr lang="en-US" altLang="zh-CN"/>
              <a:t>2023-2024</a:t>
            </a:r>
            <a:r>
              <a:rPr lang="zh-CN" altLang="en-US"/>
              <a:t>年收支总计对比图（万元）</a:t>
            </a:r>
            <a:endParaRPr lang="zh-CN" altLang="en-US"/>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收支总计</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Sheet1!$A$2:$A$3</c:f>
              <c:strCache>
                <c:ptCount val="2"/>
                <c:pt idx="0">
                  <c:v>2023年</c:v>
                </c:pt>
                <c:pt idx="1">
                  <c:v>2024年</c:v>
                </c:pt>
              </c:strCache>
            </c:strRef>
          </c:cat>
          <c:val>
            <c:numRef>
              <c:f>Sheet1!$B$2:$B$3</c:f>
              <c:numCache>
                <c:formatCode>General</c:formatCode>
                <c:ptCount val="2"/>
                <c:pt idx="0">
                  <c:v>8919.4</c:v>
                </c:pt>
                <c:pt idx="1">
                  <c:v>8706.98</c:v>
                </c:pt>
              </c:numCache>
            </c:numRef>
          </c:val>
        </c:ser>
        <c:dLbls>
          <c:showLegendKey val="0"/>
          <c:showVal val="1"/>
          <c:showCatName val="0"/>
          <c:showSerName val="0"/>
          <c:showPercent val="0"/>
          <c:showBubbleSize val="0"/>
        </c:dLbls>
        <c:gapWidth val="246"/>
        <c:overlap val="-28"/>
        <c:axId val="817088452"/>
        <c:axId val="587069473"/>
      </c:barChart>
      <c:catAx>
        <c:axId val="817088452"/>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587069473"/>
        <c:crosses val="autoZero"/>
        <c:auto val="1"/>
        <c:lblAlgn val="ctr"/>
        <c:lblOffset val="100"/>
        <c:noMultiLvlLbl val="0"/>
      </c:catAx>
      <c:valAx>
        <c:axId val="587069473"/>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17088452"/>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2 </a:t>
            </a:r>
            <a:r>
              <a:rPr lang="zh-CN" altLang="en-US"/>
              <a:t>：收入决算构成情况图</a:t>
            </a:r>
            <a:endParaRPr lang="zh-CN" altLang="en-US"/>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Pt>
            <c:idx val="5"/>
            <c:bubble3D val="0"/>
            <c:spPr>
              <a:solidFill>
                <a:schemeClr val="accent6"/>
              </a:solidFill>
              <a:ln>
                <a:solidFill>
                  <a:schemeClr val="bg1"/>
                </a:solidFill>
              </a:ln>
              <a:effectLst/>
            </c:spPr>
          </c:dPt>
          <c:dLbls>
            <c:dLbl>
              <c:idx val="0"/>
              <c:layout>
                <c:manualLayout>
                  <c:x val="0.320125539403024"/>
                  <c:y val="0.72690713982147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1"/>
              <c:layout>
                <c:manualLayout>
                  <c:x val="-0.308045516407558"/>
                  <c:y val="0.63914683382912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2"/>
              <c:layout>
                <c:manualLayout>
                  <c:x val="0.405411836540074"/>
                  <c:y val="0.171855078623054"/>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37059073523162"/>
                    </c:manualLayout>
                  </c15:layout>
                </c:ext>
              </c:extLst>
            </c:dLbl>
            <c:dLbl>
              <c:idx val="3"/>
              <c:layout>
                <c:manualLayout>
                  <c:x val="-0.286905148238858"/>
                  <c:y val="0.270250743731381"/>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10709732256694"/>
                    </c:manualLayout>
                  </c15:layout>
                </c:ext>
              </c:extLst>
            </c:dLbl>
            <c:dLbl>
              <c:idx val="4"/>
              <c:layout>
                <c:manualLayout>
                  <c:x val="-0.298985360795255"/>
                  <c:y val="0.44916064598386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211403720706"/>
                      <c:h val="0.154908627284318"/>
                    </c:manualLayout>
                  </c15:layout>
                </c:ext>
              </c:extLst>
            </c:dLbl>
            <c:dLbl>
              <c:idx val="5"/>
              <c:layout>
                <c:manualLayout>
                  <c:x val="-0.288475575878384"/>
                  <c:y val="0.124165958351015"/>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10922226944326"/>
                    </c:manualLayout>
                  </c15:layout>
                </c:ext>
              </c:extLst>
            </c:dLbl>
            <c:numFmt formatCode="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ctr"/>
            <c:showLegendKey val="1"/>
            <c:showVal val="0"/>
            <c:showCatName val="1"/>
            <c:showSerName val="0"/>
            <c:showPercent val="1"/>
            <c:showBubbleSize val="0"/>
            <c:separator> </c:separator>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Sheet1!$A$2:$A$7</c:f>
              <c:strCache>
                <c:ptCount val="6"/>
                <c:pt idx="0">
                  <c:v>财政拨款收入</c:v>
                </c:pt>
                <c:pt idx="1">
                  <c:v>上级补助收入</c:v>
                </c:pt>
                <c:pt idx="2">
                  <c:v>事业收入</c:v>
                </c:pt>
                <c:pt idx="3">
                  <c:v>经营收入</c:v>
                </c:pt>
                <c:pt idx="4">
                  <c:v>附属单位上缴收入</c:v>
                </c:pt>
                <c:pt idx="5">
                  <c:v>其他收入</c:v>
                </c:pt>
              </c:strCache>
            </c:strRef>
          </c:cat>
          <c:val>
            <c:numRef>
              <c:f>Sheet1!$B$2:$B$7</c:f>
              <c:numCache>
                <c:formatCode>General</c:formatCode>
                <c:ptCount val="6"/>
                <c:pt idx="0">
                  <c:v>87069774.76</c:v>
                </c:pt>
                <c:pt idx="1">
                  <c:v>0</c:v>
                </c:pt>
                <c:pt idx="2">
                  <c:v>0</c:v>
                </c:pt>
                <c:pt idx="3">
                  <c:v>0</c:v>
                </c:pt>
                <c:pt idx="4">
                  <c:v>0</c:v>
                </c:pt>
                <c:pt idx="5">
                  <c:v>0</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baseline="0">
                <a:solidFill>
                  <a:schemeClr val="tx1">
                    <a:lumMod val="75000"/>
                    <a:lumOff val="25000"/>
                  </a:schemeClr>
                </a:solidFill>
                <a:latin typeface="+mn-lt"/>
                <a:ea typeface="+mn-ea"/>
                <a:cs typeface="+mn-cs"/>
              </a:defRPr>
            </a:pPr>
            <a:r>
              <a:rPr lang="zh-CN" altLang="en-US" b="1"/>
              <a:t>图 </a:t>
            </a:r>
            <a:r>
              <a:rPr lang="en-US" altLang="zh-CN" b="1"/>
              <a:t>3 </a:t>
            </a:r>
            <a:r>
              <a:rPr lang="zh-CN" altLang="en-US" b="1"/>
              <a:t>：支出决算构成情况图</a:t>
            </a:r>
            <a:endParaRPr lang="zh-CN" altLang="en-US" b="1"/>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Lbls>
            <c:dLbl>
              <c:idx val="0"/>
              <c:layout>
                <c:manualLayout>
                  <c:x val="0.346218893452525"/>
                  <c:y val="0.71546961325966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1"/>
              <c:layout>
                <c:manualLayout>
                  <c:x val="0.357095916888137"/>
                  <c:y val="0.097938376540627"/>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2"/>
              <c:layout>
                <c:manualLayout>
                  <c:x val="-0.292703551582508"/>
                  <c:y val="0.26689332766680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3"/>
              <c:layout>
                <c:manualLayout>
                  <c:x val="-0.315235684561946"/>
                  <c:y val="0.468316617084613"/>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4"/>
              <c:layout>
                <c:manualLayout>
                  <c:x val="-0.273558967655045"/>
                  <c:y val="0.71821036974079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numFmt formatCode="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bestFit"/>
            <c:showLegendKey val="1"/>
            <c:showVal val="0"/>
            <c:showCatName val="1"/>
            <c:showSerName val="0"/>
            <c:showPercent val="1"/>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Sheet1!$A$2:$A$6</c:f>
              <c:strCache>
                <c:ptCount val="5"/>
                <c:pt idx="0">
                  <c:v>基本支出</c:v>
                </c:pt>
                <c:pt idx="1">
                  <c:v>项目支出</c:v>
                </c:pt>
                <c:pt idx="2">
                  <c:v>上缴上级支出</c:v>
                </c:pt>
                <c:pt idx="3">
                  <c:v>经营支出</c:v>
                </c:pt>
                <c:pt idx="4">
                  <c:v>对附属单位补助支出</c:v>
                </c:pt>
              </c:strCache>
            </c:strRef>
          </c:cat>
          <c:val>
            <c:numRef>
              <c:f>Sheet1!$B$2:$B$6</c:f>
              <c:numCache>
                <c:formatCode>General</c:formatCode>
                <c:ptCount val="5"/>
                <c:pt idx="0">
                  <c:v>51777006.36</c:v>
                </c:pt>
                <c:pt idx="1">
                  <c:v>35292768.4</c:v>
                </c:pt>
                <c:pt idx="2">
                  <c:v>0</c:v>
                </c:pt>
                <c:pt idx="3">
                  <c:v>0</c:v>
                </c:pt>
                <c:pt idx="4">
                  <c:v>0</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4 </a:t>
            </a:r>
            <a:r>
              <a:rPr lang="zh-CN" altLang="en-US"/>
              <a:t>：</a:t>
            </a:r>
            <a:r>
              <a:rPr lang="en-US" altLang="zh-CN"/>
              <a:t>2023-2024</a:t>
            </a:r>
            <a:r>
              <a:rPr lang="zh-CN" altLang="en-US"/>
              <a:t>年财政拨款收支对比图（万元）</a:t>
            </a:r>
            <a:endParaRPr lang="zh-CN" altLang="en-US"/>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2023年</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Sheet1!$B$2:$B$9</c:f>
              <c:numCache>
                <c:formatCode>General</c:formatCode>
                <c:ptCount val="8"/>
                <c:pt idx="0">
                  <c:v>8919.4</c:v>
                </c:pt>
                <c:pt idx="1">
                  <c:v>8919.4</c:v>
                </c:pt>
                <c:pt idx="2">
                  <c:v>8782.59</c:v>
                </c:pt>
                <c:pt idx="3">
                  <c:v>8782.59</c:v>
                </c:pt>
                <c:pt idx="4">
                  <c:v>136.81</c:v>
                </c:pt>
                <c:pt idx="5">
                  <c:v>136.81</c:v>
                </c:pt>
                <c:pt idx="6">
                  <c:v>0</c:v>
                </c:pt>
                <c:pt idx="7">
                  <c:v>0</c:v>
                </c:pt>
              </c:numCache>
            </c:numRef>
          </c:val>
        </c:ser>
        <c:ser>
          <c:idx val="1"/>
          <c:order val="1"/>
          <c:tx>
            <c:strRef>
              <c:f>Sheet1!$C$1</c:f>
              <c:strCache>
                <c:ptCount val="1"/>
                <c:pt idx="0">
                  <c:v>2024年</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Sheet1!$C$2:$C$9</c:f>
              <c:numCache>
                <c:formatCode>General</c:formatCode>
                <c:ptCount val="8"/>
                <c:pt idx="0">
                  <c:v>8706.98</c:v>
                </c:pt>
                <c:pt idx="1">
                  <c:v>8706.98</c:v>
                </c:pt>
                <c:pt idx="2">
                  <c:v>8570.17</c:v>
                </c:pt>
                <c:pt idx="3">
                  <c:v>8570.17</c:v>
                </c:pt>
                <c:pt idx="4">
                  <c:v>136.81</c:v>
                </c:pt>
                <c:pt idx="5">
                  <c:v>136.81</c:v>
                </c:pt>
                <c:pt idx="6">
                  <c:v>0</c:v>
                </c:pt>
                <c:pt idx="7">
                  <c:v>0</c:v>
                </c:pt>
              </c:numCache>
            </c:numRef>
          </c:val>
        </c:ser>
        <c:dLbls>
          <c:showLegendKey val="0"/>
          <c:showVal val="1"/>
          <c:showCatName val="0"/>
          <c:showSerName val="0"/>
          <c:showPercent val="0"/>
          <c:showBubbleSize val="0"/>
        </c:dLbls>
        <c:gapWidth val="246"/>
        <c:overlap val="-28"/>
        <c:axId val="40225855"/>
        <c:axId val="660958640"/>
      </c:barChart>
      <c:catAx>
        <c:axId val="40225855"/>
        <c:scaling>
          <c:orientation val="minMax"/>
        </c:scaling>
        <c:delete val="0"/>
        <c:axPos val="b"/>
        <c:numFmt formatCode="General" sourceLinked="0"/>
        <c:majorTickMark val="out"/>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660958640"/>
        <c:crosses val="autoZero"/>
        <c:auto val="1"/>
        <c:lblAlgn val="ctr"/>
        <c:lblOffset val="100"/>
        <c:noMultiLvlLbl val="0"/>
      </c:catAx>
      <c:valAx>
        <c:axId val="660958640"/>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out"/>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40225855"/>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dTable>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5 :</a:t>
            </a:r>
            <a:r>
              <a:rPr lang="zh-CN" altLang="en-US"/>
              <a:t>财政拨款收支预算对比图（万元）</a:t>
            </a:r>
            <a:endParaRPr lang="zh-CN" altLang="en-US"/>
          </a:p>
        </c:rich>
      </c:tx>
      <c:layout/>
      <c:overlay val="0"/>
      <c:spPr>
        <a:noFill/>
        <a:ln>
          <a:noFill/>
        </a:ln>
        <a:effectLst/>
      </c:spPr>
    </c:title>
    <c:autoTitleDeleted val="0"/>
    <c:plotArea>
      <c:layout>
        <c:manualLayout>
          <c:layoutTarget val="inner"/>
          <c:xMode val="edge"/>
          <c:yMode val="edge"/>
          <c:x val="0.17641942498188"/>
          <c:y val="0.160433489162771"/>
          <c:w val="0.795796086011114"/>
          <c:h val="0.474330641733957"/>
        </c:manualLayout>
      </c:layout>
      <c:barChart>
        <c:barDir val="col"/>
        <c:grouping val="clustered"/>
        <c:varyColors val="0"/>
        <c:ser>
          <c:idx val="0"/>
          <c:order val="0"/>
          <c:tx>
            <c:strRef>
              <c:f>Sheet1!$B$1</c:f>
              <c:strCache>
                <c:ptCount val="1"/>
                <c:pt idx="0">
                  <c:v>年初预算数</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Sheet1!$B$2:$B$9</c:f>
              <c:numCache>
                <c:formatCode>General</c:formatCode>
                <c:ptCount val="8"/>
                <c:pt idx="0">
                  <c:v>8556.99</c:v>
                </c:pt>
                <c:pt idx="1">
                  <c:v>8556.99</c:v>
                </c:pt>
                <c:pt idx="2">
                  <c:v>8420.18</c:v>
                </c:pt>
                <c:pt idx="3">
                  <c:v>8420.18</c:v>
                </c:pt>
                <c:pt idx="4">
                  <c:v>136.81</c:v>
                </c:pt>
                <c:pt idx="5">
                  <c:v>136.81</c:v>
                </c:pt>
                <c:pt idx="6">
                  <c:v>0</c:v>
                </c:pt>
                <c:pt idx="7">
                  <c:v>0</c:v>
                </c:pt>
              </c:numCache>
            </c:numRef>
          </c:val>
        </c:ser>
        <c:ser>
          <c:idx val="1"/>
          <c:order val="1"/>
          <c:tx>
            <c:strRef>
              <c:f>Sheet1!$C$1</c:f>
              <c:strCache>
                <c:ptCount val="1"/>
                <c:pt idx="0">
                  <c:v>决算数</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Sheet1!$C$2:$C$9</c:f>
              <c:numCache>
                <c:formatCode>General</c:formatCode>
                <c:ptCount val="8"/>
                <c:pt idx="0">
                  <c:v>8706.98</c:v>
                </c:pt>
                <c:pt idx="1">
                  <c:v>8706.98</c:v>
                </c:pt>
                <c:pt idx="2">
                  <c:v>8570.17</c:v>
                </c:pt>
                <c:pt idx="3">
                  <c:v>8570.17</c:v>
                </c:pt>
                <c:pt idx="4">
                  <c:v>136.81</c:v>
                </c:pt>
                <c:pt idx="5">
                  <c:v>136.81</c:v>
                </c:pt>
                <c:pt idx="6">
                  <c:v>0</c:v>
                </c:pt>
                <c:pt idx="7">
                  <c:v>0</c:v>
                </c:pt>
              </c:numCache>
            </c:numRef>
          </c:val>
        </c:ser>
        <c:dLbls>
          <c:showLegendKey val="0"/>
          <c:showVal val="1"/>
          <c:showCatName val="0"/>
          <c:showSerName val="0"/>
          <c:showPercent val="0"/>
          <c:showBubbleSize val="0"/>
        </c:dLbls>
        <c:gapWidth val="150"/>
        <c:axId val="136214206"/>
        <c:axId val="897256872"/>
      </c:barChart>
      <c:catAx>
        <c:axId val="136214206"/>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97256872"/>
        <c:crosses val="autoZero"/>
        <c:auto val="1"/>
        <c:lblAlgn val="ctr"/>
        <c:lblOffset val="100"/>
        <c:noMultiLvlLbl val="0"/>
      </c:catAx>
      <c:valAx>
        <c:axId val="897256872"/>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136214206"/>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dTable>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defRPr lang="zh-CN" sz="1400" b="1" i="0" u="none" strike="noStrike" kern="1200" baseline="0">
                <a:solidFill>
                  <a:schemeClr val="tx1">
                    <a:lumMod val="75000"/>
                    <a:lumOff val="25000"/>
                  </a:schemeClr>
                </a:solidFill>
                <a:latin typeface="+mn-lt"/>
                <a:ea typeface="+mn-ea"/>
                <a:cs typeface="+mn-cs"/>
              </a:defRPr>
            </a:pPr>
            <a:r>
              <a:rPr lang="zh-CN" altLang="en-US"/>
              <a:t>图</a:t>
            </a:r>
            <a:r>
              <a:rPr lang="en-US" altLang="zh-CN"/>
              <a:t>6  : </a:t>
            </a:r>
            <a:r>
              <a:rPr lang="zh-CN" altLang="en-US"/>
              <a:t>财政拨款支出决算构成情况图</a:t>
            </a:r>
            <a:endParaRPr lang="zh-CN" altLang="en-US"/>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Pt>
            <c:idx val="5"/>
            <c:bubble3D val="0"/>
            <c:spPr>
              <a:solidFill>
                <a:schemeClr val="accent6"/>
              </a:solidFill>
              <a:ln>
                <a:solidFill>
                  <a:schemeClr val="bg1"/>
                </a:solidFill>
              </a:ln>
              <a:effectLst/>
            </c:spPr>
          </c:dPt>
          <c:dPt>
            <c:idx val="6"/>
            <c:bubble3D val="0"/>
            <c:spPr>
              <a:solidFill>
                <a:schemeClr val="accent1">
                  <a:lumMod val="60000"/>
                </a:schemeClr>
              </a:solidFill>
              <a:ln>
                <a:solidFill>
                  <a:schemeClr val="bg1"/>
                </a:solidFill>
              </a:ln>
              <a:effectLst/>
            </c:spPr>
          </c:dPt>
          <c:dPt>
            <c:idx val="7"/>
            <c:bubble3D val="0"/>
            <c:spPr>
              <a:solidFill>
                <a:schemeClr val="accent2">
                  <a:lumMod val="60000"/>
                </a:schemeClr>
              </a:solidFill>
              <a:ln>
                <a:solidFill>
                  <a:schemeClr val="bg1"/>
                </a:solidFill>
              </a:ln>
              <a:effectLst/>
            </c:spPr>
          </c:dPt>
          <c:dPt>
            <c:idx val="8"/>
            <c:bubble3D val="0"/>
            <c:spPr>
              <a:solidFill>
                <a:schemeClr val="accent3">
                  <a:lumMod val="60000"/>
                </a:schemeClr>
              </a:solidFill>
              <a:ln>
                <a:solidFill>
                  <a:schemeClr val="bg1"/>
                </a:solidFill>
              </a:ln>
              <a:effectLst/>
            </c:spPr>
          </c:dPt>
          <c:dPt>
            <c:idx val="9"/>
            <c:bubble3D val="0"/>
            <c:spPr>
              <a:solidFill>
                <a:schemeClr val="accent4">
                  <a:lumMod val="60000"/>
                </a:schemeClr>
              </a:solidFill>
              <a:ln>
                <a:solidFill>
                  <a:schemeClr val="bg1"/>
                </a:solidFill>
              </a:ln>
              <a:effectLst/>
            </c:spPr>
          </c:dPt>
          <c:dPt>
            <c:idx val="10"/>
            <c:bubble3D val="0"/>
            <c:spPr>
              <a:solidFill>
                <a:schemeClr val="accent5">
                  <a:lumMod val="60000"/>
                </a:schemeClr>
              </a:solidFill>
              <a:ln>
                <a:solidFill>
                  <a:schemeClr val="bg1"/>
                </a:solidFill>
              </a:ln>
              <a:effectLst/>
            </c:spPr>
          </c:dPt>
          <c:dPt>
            <c:idx val="11"/>
            <c:bubble3D val="0"/>
            <c:spPr>
              <a:solidFill>
                <a:schemeClr val="accent6">
                  <a:lumMod val="60000"/>
                </a:schemeClr>
              </a:solidFill>
              <a:ln>
                <a:solidFill>
                  <a:schemeClr val="bg1"/>
                </a:solidFill>
              </a:ln>
              <a:effectLst/>
            </c:spPr>
          </c:dPt>
          <c:dPt>
            <c:idx val="12"/>
            <c:bubble3D val="0"/>
            <c:spPr>
              <a:solidFill>
                <a:schemeClr val="accent1">
                  <a:lumMod val="80000"/>
                  <a:lumOff val="20000"/>
                </a:schemeClr>
              </a:solidFill>
              <a:ln>
                <a:solidFill>
                  <a:schemeClr val="bg1"/>
                </a:solidFill>
              </a:ln>
              <a:effectLst/>
            </c:spPr>
          </c:dPt>
          <c:dPt>
            <c:idx val="13"/>
            <c:bubble3D val="0"/>
            <c:spPr>
              <a:solidFill>
                <a:schemeClr val="accent2">
                  <a:lumMod val="80000"/>
                  <a:lumOff val="20000"/>
                </a:schemeClr>
              </a:solidFill>
              <a:ln>
                <a:solidFill>
                  <a:schemeClr val="bg1"/>
                </a:solidFill>
              </a:ln>
              <a:effectLst/>
            </c:spPr>
          </c:dPt>
          <c:dPt>
            <c:idx val="14"/>
            <c:bubble3D val="0"/>
            <c:spPr>
              <a:solidFill>
                <a:schemeClr val="accent3">
                  <a:lumMod val="80000"/>
                  <a:lumOff val="20000"/>
                </a:schemeClr>
              </a:solidFill>
              <a:ln>
                <a:solidFill>
                  <a:schemeClr val="bg1"/>
                </a:solidFill>
              </a:ln>
              <a:effectLst/>
            </c:spPr>
          </c:dPt>
          <c:dPt>
            <c:idx val="15"/>
            <c:bubble3D val="0"/>
            <c:spPr>
              <a:solidFill>
                <a:schemeClr val="accent4">
                  <a:lumMod val="80000"/>
                  <a:lumOff val="20000"/>
                </a:schemeClr>
              </a:solidFill>
              <a:ln>
                <a:solidFill>
                  <a:schemeClr val="bg1"/>
                </a:solidFill>
              </a:ln>
              <a:effectLst/>
            </c:spPr>
          </c:dPt>
          <c:dPt>
            <c:idx val="16"/>
            <c:bubble3D val="0"/>
            <c:spPr>
              <a:solidFill>
                <a:schemeClr val="accent5">
                  <a:lumMod val="80000"/>
                  <a:lumOff val="20000"/>
                </a:schemeClr>
              </a:solidFill>
              <a:ln>
                <a:solidFill>
                  <a:schemeClr val="bg1"/>
                </a:solidFill>
              </a:ln>
              <a:effectLst/>
            </c:spPr>
          </c:dPt>
          <c:dPt>
            <c:idx val="17"/>
            <c:bubble3D val="0"/>
            <c:spPr>
              <a:solidFill>
                <a:schemeClr val="accent6">
                  <a:lumMod val="80000"/>
                  <a:lumOff val="20000"/>
                </a:schemeClr>
              </a:solidFill>
              <a:ln>
                <a:solidFill>
                  <a:schemeClr val="bg1"/>
                </a:solidFill>
              </a:ln>
              <a:effectLst/>
            </c:spPr>
          </c:dPt>
          <c:dPt>
            <c:idx val="18"/>
            <c:bubble3D val="0"/>
            <c:spPr>
              <a:solidFill>
                <a:schemeClr val="accent1">
                  <a:lumMod val="80000"/>
                </a:schemeClr>
              </a:solidFill>
              <a:ln>
                <a:solidFill>
                  <a:schemeClr val="bg1"/>
                </a:solidFill>
              </a:ln>
              <a:effectLst/>
            </c:spPr>
          </c:dPt>
          <c:dPt>
            <c:idx val="19"/>
            <c:bubble3D val="0"/>
            <c:spPr>
              <a:solidFill>
                <a:schemeClr val="accent2">
                  <a:lumMod val="80000"/>
                </a:schemeClr>
              </a:solidFill>
              <a:ln>
                <a:solidFill>
                  <a:schemeClr val="bg1"/>
                </a:solidFill>
              </a:ln>
              <a:effectLst/>
            </c:spPr>
          </c:dPt>
          <c:dPt>
            <c:idx val="20"/>
            <c:bubble3D val="0"/>
            <c:spPr>
              <a:solidFill>
                <a:schemeClr val="accent3">
                  <a:lumMod val="80000"/>
                </a:schemeClr>
              </a:solidFill>
              <a:ln>
                <a:solidFill>
                  <a:schemeClr val="bg1"/>
                </a:solidFill>
              </a:ln>
              <a:effectLst/>
            </c:spPr>
          </c:dPt>
          <c:dPt>
            <c:idx val="21"/>
            <c:bubble3D val="0"/>
            <c:spPr>
              <a:solidFill>
                <a:schemeClr val="accent4">
                  <a:lumMod val="80000"/>
                </a:schemeClr>
              </a:solidFill>
              <a:ln>
                <a:solidFill>
                  <a:schemeClr val="bg1"/>
                </a:solidFill>
              </a:ln>
              <a:effectLst/>
            </c:spPr>
          </c:dPt>
          <c:dPt>
            <c:idx val="22"/>
            <c:bubble3D val="0"/>
            <c:spPr>
              <a:solidFill>
                <a:schemeClr val="accent5">
                  <a:lumMod val="80000"/>
                </a:schemeClr>
              </a:solidFill>
              <a:ln>
                <a:solidFill>
                  <a:schemeClr val="bg1"/>
                </a:solidFill>
              </a:ln>
              <a:effectLst/>
            </c:spPr>
          </c:dPt>
          <c:dPt>
            <c:idx val="23"/>
            <c:bubble3D val="0"/>
            <c:spPr>
              <a:solidFill>
                <a:schemeClr val="accent6">
                  <a:lumMod val="80000"/>
                </a:schemeClr>
              </a:solidFill>
              <a:ln>
                <a:solidFill>
                  <a:schemeClr val="bg1"/>
                </a:solidFill>
              </a:ln>
              <a:effectLst/>
            </c:spPr>
          </c:dPt>
          <c:dPt>
            <c:idx val="24"/>
            <c:bubble3D val="0"/>
            <c:spPr>
              <a:solidFill>
                <a:schemeClr val="accent1">
                  <a:lumMod val="60000"/>
                  <a:lumOff val="40000"/>
                </a:schemeClr>
              </a:solidFill>
              <a:ln>
                <a:solidFill>
                  <a:schemeClr val="bg1"/>
                </a:solidFill>
              </a:ln>
              <a:effectLst/>
            </c:spPr>
          </c:dPt>
          <c:dPt>
            <c:idx val="25"/>
            <c:bubble3D val="0"/>
            <c:spPr>
              <a:solidFill>
                <a:schemeClr val="accent2">
                  <a:lumMod val="60000"/>
                  <a:lumOff val="40000"/>
                </a:schemeClr>
              </a:solidFill>
              <a:ln>
                <a:solidFill>
                  <a:schemeClr val="bg1"/>
                </a:solidFill>
              </a:ln>
              <a:effectLst/>
            </c:spPr>
          </c:dPt>
          <c:dLbls>
            <c:delete val="1"/>
          </c:dLbls>
          <c:cat>
            <c:strRef>
              <c:f>Sheet1!$A$2:$A$27</c:f>
              <c:strCache>
                <c:ptCount val="26"/>
                <c:pt idx="0">
                  <c:v>一般公共服务支出</c:v>
                </c:pt>
                <c:pt idx="1">
                  <c:v>外交支出</c:v>
                </c:pt>
                <c:pt idx="2">
                  <c:v>国防支出</c:v>
                </c:pt>
                <c:pt idx="3">
                  <c:v>公共安全支出</c:v>
                </c:pt>
                <c:pt idx="4">
                  <c:v>教育支出</c:v>
                </c:pt>
                <c:pt idx="5">
                  <c:v>科学技术支出</c:v>
                </c:pt>
                <c:pt idx="6">
                  <c:v>文化旅游体育与传媒支出</c:v>
                </c:pt>
                <c:pt idx="7">
                  <c:v>社会保障和就业支出</c:v>
                </c:pt>
                <c:pt idx="8">
                  <c:v>卫生健康支出</c:v>
                </c:pt>
                <c:pt idx="9">
                  <c:v>节能环保支出</c:v>
                </c:pt>
                <c:pt idx="10">
                  <c:v>城乡社区支出</c:v>
                </c:pt>
                <c:pt idx="11">
                  <c:v>农林水支出</c:v>
                </c:pt>
                <c:pt idx="12">
                  <c:v>交通运输支出</c:v>
                </c:pt>
                <c:pt idx="13">
                  <c:v>资源勘探工业信息等支出</c:v>
                </c:pt>
                <c:pt idx="14">
                  <c:v>商业服务业等支出</c:v>
                </c:pt>
                <c:pt idx="15">
                  <c:v>金融支出</c:v>
                </c:pt>
                <c:pt idx="16">
                  <c:v>援助其他地区支出</c:v>
                </c:pt>
                <c:pt idx="17">
                  <c:v>自然资源海洋气象等支出</c:v>
                </c:pt>
                <c:pt idx="18">
                  <c:v>住房保障支出</c:v>
                </c:pt>
                <c:pt idx="19">
                  <c:v>粮油物资储备支出</c:v>
                </c:pt>
                <c:pt idx="20">
                  <c:v>国有资本经营预算支出</c:v>
                </c:pt>
                <c:pt idx="21">
                  <c:v>灾害防治及应急管理支出</c:v>
                </c:pt>
                <c:pt idx="22">
                  <c:v>其他支出</c:v>
                </c:pt>
                <c:pt idx="23">
                  <c:v>债务还本支出</c:v>
                </c:pt>
                <c:pt idx="24">
                  <c:v>债务付息支出</c:v>
                </c:pt>
                <c:pt idx="25">
                  <c:v>抗疫特别国债安排的支出</c:v>
                </c:pt>
              </c:strCache>
            </c:strRef>
          </c:cat>
          <c:val>
            <c:numRef>
              <c:f>Sheet1!$B$2:$B$27</c:f>
              <c:numCache>
                <c:formatCode>General</c:formatCode>
                <c:ptCount val="26"/>
                <c:pt idx="0">
                  <c:v>0</c:v>
                </c:pt>
                <c:pt idx="1">
                  <c:v>0</c:v>
                </c:pt>
                <c:pt idx="2">
                  <c:v>0</c:v>
                </c:pt>
                <c:pt idx="3">
                  <c:v>0</c:v>
                </c:pt>
                <c:pt idx="4">
                  <c:v>0</c:v>
                </c:pt>
                <c:pt idx="5">
                  <c:v>0</c:v>
                </c:pt>
                <c:pt idx="6">
                  <c:v>8570.17</c:v>
                </c:pt>
                <c:pt idx="7">
                  <c:v>0</c:v>
                </c:pt>
                <c:pt idx="8">
                  <c:v>0</c:v>
                </c:pt>
                <c:pt idx="9">
                  <c:v>0</c:v>
                </c:pt>
                <c:pt idx="10">
                  <c:v>0</c:v>
                </c:pt>
                <c:pt idx="11">
                  <c:v>0</c:v>
                </c:pt>
                <c:pt idx="12">
                  <c:v>0</c:v>
                </c:pt>
                <c:pt idx="13">
                  <c:v>0</c:v>
                </c:pt>
                <c:pt idx="14">
                  <c:v>0</c:v>
                </c:pt>
                <c:pt idx="15">
                  <c:v>0</c:v>
                </c:pt>
                <c:pt idx="16">
                  <c:v>0</c:v>
                </c:pt>
                <c:pt idx="17">
                  <c:v>0</c:v>
                </c:pt>
                <c:pt idx="18">
                  <c:v>0</c:v>
                </c:pt>
                <c:pt idx="19">
                  <c:v>0</c:v>
                </c:pt>
                <c:pt idx="20">
                  <c:v>0</c:v>
                </c:pt>
                <c:pt idx="21">
                  <c:v>0</c:v>
                </c:pt>
                <c:pt idx="22">
                  <c:v>0</c:v>
                </c:pt>
                <c:pt idx="23">
                  <c:v>0</c:v>
                </c:pt>
                <c:pt idx="24">
                  <c:v>136.81</c:v>
                </c:pt>
                <c:pt idx="25">
                  <c:v>0</c:v>
                </c:pt>
              </c:numCache>
            </c:numRef>
          </c:val>
        </c:ser>
        <c:dLbls>
          <c:showLegendKey val="0"/>
          <c:showVal val="0"/>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ops>
  <customShpExts>
    <customShpInfo spid="_x0000_s1026"/>
  </customShpExts>
  <s:tags>
    <s:tag s:spid="_x0000_s1026">
      <s:item s:name="KSO_DOCER_RESOURCE_TRACE_INFO" s:val="{&quot;id&quot;:&quot;&quot;,&quot;origin&quot;:0,&quot;type&quot;:&quot;wordart&quot;,&quot;user&quot;:&quot;292216292&quot;}"/>
    </s:tag>
  </s:tag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神州网信技术有限公司</Company>
  <Pages>25</Pages>
  <Words>611</Words>
  <Characters>2169</Characters>
  <Lines>86</Lines>
  <Paragraphs>24</Paragraphs>
  <TotalTime>7</TotalTime>
  <ScaleCrop>false</ScaleCrop>
  <LinksUpToDate>false</LinksUpToDate>
  <CharactersWithSpaces>2170</CharactersWithSpaces>
  <Application>WPS Office_11.8.2.11734_F1E327BC-269C-435d-A152-05C5408002CA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2023-08-04T07:55:00Z</dcterms:created>
  <dc:creator>王明新TIAD</dc:creator>
  <cp:lastModifiedBy>LL</cp:lastModifiedBy>
  <cp:lastPrinted>2025-09-10T09:42:00Z</cp:lastPrinted>
  <dcterms:modified xsi:type="dcterms:W3CDTF">2025-09-11T02:37:31Z</dcterms:modified>
  <cp:revision>15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2052-11.8.2.11734</vt:lpwstr>
  </property>
  <property fmtid="{D5CDD505-2E9C-101B-9397-08002B2CF9AE}" pid="3" name="ICV">
    <vt:lpwstr>0102973CB4DC404895DE8AB73EE0CA10</vt:lpwstr>
  </property>
  <property fmtid="{D5CDD505-2E9C-101B-9397-08002B2CF9AE}" pid="4" name="KSOTemplateUUID">
    <vt:lpwstr>v1.0_mb_S7ajbG3IpAnL1wSthNCxfw==</vt:lpwstr>
  </property>
  <property fmtid="{D5CDD505-2E9C-101B-9397-08002B2CF9AE}" pid="5" name="KSOTemplateDocerSaveRecord">
    <vt:lpwstr>eyJoZGlkIjoiYjA3YzVjY2RhYzM1OWI4MmYzZjdlYWUzZWM2YTQyNTYiLCJ1c2VySWQiOiIxNTIwMzY1OTkzIn0=</vt:lpwstr>
  </property>
</Properties>
</file>