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536001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：石家庄市公安特警支队</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hint="eastAsia"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b w:val="0"/>
          <w:sz w:val="72"/>
          <w:szCs w:val="72"/>
        </w:rPr>
        <w:t>石家庄市公安特警支队</w:t>
      </w:r>
    </w:p>
    <w:p>
      <w:pPr>
        <w:widowControl/>
        <w:spacing w:before="0" w:beforeLines="0" w:beforeAutospacing="0" w:after="0" w:afterLines="0" w:afterAutospacing="0" w:line="360" w:lineRule="auto"/>
        <w:jc w:val="center"/>
        <w:rPr>
          <w:rFonts w:hint="eastAsia"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b w:val="0"/>
          <w:sz w:val="72"/>
          <w:szCs w:val="72"/>
        </w:rPr>
        <w:t>2024年度部门决算公开文本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石家庄市公安特警支队(单位名称，加盖公章）</w:t>
      </w:r>
    </w:p>
    <w:p>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474" w:bottom="1984" w:left="1587"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line="600" w:lineRule="exact"/>
        <w:jc w:val="left"/>
        <w:rPr>
          <w:rFonts w:ascii="黑体" w:hAnsi="黑体" w:eastAsia="黑体" w:cs="黑体"/>
          <w:bCs/>
          <w:sz w:val="32"/>
          <w:szCs w:val="32"/>
        </w:rPr>
      </w:pPr>
    </w:p>
    <w:p>
      <w:pPr>
        <w:tabs>
          <w:tab w:val="left" w:pos="2728"/>
        </w:tabs>
        <w:jc w:val="center"/>
        <w:rPr>
          <w:rFonts w:ascii="黑体" w:hAnsi="Times New Roman" w:eastAsia="黑体" w:cs="Times New Roman"/>
          <w:sz w:val="48"/>
          <w:szCs w:val="48"/>
        </w:r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pPr>
        <w:widowControl/>
        <w:spacing w:after="160" w:line="580" w:lineRule="exact"/>
        <w:ind w:firstLine="640" w:firstLineChars="200"/>
        <w:rPr>
          <w:rFonts w:ascii="Times New Roman" w:hAnsi="Times New Roman" w:eastAsia="黑体" w:cs="Times New Roman"/>
          <w:sz w:val="32"/>
          <w:szCs w:val="32"/>
        </w:rPr>
      </w:pP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石家庄市公安特警支队负责处置恐怖犯罪、严重暴力犯罪、动乱、骚乱事件、大规模群众滋事、非法集会游行示威等群体性重大治安事件，担负重大活动的安全保卫、特定的巡逻执勤、搜排爆等任务，接受上级公安机关调遣，跨区执行特别任务。</w:t>
      </w:r>
    </w:p>
    <w:p>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石家庄市公安特警支队</w:t>
            </w:r>
          </w:p>
        </w:tc>
        <w:tc>
          <w:tcPr>
            <w:tcW w:w="2445" w:type="dxa"/>
          </w:tcPr>
          <w:p>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10840" w:type="dxa"/>
        <w:jc w:val="center"/>
        <w:tblInd w:w="-18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08"/>
        <w:gridCol w:w="687"/>
        <w:gridCol w:w="165"/>
        <w:gridCol w:w="1225"/>
        <w:gridCol w:w="1513"/>
        <w:gridCol w:w="1797"/>
        <w:gridCol w:w="638"/>
        <w:gridCol w:w="1377"/>
        <w:gridCol w:w="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10810"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10810"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 xml:space="preserve"> 公开</w:t>
            </w:r>
            <w:r>
              <w:rPr>
                <w:rFonts w:hint="eastAsia" w:ascii="仿宋_GB2312" w:hAnsi="仿宋_GB2312" w:eastAsia="仿宋_GB2312" w:cs="仿宋_GB2312"/>
                <w:i w:val="0"/>
                <w:iCs w:val="0"/>
                <w:color w:val="000000"/>
                <w:sz w:val="20"/>
                <w:szCs w:val="20"/>
                <w:highlight w:val="none"/>
                <w:u w:val="none"/>
                <w:lang w:val="en-US" w:eastAsia="zh-CN"/>
              </w:rPr>
              <w:t>01</w:t>
            </w:r>
            <w:r>
              <w:rPr>
                <w:rFonts w:hint="eastAsia" w:ascii="仿宋_GB2312" w:hAnsi="仿宋_GB2312" w:eastAsia="仿宋_GB2312" w:cs="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4260" w:type="dxa"/>
            <w:gridSpan w:val="3"/>
            <w:tcBorders>
              <w:top w:val="nil"/>
              <w:left w:val="nil"/>
              <w:bottom w:val="single" w:color="auto" w:sz="4" w:space="0"/>
              <w:right w:val="nil"/>
            </w:tcBorders>
            <w:noWrap/>
            <w:vAlign w:val="bottom"/>
          </w:tcPr>
          <w:p>
            <w:pPr>
              <w:jc w:val="both"/>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部门（单位）：石家庄市公安特警支队</w:t>
            </w:r>
          </w:p>
        </w:tc>
        <w:tc>
          <w:tcPr>
            <w:tcW w:w="2738" w:type="dxa"/>
            <w:gridSpan w:val="2"/>
            <w:tcBorders>
              <w:top w:val="nil"/>
              <w:left w:val="nil"/>
              <w:bottom w:val="single" w:color="auto" w:sz="4" w:space="0"/>
              <w:right w:val="nil"/>
            </w:tcBorders>
            <w:noWrap/>
            <w:vAlign w:val="bottom"/>
          </w:tcPr>
          <w:p>
            <w:pPr>
              <w:jc w:val="center"/>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sz w:val="20"/>
                <w:szCs w:val="20"/>
                <w:highlight w:val="none"/>
                <w:u w:val="none"/>
                <w:lang w:val="en-US" w:eastAsia="zh-CN"/>
              </w:rPr>
              <w:t>2024</w:t>
            </w:r>
            <w:r>
              <w:rPr>
                <w:rFonts w:hint="eastAsia" w:ascii="仿宋_GB2312" w:hAnsi="仿宋_GB2312" w:eastAsia="仿宋_GB2312" w:cs="仿宋_GB2312"/>
                <w:i w:val="0"/>
                <w:iCs w:val="0"/>
                <w:color w:val="000000"/>
                <w:kern w:val="0"/>
                <w:sz w:val="20"/>
                <w:szCs w:val="20"/>
                <w:highlight w:val="none"/>
                <w:u w:val="none"/>
                <w:lang w:val="en-US" w:eastAsia="zh-CN" w:bidi="ar"/>
              </w:rPr>
              <w:t>年度</w:t>
            </w:r>
          </w:p>
        </w:tc>
        <w:tc>
          <w:tcPr>
            <w:tcW w:w="3812" w:type="dxa"/>
            <w:gridSpan w:val="3"/>
            <w:tcBorders>
              <w:top w:val="nil"/>
              <w:left w:val="nil"/>
              <w:bottom w:val="single" w:color="auto" w:sz="4" w:space="0"/>
              <w:right w:val="nil"/>
            </w:tcBorders>
            <w:noWrap/>
            <w:vAlign w:val="bottom"/>
          </w:tcPr>
          <w:p>
            <w:pPr>
              <w:jc w:val="right"/>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5485"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收入</w:t>
            </w:r>
          </w:p>
        </w:tc>
        <w:tc>
          <w:tcPr>
            <w:tcW w:w="5325"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行次</w:t>
            </w:r>
          </w:p>
        </w:tc>
        <w:tc>
          <w:tcPr>
            <w:tcW w:w="139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决算数</w:t>
            </w: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行次</w:t>
            </w:r>
          </w:p>
        </w:tc>
        <w:tc>
          <w:tcPr>
            <w:tcW w:w="13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栏次</w:t>
            </w:r>
          </w:p>
        </w:tc>
        <w:tc>
          <w:tcPr>
            <w:tcW w:w="687" w:type="dxa"/>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39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w:t>
            </w: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栏次</w:t>
            </w:r>
          </w:p>
        </w:tc>
        <w:tc>
          <w:tcPr>
            <w:tcW w:w="638" w:type="dxa"/>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3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一、一般公共预算财政拨款收入</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一、一般公共服务支出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32</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二、政府性基金预算财政拨款收入</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二、外交支出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33</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三、国有资本经营预算财政拨款收入</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三、国防支出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34</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四、上级补助收入</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四、公共安全支出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35</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9,626.45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五、事业收入</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五、教育支出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36</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六、经营收入</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6</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六、科学技术支出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37</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七、附属单位上缴收入</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7</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七、文化旅游体育与传媒支出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38</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八、其他收入</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8</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八、社会保障和就业支出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39</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797.47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9</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九、卫生健康支出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40</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614.75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10</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十、节能环保支出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41</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11</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十一、城乡社区支出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42</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12</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十二、农林水支出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43</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13</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十三、交通运输支出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44</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auto"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14</w:t>
            </w:r>
          </w:p>
        </w:tc>
        <w:tc>
          <w:tcPr>
            <w:tcW w:w="1390" w:type="dxa"/>
            <w:gridSpan w:val="2"/>
            <w:tcBorders>
              <w:top w:val="nil"/>
              <w:left w:val="nil"/>
              <w:bottom w:val="single" w:color="auto"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十四、资源勘探工业信息等支出</w:t>
            </w:r>
          </w:p>
        </w:tc>
        <w:tc>
          <w:tcPr>
            <w:tcW w:w="638"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45</w:t>
            </w:r>
          </w:p>
        </w:tc>
        <w:tc>
          <w:tcPr>
            <w:tcW w:w="1377" w:type="dxa"/>
            <w:tcBorders>
              <w:top w:val="nil"/>
              <w:left w:val="nil"/>
              <w:bottom w:val="single" w:color="auto"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15</w:t>
            </w:r>
          </w:p>
        </w:tc>
        <w:tc>
          <w:tcPr>
            <w:tcW w:w="139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十五、商业服务业等支出</w:t>
            </w:r>
          </w:p>
        </w:tc>
        <w:tc>
          <w:tcPr>
            <w:tcW w:w="63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46</w:t>
            </w:r>
          </w:p>
        </w:tc>
        <w:tc>
          <w:tcPr>
            <w:tcW w:w="137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16</w:t>
            </w:r>
          </w:p>
        </w:tc>
        <w:tc>
          <w:tcPr>
            <w:tcW w:w="139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十六、金融支出</w:t>
            </w:r>
          </w:p>
        </w:tc>
        <w:tc>
          <w:tcPr>
            <w:tcW w:w="63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47</w:t>
            </w:r>
          </w:p>
        </w:tc>
        <w:tc>
          <w:tcPr>
            <w:tcW w:w="137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17</w:t>
            </w:r>
          </w:p>
        </w:tc>
        <w:tc>
          <w:tcPr>
            <w:tcW w:w="139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十七、援助其他地区支出</w:t>
            </w:r>
          </w:p>
        </w:tc>
        <w:tc>
          <w:tcPr>
            <w:tcW w:w="63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48</w:t>
            </w:r>
          </w:p>
        </w:tc>
        <w:tc>
          <w:tcPr>
            <w:tcW w:w="137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18</w:t>
            </w:r>
          </w:p>
        </w:tc>
        <w:tc>
          <w:tcPr>
            <w:tcW w:w="139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十八、自然资源海洋气象等支出</w:t>
            </w:r>
          </w:p>
        </w:tc>
        <w:tc>
          <w:tcPr>
            <w:tcW w:w="63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49</w:t>
            </w:r>
          </w:p>
        </w:tc>
        <w:tc>
          <w:tcPr>
            <w:tcW w:w="137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19</w:t>
            </w:r>
          </w:p>
        </w:tc>
        <w:tc>
          <w:tcPr>
            <w:tcW w:w="139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十九、住房保障支出</w:t>
            </w:r>
          </w:p>
        </w:tc>
        <w:tc>
          <w:tcPr>
            <w:tcW w:w="63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50</w:t>
            </w:r>
          </w:p>
        </w:tc>
        <w:tc>
          <w:tcPr>
            <w:tcW w:w="137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862.91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20</w:t>
            </w:r>
          </w:p>
        </w:tc>
        <w:tc>
          <w:tcPr>
            <w:tcW w:w="1390"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二十、粮油物资储备支出</w:t>
            </w:r>
          </w:p>
        </w:tc>
        <w:tc>
          <w:tcPr>
            <w:tcW w:w="638"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51</w:t>
            </w:r>
          </w:p>
        </w:tc>
        <w:tc>
          <w:tcPr>
            <w:tcW w:w="137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21</w:t>
            </w:r>
          </w:p>
        </w:tc>
        <w:tc>
          <w:tcPr>
            <w:tcW w:w="1390" w:type="dxa"/>
            <w:gridSpan w:val="2"/>
            <w:tcBorders>
              <w:top w:val="single" w:color="auto" w:sz="4" w:space="0"/>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二十一、国有资本经营预算支出</w:t>
            </w:r>
          </w:p>
        </w:tc>
        <w:tc>
          <w:tcPr>
            <w:tcW w:w="638"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52</w:t>
            </w:r>
          </w:p>
        </w:tc>
        <w:tc>
          <w:tcPr>
            <w:tcW w:w="1377" w:type="dxa"/>
            <w:tcBorders>
              <w:top w:val="single" w:color="auto" w:sz="4" w:space="0"/>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22</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二十二、灾害防治及应急管理支出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53</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23</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二十三、其他支出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54</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24</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二十四、债务还本支出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55</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25</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二十五、债务付息支出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56</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26</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二十六、抗疫特别国债安排的支出</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57</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highlight w:val="none"/>
                <w:u w:val="none"/>
              </w:rPr>
            </w:pPr>
            <w:r>
              <w:rPr>
                <w:rFonts w:hint="eastAsia" w:ascii="仿宋_GB2312" w:hAnsi="仿宋_GB2312" w:eastAsia="仿宋_GB2312" w:cs="仿宋_GB2312"/>
                <w:b/>
                <w:bCs/>
                <w:i w:val="0"/>
                <w:iCs w:val="0"/>
                <w:color w:val="000000"/>
                <w:kern w:val="0"/>
                <w:sz w:val="20"/>
                <w:szCs w:val="20"/>
                <w:highlight w:val="none"/>
                <w:u w:val="none"/>
                <w:lang w:val="en-US" w:eastAsia="zh-CN" w:bidi="ar"/>
              </w:rPr>
              <w:t>本年收入合计</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27</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highlight w:val="none"/>
                <w:u w:val="none"/>
              </w:rPr>
            </w:pPr>
            <w:r>
              <w:rPr>
                <w:rFonts w:hint="eastAsia" w:ascii="仿宋_GB2312" w:hAnsi="仿宋_GB2312" w:eastAsia="仿宋_GB2312" w:cs="仿宋_GB2312"/>
                <w:b/>
                <w:bCs/>
                <w:i w:val="0"/>
                <w:iCs w:val="0"/>
                <w:color w:val="000000"/>
                <w:kern w:val="0"/>
                <w:sz w:val="20"/>
                <w:szCs w:val="20"/>
                <w:highlight w:val="none"/>
                <w:u w:val="none"/>
                <w:lang w:val="en-US" w:eastAsia="zh-CN" w:bidi="ar"/>
              </w:rPr>
              <w:t>本年支出合计</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58</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使用非财政拨款结余（含专用结余）</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28</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结余分配</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59</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年初结转和结余</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29</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年末结转和结余</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60</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0"/>
                <w:szCs w:val="20"/>
                <w:highlight w:val="none"/>
                <w:u w:val="none"/>
                <w:lang w:val="en-US" w:eastAsia="zh-CN" w:bidi="ar"/>
              </w:rPr>
            </w:pP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30</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0"/>
                <w:sz w:val="20"/>
                <w:szCs w:val="20"/>
                <w:highlight w:val="none"/>
                <w:u w:val="none"/>
                <w:lang w:val="en-US" w:eastAsia="zh-CN" w:bidi="ar"/>
              </w:rPr>
            </w:pP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61</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0" w:type="dxa"/>
          <w:trHeight w:val="23" w:hRule="atLeast"/>
          <w:jc w:val="center"/>
        </w:trPr>
        <w:tc>
          <w:tcPr>
            <w:tcW w:w="3408"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highlight w:val="none"/>
                <w:u w:val="none"/>
              </w:rPr>
            </w:pPr>
            <w:r>
              <w:rPr>
                <w:rFonts w:hint="eastAsia" w:ascii="仿宋_GB2312" w:hAnsi="仿宋_GB2312" w:eastAsia="仿宋_GB2312" w:cs="仿宋_GB2312"/>
                <w:b/>
                <w:bCs/>
                <w:i w:val="0"/>
                <w:iCs w:val="0"/>
                <w:color w:val="000000"/>
                <w:kern w:val="0"/>
                <w:sz w:val="20"/>
                <w:szCs w:val="20"/>
                <w:highlight w:val="none"/>
                <w:u w:val="none"/>
                <w:lang w:val="en-US" w:eastAsia="zh-CN" w:bidi="ar"/>
              </w:rPr>
              <w:t>总计</w:t>
            </w:r>
          </w:p>
        </w:tc>
        <w:tc>
          <w:tcPr>
            <w:tcW w:w="6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31</w:t>
            </w:r>
          </w:p>
        </w:tc>
        <w:tc>
          <w:tcPr>
            <w:tcW w:w="139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331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highlight w:val="none"/>
                <w:u w:val="none"/>
              </w:rPr>
            </w:pPr>
            <w:r>
              <w:rPr>
                <w:rFonts w:hint="eastAsia" w:ascii="仿宋_GB2312" w:hAnsi="仿宋_GB2312" w:eastAsia="仿宋_GB2312" w:cs="仿宋_GB2312"/>
                <w:b/>
                <w:bCs/>
                <w:i w:val="0"/>
                <w:iCs w:val="0"/>
                <w:color w:val="000000"/>
                <w:kern w:val="0"/>
                <w:sz w:val="20"/>
                <w:szCs w:val="20"/>
                <w:highlight w:val="none"/>
                <w:u w:val="none"/>
                <w:lang w:val="en-US" w:eastAsia="zh-CN" w:bidi="ar"/>
              </w:rPr>
              <w:t>总计</w:t>
            </w:r>
          </w:p>
        </w:tc>
        <w:tc>
          <w:tcPr>
            <w:tcW w:w="63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rPr>
            </w:pPr>
            <w:r>
              <w:rPr>
                <w:rFonts w:hint="eastAsia" w:ascii="仿宋_GB2312" w:hAnsi="仿宋_GB2312" w:eastAsia="仿宋_GB2312" w:cs="仿宋_GB2312"/>
                <w:i w:val="0"/>
                <w:iCs w:val="0"/>
                <w:color w:val="000000"/>
                <w:kern w:val="0"/>
                <w:sz w:val="20"/>
                <w:szCs w:val="20"/>
                <w:highlight w:val="none"/>
                <w:u w:val="none"/>
                <w:lang w:val="en-US" w:eastAsia="zh-CN" w:bidi="ar"/>
              </w:rPr>
              <w:t>62</w:t>
            </w:r>
          </w:p>
        </w:tc>
        <w:tc>
          <w:tcPr>
            <w:tcW w:w="13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0840"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54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8"/>
        <w:gridCol w:w="1570"/>
        <w:gridCol w:w="1287"/>
        <w:gridCol w:w="1150"/>
        <w:gridCol w:w="869"/>
        <w:gridCol w:w="1101"/>
        <w:gridCol w:w="419"/>
        <w:gridCol w:w="681"/>
        <w:gridCol w:w="1173"/>
        <w:gridCol w:w="1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054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054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公开</w:t>
            </w:r>
            <w:r>
              <w:rPr>
                <w:rFonts w:hint="eastAsia" w:ascii="仿宋_GB2312" w:hAnsi="仿宋_GB2312" w:eastAsia="仿宋_GB2312" w:cs="仿宋_GB2312"/>
                <w:i w:val="0"/>
                <w:iCs w:val="0"/>
                <w:color w:val="000000"/>
                <w:sz w:val="20"/>
                <w:szCs w:val="20"/>
                <w:highlight w:val="none"/>
                <w:u w:val="none"/>
                <w:lang w:val="en-US" w:eastAsia="zh-CN"/>
              </w:rPr>
              <w:t>02</w:t>
            </w:r>
            <w:r>
              <w:rPr>
                <w:rFonts w:hint="eastAsia" w:ascii="仿宋_GB2312" w:hAnsi="仿宋_GB2312" w:eastAsia="仿宋_GB2312" w:cs="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4045" w:type="dxa"/>
            <w:gridSpan w:val="3"/>
            <w:tcBorders>
              <w:top w:val="nil"/>
              <w:left w:val="nil"/>
              <w:bottom w:val="single" w:color="auto" w:sz="4" w:space="0"/>
              <w:right w:val="nil"/>
            </w:tcBorders>
            <w:noWrap/>
            <w:vAlign w:val="bottom"/>
          </w:tcPr>
          <w:p>
            <w:pP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 xml:space="preserve">部门（单位）：石家庄市公安特警支队                                                                                                         </w:t>
            </w:r>
          </w:p>
        </w:tc>
        <w:tc>
          <w:tcPr>
            <w:tcW w:w="3539" w:type="dxa"/>
            <w:gridSpan w:val="4"/>
            <w:tcBorders>
              <w:top w:val="nil"/>
              <w:left w:val="nil"/>
              <w:bottom w:val="single" w:color="auto" w:sz="4" w:space="0"/>
              <w:right w:val="nil"/>
            </w:tcBorders>
            <w:noWrap/>
            <w:vAlign w:val="bottom"/>
          </w:tcPr>
          <w:p>
            <w:pPr>
              <w:jc w:val="center"/>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sz w:val="20"/>
                <w:szCs w:val="20"/>
                <w:highlight w:val="none"/>
                <w:u w:val="none"/>
                <w:lang w:val="en-US" w:eastAsia="zh-CN"/>
              </w:rPr>
              <w:t>2024</w:t>
            </w:r>
            <w:r>
              <w:rPr>
                <w:rFonts w:hint="eastAsia" w:ascii="仿宋_GB2312" w:hAnsi="仿宋_GB2312" w:eastAsia="仿宋_GB2312" w:cs="仿宋_GB2312"/>
                <w:i w:val="0"/>
                <w:iCs w:val="0"/>
                <w:color w:val="000000"/>
                <w:kern w:val="0"/>
                <w:sz w:val="20"/>
                <w:szCs w:val="20"/>
                <w:highlight w:val="none"/>
                <w:u w:val="none"/>
                <w:lang w:val="en-US" w:eastAsia="zh-CN" w:bidi="ar"/>
              </w:rPr>
              <w:t>年度</w:t>
            </w:r>
          </w:p>
        </w:tc>
        <w:tc>
          <w:tcPr>
            <w:tcW w:w="2956" w:type="dxa"/>
            <w:gridSpan w:val="3"/>
            <w:tcBorders>
              <w:top w:val="nil"/>
              <w:left w:val="nil"/>
              <w:bottom w:val="single" w:color="auto" w:sz="4" w:space="0"/>
              <w:right w:val="nil"/>
            </w:tcBorders>
            <w:noWrap/>
            <w:vAlign w:val="bottom"/>
          </w:tcPr>
          <w:p>
            <w:pPr>
              <w:jc w:val="right"/>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758"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w:t>
            </w:r>
          </w:p>
        </w:tc>
        <w:tc>
          <w:tcPr>
            <w:tcW w:w="12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本年收入合计</w:t>
            </w:r>
          </w:p>
        </w:tc>
        <w:tc>
          <w:tcPr>
            <w:tcW w:w="1150"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财政拨款收入</w:t>
            </w:r>
          </w:p>
        </w:tc>
        <w:tc>
          <w:tcPr>
            <w:tcW w:w="869"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上级补助收入</w:t>
            </w:r>
          </w:p>
        </w:tc>
        <w:tc>
          <w:tcPr>
            <w:tcW w:w="1101"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事业收入</w:t>
            </w:r>
          </w:p>
        </w:tc>
        <w:tc>
          <w:tcPr>
            <w:tcW w:w="1100"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经营收入</w:t>
            </w:r>
          </w:p>
        </w:tc>
        <w:tc>
          <w:tcPr>
            <w:tcW w:w="1173"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附属单位上缴收入</w:t>
            </w:r>
          </w:p>
        </w:tc>
        <w:tc>
          <w:tcPr>
            <w:tcW w:w="1102"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188"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科目代码</w:t>
            </w:r>
          </w:p>
        </w:tc>
        <w:tc>
          <w:tcPr>
            <w:tcW w:w="157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科目名称</w:t>
            </w:r>
          </w:p>
        </w:tc>
        <w:tc>
          <w:tcPr>
            <w:tcW w:w="12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50"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869"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1"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p>
        </w:tc>
        <w:tc>
          <w:tcPr>
            <w:tcW w:w="1100"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73"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188"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570" w:type="dxa"/>
            <w:vMerge w:val="continue"/>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2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50"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869"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1" w:type="dxa"/>
            <w:vMerge w:val="continue"/>
            <w:tcBorders>
              <w:left w:val="nil"/>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0"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73"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188"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570" w:type="dxa"/>
            <w:vMerge w:val="continue"/>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2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50"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869"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1" w:type="dxa"/>
            <w:vMerge w:val="continue"/>
            <w:tcBorders>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0"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73"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2"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75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栏次</w:t>
            </w:r>
          </w:p>
        </w:tc>
        <w:tc>
          <w:tcPr>
            <w:tcW w:w="12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w:t>
            </w:r>
          </w:p>
        </w:tc>
        <w:tc>
          <w:tcPr>
            <w:tcW w:w="1150"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w:t>
            </w:r>
          </w:p>
        </w:tc>
        <w:tc>
          <w:tcPr>
            <w:tcW w:w="869"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w:t>
            </w:r>
          </w:p>
        </w:tc>
        <w:tc>
          <w:tcPr>
            <w:tcW w:w="1101"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4</w:t>
            </w:r>
          </w:p>
        </w:tc>
        <w:tc>
          <w:tcPr>
            <w:tcW w:w="1100"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w:t>
            </w:r>
          </w:p>
        </w:tc>
        <w:tc>
          <w:tcPr>
            <w:tcW w:w="1173"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6</w:t>
            </w:r>
          </w:p>
        </w:tc>
        <w:tc>
          <w:tcPr>
            <w:tcW w:w="1102"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75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合计</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rPr>
              <w:t>11,901.59</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rPr>
              <w:t>11,901.59</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204</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公共安全支出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9,626.45</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9,626.45</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20402</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公安</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9,626.45</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9,626.45</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2040201</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行政运行</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7,156.28</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7,156.28</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2040202</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一般行政管理事务</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1,891.90</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1,891.90</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2040220</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执法办案</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390.28</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390.28</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2040299</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其他公安支出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188.00</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188.00</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208</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社会保障和就业支出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797.47</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797.47</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20805</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行政事业单位养老支出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792.00</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792.00</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2080501</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行政单位离退休</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56.89</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56.89</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2080505</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机关事业单位基本养老保险缴费支出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735.11</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735.11</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20899</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其他社会保障和就业支出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5.47</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5.47</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2089999</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其他社会保障和就业支出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5.47</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5.47</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210</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卫生健康支出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614.75</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614.75</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21011</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行政事业单位医疗</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614.75</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614.75</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2101101</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行政单位医疗</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364.34</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364.34</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2101103</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公务员医疗补助</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250.41</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250.41</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221</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住房保障支出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862.91</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862.91</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22102</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住房改革支出</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862.91</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862.91</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18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2210201</w:t>
            </w:r>
          </w:p>
        </w:tc>
        <w:tc>
          <w:tcPr>
            <w:tcW w:w="157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住房公积金</w:t>
            </w:r>
          </w:p>
        </w:tc>
        <w:tc>
          <w:tcPr>
            <w:tcW w:w="12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862.91</w:t>
            </w:r>
          </w:p>
        </w:tc>
        <w:tc>
          <w:tcPr>
            <w:tcW w:w="115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r>
              <w:rPr>
                <w:rFonts w:hint="eastAsia" w:ascii="仿宋_GB2312" w:hAnsi="仿宋_GB2312" w:eastAsia="仿宋_GB2312" w:cs="仿宋_GB2312"/>
                <w:spacing w:val="-2"/>
                <w:sz w:val="20"/>
                <w:szCs w:val="20"/>
                <w:lang w:val="en-US" w:eastAsia="zh-CN"/>
              </w:rPr>
              <w:t>862.91</w:t>
            </w:r>
          </w:p>
        </w:tc>
        <w:tc>
          <w:tcPr>
            <w:tcW w:w="869"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73"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c>
          <w:tcPr>
            <w:tcW w:w="110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054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94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18"/>
        <w:gridCol w:w="1840"/>
        <w:gridCol w:w="1016"/>
        <w:gridCol w:w="446"/>
        <w:gridCol w:w="1188"/>
        <w:gridCol w:w="1275"/>
        <w:gridCol w:w="162"/>
        <w:gridCol w:w="950"/>
        <w:gridCol w:w="1104"/>
        <w:gridCol w:w="17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0940"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b w:val="0"/>
                <w:bCs/>
                <w:color w:val="auto"/>
                <w:kern w:val="0"/>
                <w:sz w:val="32"/>
                <w:szCs w:val="32"/>
                <w:highlight w:val="none"/>
                <w:lang w:val="en-US" w:eastAsia="zh-CN"/>
              </w:rPr>
              <w:br w:type="page"/>
            </w:r>
            <w:r>
              <w:rPr>
                <w:rFonts w:hint="eastAsia" w:ascii="仿宋_GB2312" w:hAnsi="仿宋_GB2312" w:eastAsia="仿宋_GB2312" w:cs="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094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公开03表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4074"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 xml:space="preserve">部门（单位）：石家庄市公安特警支队                                                                                                          </w:t>
            </w:r>
          </w:p>
        </w:tc>
        <w:tc>
          <w:tcPr>
            <w:tcW w:w="3071"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2024年度</w:t>
            </w:r>
          </w:p>
        </w:tc>
        <w:tc>
          <w:tcPr>
            <w:tcW w:w="3795"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3058"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w:t>
            </w:r>
          </w:p>
        </w:tc>
        <w:tc>
          <w:tcPr>
            <w:tcW w:w="1462"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本年支出合计</w:t>
            </w:r>
          </w:p>
        </w:tc>
        <w:tc>
          <w:tcPr>
            <w:tcW w:w="118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基本支出</w:t>
            </w:r>
          </w:p>
        </w:tc>
        <w:tc>
          <w:tcPr>
            <w:tcW w:w="1275"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项目支出</w:t>
            </w:r>
          </w:p>
        </w:tc>
        <w:tc>
          <w:tcPr>
            <w:tcW w:w="1112"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上缴上级支出</w:t>
            </w:r>
          </w:p>
        </w:tc>
        <w:tc>
          <w:tcPr>
            <w:tcW w:w="110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经营支出</w:t>
            </w:r>
          </w:p>
        </w:tc>
        <w:tc>
          <w:tcPr>
            <w:tcW w:w="1741"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218"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科目代码</w:t>
            </w:r>
          </w:p>
        </w:tc>
        <w:tc>
          <w:tcPr>
            <w:tcW w:w="184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科目名称</w:t>
            </w:r>
          </w:p>
        </w:tc>
        <w:tc>
          <w:tcPr>
            <w:tcW w:w="1462"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8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27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12"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741"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218"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840" w:type="dxa"/>
            <w:vMerge w:val="continue"/>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462"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8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27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12"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741"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218"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840" w:type="dxa"/>
            <w:vMerge w:val="continue"/>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462"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8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275"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12"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741"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305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栏次</w:t>
            </w:r>
          </w:p>
        </w:tc>
        <w:tc>
          <w:tcPr>
            <w:tcW w:w="1462"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w:t>
            </w:r>
          </w:p>
        </w:tc>
        <w:tc>
          <w:tcPr>
            <w:tcW w:w="118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w:t>
            </w:r>
          </w:p>
        </w:tc>
        <w:tc>
          <w:tcPr>
            <w:tcW w:w="1275"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w:t>
            </w:r>
          </w:p>
        </w:tc>
        <w:tc>
          <w:tcPr>
            <w:tcW w:w="1112"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w:t>
            </w:r>
          </w:p>
        </w:tc>
        <w:tc>
          <w:tcPr>
            <w:tcW w:w="110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w:t>
            </w:r>
          </w:p>
        </w:tc>
        <w:tc>
          <w:tcPr>
            <w:tcW w:w="1741"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3058"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合计</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9,431.41</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2,470.17</w:t>
            </w: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公共安全支出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9,626.45</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7,156.28</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2,470.17</w:t>
            </w: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公安</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9,626.45</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7,156.28</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2,470.17</w:t>
            </w: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2040201</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行政运行</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7,156.28</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7,156.28</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2040202</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一般行政管理事务</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1,891.90</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1,891.90</w:t>
            </w: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2040220</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执法办案</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390.28</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390.28</w:t>
            </w: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2040299</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其他公安支出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188.00</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188.00</w:t>
            </w: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社会保障和就业支出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797.47</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797.47</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20805</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行政事业单位养老支出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792.00</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792.00</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2080501</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行政单位离退休</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56.89</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56.89</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2080505</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机关事业单位基本养老保险缴费支出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735.11</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735.11</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20899</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其他社会保障和就业支出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5.47</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5.47</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2089999</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其他社会保障和就业支出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5.47</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5.47</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210</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卫生健康支出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614.75</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614.75</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21011</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行政事业单位医疗</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614.75</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614.75</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2101101</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行政单位医疗</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364.34</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364.34</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2101103</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公务员医疗补助</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250.41</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250.41</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221</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住房保障支出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22102</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住房改革支出</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218"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2210201</w:t>
            </w:r>
          </w:p>
        </w:tc>
        <w:tc>
          <w:tcPr>
            <w:tcW w:w="1840" w:type="dxa"/>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住房公积金</w:t>
            </w:r>
          </w:p>
        </w:tc>
        <w:tc>
          <w:tcPr>
            <w:tcW w:w="146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1188"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12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12"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094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43"/>
        <w:gridCol w:w="587"/>
        <w:gridCol w:w="1205"/>
        <w:gridCol w:w="1659"/>
        <w:gridCol w:w="836"/>
        <w:gridCol w:w="663"/>
        <w:gridCol w:w="22"/>
        <w:gridCol w:w="1103"/>
        <w:gridCol w:w="1137"/>
        <w:gridCol w:w="1175"/>
        <w:gridCol w:w="10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5694" w:type="dxa"/>
            <w:gridSpan w:val="4"/>
            <w:tcBorders>
              <w:top w:val="nil"/>
              <w:left w:val="nil"/>
              <w:bottom w:val="single" w:color="auto" w:sz="4" w:space="0"/>
              <w:right w:val="nil"/>
            </w:tcBorders>
            <w:noWrap/>
            <w:vAlign w:val="bottom"/>
          </w:tcPr>
          <w:p>
            <w:pP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 xml:space="preserve">部门（单位）：石家庄市公安特警支队                                                                                                    </w:t>
            </w:r>
          </w:p>
        </w:tc>
        <w:tc>
          <w:tcPr>
            <w:tcW w:w="1521" w:type="dxa"/>
            <w:gridSpan w:val="3"/>
            <w:tcBorders>
              <w:top w:val="nil"/>
              <w:left w:val="nil"/>
              <w:bottom w:val="single" w:color="auto" w:sz="4" w:space="0"/>
              <w:right w:val="nil"/>
            </w:tcBorders>
            <w:noWrap/>
            <w:vAlign w:val="bottom"/>
          </w:tcPr>
          <w:p>
            <w:pPr>
              <w:jc w:val="center"/>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2024年度</w:t>
            </w:r>
          </w:p>
        </w:tc>
        <w:tc>
          <w:tcPr>
            <w:tcW w:w="4494" w:type="dxa"/>
            <w:gridSpan w:val="4"/>
            <w:tcBorders>
              <w:top w:val="nil"/>
              <w:left w:val="nil"/>
              <w:bottom w:val="single" w:color="auto" w:sz="4" w:space="0"/>
              <w:right w:val="nil"/>
            </w:tcBorders>
            <w:noWrap/>
            <w:vAlign w:val="bottom"/>
          </w:tcPr>
          <w:p>
            <w:pPr>
              <w:jc w:val="right"/>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243"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    目</w:t>
            </w:r>
          </w:p>
        </w:tc>
        <w:tc>
          <w:tcPr>
            <w:tcW w:w="58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行次</w:t>
            </w:r>
          </w:p>
        </w:tc>
        <w:tc>
          <w:tcPr>
            <w:tcW w:w="1205"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金额</w:t>
            </w:r>
          </w:p>
        </w:tc>
        <w:tc>
          <w:tcPr>
            <w:tcW w:w="2495"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w:t>
            </w:r>
          </w:p>
        </w:tc>
        <w:tc>
          <w:tcPr>
            <w:tcW w:w="663"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行次</w:t>
            </w:r>
          </w:p>
        </w:tc>
        <w:tc>
          <w:tcPr>
            <w:tcW w:w="112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rPr>
              <w:t>合计</w:t>
            </w:r>
          </w:p>
        </w:tc>
        <w:tc>
          <w:tcPr>
            <w:tcW w:w="1137"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rPr>
              <w:t>一般公共预算财政拨款</w:t>
            </w:r>
          </w:p>
        </w:tc>
        <w:tc>
          <w:tcPr>
            <w:tcW w:w="1175"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rPr>
              <w:t>政府性基金预算财政拨款</w:t>
            </w:r>
          </w:p>
        </w:tc>
        <w:tc>
          <w:tcPr>
            <w:tcW w:w="107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243"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587" w:type="dxa"/>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205" w:type="dxa"/>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495"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663" w:type="dxa"/>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2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p>
        </w:tc>
        <w:tc>
          <w:tcPr>
            <w:tcW w:w="1137"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p>
        </w:tc>
        <w:tc>
          <w:tcPr>
            <w:tcW w:w="1175"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p>
        </w:tc>
        <w:tc>
          <w:tcPr>
            <w:tcW w:w="107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224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栏    次</w:t>
            </w:r>
          </w:p>
        </w:tc>
        <w:tc>
          <w:tcPr>
            <w:tcW w:w="587" w:type="dxa"/>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205"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w:t>
            </w: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栏    次</w:t>
            </w:r>
          </w:p>
        </w:tc>
        <w:tc>
          <w:tcPr>
            <w:tcW w:w="663" w:type="dxa"/>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2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w:t>
            </w:r>
          </w:p>
        </w:tc>
        <w:tc>
          <w:tcPr>
            <w:tcW w:w="113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w:t>
            </w:r>
          </w:p>
        </w:tc>
        <w:tc>
          <w:tcPr>
            <w:tcW w:w="1175"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w:t>
            </w:r>
          </w:p>
        </w:tc>
        <w:tc>
          <w:tcPr>
            <w:tcW w:w="107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一、一般公共预算财政拨款</w:t>
            </w: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一、一般公共服务支出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33</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二、政府性基金预算财政拨款</w:t>
            </w: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二、外交支出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34</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三、国有资本经营预算财政拨款</w:t>
            </w: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三、国防支出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35</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四、公共安全支出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36</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9,626.45</w:t>
            </w: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9,626.45</w:t>
            </w: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五、教育支出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37</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6</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六、科学技术支出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38</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7</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七、文化旅游体育与传媒支出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39</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8</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八、社会保障和就业支出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40</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797.47</w:t>
            </w: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797.47</w:t>
            </w: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9</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九、卫生健康支出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41</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614.75</w:t>
            </w: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614.75</w:t>
            </w: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10</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十、节能环保支出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42</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11</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十一、城乡社区支出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43</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auto"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12</w:t>
            </w:r>
          </w:p>
        </w:tc>
        <w:tc>
          <w:tcPr>
            <w:tcW w:w="1205" w:type="dxa"/>
            <w:tcBorders>
              <w:top w:val="nil"/>
              <w:left w:val="nil"/>
              <w:bottom w:val="single" w:color="auto"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十二、农林水支出</w:t>
            </w:r>
          </w:p>
        </w:tc>
        <w:tc>
          <w:tcPr>
            <w:tcW w:w="663"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44</w:t>
            </w:r>
          </w:p>
        </w:tc>
        <w:tc>
          <w:tcPr>
            <w:tcW w:w="1125" w:type="dxa"/>
            <w:gridSpan w:val="2"/>
            <w:tcBorders>
              <w:top w:val="nil"/>
              <w:left w:val="nil"/>
              <w:bottom w:val="single" w:color="auto"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auto"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auto"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auto"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13</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十三、交通运输支出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45</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14</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十四、资源勘探工业信息等支出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46</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15</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十五、商业服务业等支出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47</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16</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十六、金融支出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48</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17</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十七、援助其他地区支出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49</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18</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十八、自然资源海洋气象等支出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50</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19</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十九、住房保障支出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51</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862.91</w:t>
            </w: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862.91</w:t>
            </w: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20</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二十、粮油物资储备支出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52</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21</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二十一、国有资本经营预算支出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53</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22</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二十二、灾害防治及应急管理支出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54</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23</w:t>
            </w:r>
          </w:p>
        </w:tc>
        <w:tc>
          <w:tcPr>
            <w:tcW w:w="120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二十三、其他支出</w:t>
            </w:r>
          </w:p>
        </w:tc>
        <w:tc>
          <w:tcPr>
            <w:tcW w:w="663"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55</w:t>
            </w:r>
          </w:p>
        </w:tc>
        <w:tc>
          <w:tcPr>
            <w:tcW w:w="112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587"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24</w:t>
            </w:r>
          </w:p>
        </w:tc>
        <w:tc>
          <w:tcPr>
            <w:tcW w:w="1205" w:type="dxa"/>
            <w:tcBorders>
              <w:top w:val="single" w:color="auto" w:sz="4" w:space="0"/>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二十四、债务还本支出</w:t>
            </w:r>
          </w:p>
        </w:tc>
        <w:tc>
          <w:tcPr>
            <w:tcW w:w="663"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56</w:t>
            </w:r>
          </w:p>
        </w:tc>
        <w:tc>
          <w:tcPr>
            <w:tcW w:w="1125" w:type="dxa"/>
            <w:gridSpan w:val="2"/>
            <w:tcBorders>
              <w:top w:val="single" w:color="auto" w:sz="4" w:space="0"/>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single" w:color="auto" w:sz="4" w:space="0"/>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single" w:color="auto" w:sz="4" w:space="0"/>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single" w:color="auto" w:sz="4" w:space="0"/>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b/>
                <w:bCs/>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25</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二十五、债务付息支出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57</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26</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二十六、抗疫特别国债安排的支出</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58</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highlight w:val="none"/>
                <w:u w:val="none"/>
              </w:rPr>
            </w:pPr>
            <w:r>
              <w:rPr>
                <w:rFonts w:hint="eastAsia" w:ascii="仿宋_GB2312" w:hAnsi="仿宋_GB2312" w:eastAsia="仿宋_GB2312" w:cs="仿宋_GB2312"/>
                <w:b/>
                <w:bCs/>
                <w:i w:val="0"/>
                <w:iCs w:val="0"/>
                <w:color w:val="000000"/>
                <w:kern w:val="0"/>
                <w:sz w:val="20"/>
                <w:szCs w:val="20"/>
                <w:highlight w:val="none"/>
                <w:u w:val="none"/>
                <w:lang w:val="en-US" w:eastAsia="zh-CN" w:bidi="ar"/>
              </w:rPr>
              <w:t>本年收入合计</w:t>
            </w: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27</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highlight w:val="none"/>
                <w:u w:val="none"/>
              </w:rPr>
            </w:pPr>
            <w:r>
              <w:rPr>
                <w:rFonts w:hint="eastAsia" w:ascii="仿宋_GB2312" w:hAnsi="仿宋_GB2312" w:eastAsia="仿宋_GB2312" w:cs="仿宋_GB2312"/>
                <w:b/>
                <w:bCs/>
                <w:i w:val="0"/>
                <w:iCs w:val="0"/>
                <w:color w:val="000000"/>
                <w:kern w:val="0"/>
                <w:sz w:val="20"/>
                <w:szCs w:val="20"/>
                <w:highlight w:val="none"/>
                <w:u w:val="none"/>
                <w:lang w:val="en-US" w:eastAsia="zh-CN" w:bidi="ar"/>
              </w:rPr>
              <w:t>本年支出合计</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59</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年初财政拨款结转和结余</w:t>
            </w: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28</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年末财政拨款结转和结余</w:t>
            </w: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60</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both"/>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both"/>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一、一般公共预算财政拨款</w:t>
            </w: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29</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61</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二、政府性基金预算财政拨款</w:t>
            </w: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30</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62</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243"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三、国有资本经营预算财政拨款</w:t>
            </w:r>
          </w:p>
        </w:tc>
        <w:tc>
          <w:tcPr>
            <w:tcW w:w="5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31</w:t>
            </w:r>
          </w:p>
        </w:tc>
        <w:tc>
          <w:tcPr>
            <w:tcW w:w="120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95" w:type="dxa"/>
            <w:gridSpan w:val="2"/>
            <w:tcBorders>
              <w:top w:val="nil"/>
              <w:left w:val="nil"/>
              <w:bottom w:val="single" w:color="000000" w:sz="4" w:space="0"/>
              <w:right w:val="single" w:color="000000"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c>
          <w:tcPr>
            <w:tcW w:w="66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63</w:t>
            </w:r>
          </w:p>
        </w:tc>
        <w:tc>
          <w:tcPr>
            <w:tcW w:w="1125"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3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4" w:space="0"/>
              <w:right w:val="single" w:color="000000" w:sz="8"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9" w:hRule="atLeast"/>
        </w:trPr>
        <w:tc>
          <w:tcPr>
            <w:tcW w:w="2243"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highlight w:val="none"/>
                <w:u w:val="none"/>
              </w:rPr>
            </w:pPr>
            <w:r>
              <w:rPr>
                <w:rFonts w:hint="eastAsia" w:ascii="仿宋_GB2312" w:hAnsi="仿宋_GB2312" w:eastAsia="仿宋_GB2312" w:cs="仿宋_GB2312"/>
                <w:b/>
                <w:bCs/>
                <w:i w:val="0"/>
                <w:iCs w:val="0"/>
                <w:color w:val="000000"/>
                <w:kern w:val="0"/>
                <w:sz w:val="20"/>
                <w:szCs w:val="20"/>
                <w:highlight w:val="none"/>
                <w:u w:val="none"/>
                <w:lang w:val="en-US" w:eastAsia="zh-CN" w:bidi="ar"/>
              </w:rPr>
              <w:t>总计</w:t>
            </w:r>
          </w:p>
        </w:tc>
        <w:tc>
          <w:tcPr>
            <w:tcW w:w="587"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32</w:t>
            </w:r>
          </w:p>
        </w:tc>
        <w:tc>
          <w:tcPr>
            <w:tcW w:w="1205" w:type="dxa"/>
            <w:tcBorders>
              <w:top w:val="nil"/>
              <w:left w:val="nil"/>
              <w:bottom w:val="single" w:color="000000" w:sz="8"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2495"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0"/>
                <w:szCs w:val="20"/>
                <w:highlight w:val="none"/>
                <w:u w:val="none"/>
              </w:rPr>
            </w:pPr>
            <w:r>
              <w:rPr>
                <w:rFonts w:hint="eastAsia" w:ascii="仿宋_GB2312" w:hAnsi="仿宋_GB2312" w:eastAsia="仿宋_GB2312" w:cs="仿宋_GB2312"/>
                <w:b/>
                <w:bCs/>
                <w:i w:val="0"/>
                <w:iCs w:val="0"/>
                <w:color w:val="000000"/>
                <w:kern w:val="0"/>
                <w:sz w:val="20"/>
                <w:szCs w:val="20"/>
                <w:highlight w:val="none"/>
                <w:u w:val="none"/>
                <w:lang w:val="en-US" w:eastAsia="zh-CN" w:bidi="ar"/>
              </w:rPr>
              <w:t>总计</w:t>
            </w:r>
          </w:p>
        </w:tc>
        <w:tc>
          <w:tcPr>
            <w:tcW w:w="663"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64</w:t>
            </w:r>
          </w:p>
        </w:tc>
        <w:tc>
          <w:tcPr>
            <w:tcW w:w="1125" w:type="dxa"/>
            <w:gridSpan w:val="2"/>
            <w:tcBorders>
              <w:top w:val="nil"/>
              <w:left w:val="nil"/>
              <w:bottom w:val="single" w:color="000000" w:sz="8"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1137" w:type="dxa"/>
            <w:tcBorders>
              <w:top w:val="nil"/>
              <w:left w:val="nil"/>
              <w:bottom w:val="single" w:color="000000" w:sz="8" w:space="0"/>
              <w:right w:val="single" w:color="000000" w:sz="4" w:space="0"/>
            </w:tcBorders>
            <w:noWrap/>
            <w:vAlign w:val="center"/>
          </w:tcPr>
          <w:p>
            <w:pPr>
              <w:jc w:val="right"/>
              <w:rPr>
                <w:rFonts w:hint="eastAsia" w:ascii="仿宋_GB2312" w:hAnsi="仿宋_GB2312" w:eastAsia="仿宋_GB2312" w:cs="仿宋_GB2312"/>
                <w:sz w:val="20"/>
                <w:szCs w:val="20"/>
                <w:highlight w:val="none"/>
              </w:rPr>
            </w:pPr>
          </w:p>
          <w:p>
            <w:pPr>
              <w:jc w:val="right"/>
              <w:rPr>
                <w:rFonts w:hint="eastAsia" w:ascii="仿宋_GB2312" w:hAnsi="仿宋_GB2312" w:eastAsia="仿宋_GB2312" w:cs="仿宋_GB2312"/>
                <w:sz w:val="20"/>
                <w:szCs w:val="20"/>
                <w:highlight w:val="none"/>
              </w:rPr>
            </w:pPr>
            <w:r>
              <w:rPr>
                <w:rFonts w:hint="eastAsia" w:ascii="仿宋_GB2312" w:hAnsi="仿宋_GB2312" w:eastAsia="仿宋_GB2312" w:cs="仿宋_GB2312"/>
                <w:sz w:val="20"/>
                <w:szCs w:val="20"/>
                <w:highlight w:val="none"/>
              </w:rPr>
              <w:t>11,901.59</w:t>
            </w:r>
          </w:p>
          <w:p>
            <w:pPr>
              <w:jc w:val="right"/>
              <w:rPr>
                <w:rFonts w:hint="eastAsia" w:ascii="仿宋_GB2312" w:hAnsi="仿宋_GB2312" w:eastAsia="仿宋_GB2312" w:cs="仿宋_GB2312"/>
                <w:i w:val="0"/>
                <w:iCs w:val="0"/>
                <w:color w:val="000000"/>
                <w:sz w:val="20"/>
                <w:szCs w:val="20"/>
                <w:highlight w:val="none"/>
                <w:u w:val="none"/>
              </w:rPr>
            </w:pPr>
          </w:p>
        </w:tc>
        <w:tc>
          <w:tcPr>
            <w:tcW w:w="1175" w:type="dxa"/>
            <w:tcBorders>
              <w:top w:val="nil"/>
              <w:left w:val="nil"/>
              <w:bottom w:val="single" w:color="000000" w:sz="8"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79" w:type="dxa"/>
            <w:tcBorders>
              <w:top w:val="nil"/>
              <w:left w:val="nil"/>
              <w:bottom w:val="single" w:color="000000" w:sz="8" w:space="0"/>
              <w:right w:val="single" w:color="000000" w:sz="8"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980" w:type="dxa"/>
        <w:jc w:val="center"/>
        <w:tblInd w:w="-6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22"/>
        <w:gridCol w:w="1525"/>
        <w:gridCol w:w="808"/>
        <w:gridCol w:w="1499"/>
        <w:gridCol w:w="1567"/>
        <w:gridCol w:w="740"/>
        <w:gridCol w:w="2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9980"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9980"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公开05表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3755"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编制部门（单位）：石家庄市公安特警支队</w:t>
            </w:r>
          </w:p>
        </w:tc>
        <w:tc>
          <w:tcPr>
            <w:tcW w:w="3066"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2024年度</w:t>
            </w:r>
          </w:p>
        </w:tc>
        <w:tc>
          <w:tcPr>
            <w:tcW w:w="3159"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9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w:t>
            </w:r>
          </w:p>
        </w:tc>
        <w:tc>
          <w:tcPr>
            <w:tcW w:w="7033"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22"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科目代码</w:t>
            </w:r>
          </w:p>
        </w:tc>
        <w:tc>
          <w:tcPr>
            <w:tcW w:w="152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科目名称</w:t>
            </w:r>
          </w:p>
        </w:tc>
        <w:tc>
          <w:tcPr>
            <w:tcW w:w="230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小计</w:t>
            </w:r>
          </w:p>
        </w:tc>
        <w:tc>
          <w:tcPr>
            <w:tcW w:w="230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基本支出</w:t>
            </w:r>
          </w:p>
        </w:tc>
        <w:tc>
          <w:tcPr>
            <w:tcW w:w="241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22"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52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30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30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41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422"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52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30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30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41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9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栏次</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1</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2</w:t>
            </w:r>
          </w:p>
        </w:tc>
        <w:tc>
          <w:tcPr>
            <w:tcW w:w="2419"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294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合计</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11,901.59</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9,431.41</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sz w:val="20"/>
                <w:szCs w:val="20"/>
                <w:highlight w:val="none"/>
              </w:rPr>
              <w:t>2,470.17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公共安全支出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9,626.45</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7,156.28</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2,470.17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公安</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9,626.45</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7,156.28</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2,470.17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2040201</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行政运行</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7,156.28</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7,156.28</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2040202</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一般行政管理事务</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1,891.90</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1,891.90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2040220</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执法办案</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390.28</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390.28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2040299</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其他公安支出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188.00</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188.00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社会保障和就业支出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797.47</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797.47</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20805</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行政事业单位养老支出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792.00</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792.00</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2080501</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行政单位离退休</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56.89</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56.89</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2080505</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机关事业单位基本养老保险缴费支出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735.11</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735.11</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20899</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其他社会保障和就业支出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5.47</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5.47</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2089999</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其他社会保障和就业支出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5.47</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5.47</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210</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卫生健康支出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614.75</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614.75</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21011</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行政事业单位医疗</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614.75</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614.75</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2101101</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行政单位医疗</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364.34</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364.34</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2101103</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公务员医疗补助</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250.41</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250.41</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221</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住房保障支出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22102</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住房改革支出</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1422"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2210201</w:t>
            </w:r>
          </w:p>
        </w:tc>
        <w:tc>
          <w:tcPr>
            <w:tcW w:w="152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住房公积金</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2307"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sz w:val="20"/>
                <w:szCs w:val="20"/>
                <w:highlight w:val="none"/>
                <w:u w:val="none"/>
                <w:lang w:val="en-US" w:eastAsia="zh-CN"/>
              </w:rPr>
              <w:t>862.91</w:t>
            </w:r>
          </w:p>
        </w:tc>
        <w:tc>
          <w:tcPr>
            <w:tcW w:w="2419"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jc w:val="center"/>
        </w:trPr>
        <w:tc>
          <w:tcPr>
            <w:tcW w:w="9980"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公开06表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5200" w:type="dxa"/>
            <w:gridSpan w:val="5"/>
            <w:tcBorders>
              <w:top w:val="nil"/>
              <w:left w:val="nil"/>
              <w:bottom w:val="single" w:color="auto" w:sz="4" w:space="0"/>
              <w:right w:val="nil"/>
            </w:tcBorders>
            <w:noWrap/>
            <w:vAlign w:val="bottom"/>
          </w:tcPr>
          <w:p>
            <w:pP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部门（单位）：石家庄市公安特警支队                                                                    </w:t>
            </w:r>
          </w:p>
        </w:tc>
        <w:tc>
          <w:tcPr>
            <w:tcW w:w="1963" w:type="dxa"/>
            <w:gridSpan w:val="2"/>
            <w:tcBorders>
              <w:top w:val="nil"/>
              <w:left w:val="nil"/>
              <w:bottom w:val="single" w:color="auto" w:sz="4" w:space="0"/>
              <w:right w:val="nil"/>
            </w:tcBorders>
            <w:noWrap/>
            <w:vAlign w:val="bottom"/>
          </w:tcPr>
          <w:p>
            <w:pPr>
              <w:jc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2024年度</w:t>
            </w:r>
          </w:p>
        </w:tc>
        <w:tc>
          <w:tcPr>
            <w:tcW w:w="4175" w:type="dxa"/>
            <w:gridSpan w:val="4"/>
            <w:tcBorders>
              <w:top w:val="nil"/>
              <w:left w:val="nil"/>
              <w:bottom w:val="single" w:color="auto" w:sz="4" w:space="0"/>
              <w:right w:val="nil"/>
            </w:tcBorders>
            <w:noWrap/>
            <w:vAlign w:val="bottom"/>
          </w:tcPr>
          <w:p>
            <w:pPr>
              <w:jc w:val="right"/>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lang w:val="en-US"/>
              </w:rPr>
            </w:pPr>
            <w:r>
              <w:rPr>
                <w:rFonts w:hint="eastAsia" w:ascii="仿宋_GB2312" w:hAnsi="仿宋_GB2312" w:eastAsia="仿宋_GB2312" w:cs="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lang w:val="en-US" w:eastAsia="zh-CN"/>
              </w:rPr>
            </w:pPr>
            <w:r>
              <w:rPr>
                <w:rFonts w:hint="eastAsia" w:ascii="仿宋_GB2312" w:hAnsi="仿宋_GB2312" w:eastAsia="仿宋_GB2312" w:cs="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lang w:val="en-US" w:eastAsia="zh-CN"/>
              </w:rPr>
            </w:pPr>
            <w:r>
              <w:rPr>
                <w:rFonts w:hint="eastAsia" w:ascii="仿宋_GB2312" w:hAnsi="仿宋_GB2312" w:eastAsia="仿宋_GB2312" w:cs="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lang w:eastAsia="zh-CN"/>
              </w:rPr>
              <w:t>8,344.64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lang w:eastAsia="zh-CN"/>
              </w:rPr>
              <w:t>1,020.23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lang w:eastAsia="zh-CN"/>
              </w:rPr>
              <w:t>2,095.21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r>
              <w:rPr>
                <w:rFonts w:hint="eastAsia" w:ascii="仿宋_GB2312" w:hAnsi="仿宋_GB2312" w:eastAsia="仿宋_GB2312" w:cs="仿宋_GB2312"/>
                <w:sz w:val="18"/>
                <w:szCs w:val="18"/>
                <w:highlight w:val="none"/>
                <w:lang w:eastAsia="zh-CN"/>
              </w:rPr>
              <w:t>45.75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lang w:eastAsia="zh-CN"/>
              </w:rPr>
              <w:t>2,995.03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lang w:eastAsia="zh-CN"/>
              </w:rPr>
              <w:t>230.00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r>
              <w:rPr>
                <w:rFonts w:hint="eastAsia" w:ascii="仿宋_GB2312" w:hAnsi="仿宋_GB2312" w:eastAsia="仿宋_GB2312" w:cs="仿宋_GB2312"/>
                <w:sz w:val="18"/>
                <w:szCs w:val="18"/>
                <w:highlight w:val="none"/>
                <w:lang w:eastAsia="zh-CN"/>
              </w:rPr>
              <w:t>12.67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r>
              <w:rPr>
                <w:rFonts w:hint="eastAsia" w:ascii="仿宋_GB2312" w:hAnsi="仿宋_GB2312" w:eastAsia="仿宋_GB2312" w:cs="仿宋_GB2312"/>
                <w:sz w:val="18"/>
                <w:szCs w:val="18"/>
                <w:highlight w:val="none"/>
                <w:lang w:eastAsia="zh-CN"/>
              </w:rPr>
              <w:t>735.11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r>
              <w:rPr>
                <w:rFonts w:hint="eastAsia" w:ascii="仿宋_GB2312" w:hAnsi="仿宋_GB2312" w:eastAsia="仿宋_GB2312" w:cs="仿宋_GB2312"/>
                <w:sz w:val="18"/>
                <w:szCs w:val="18"/>
                <w:highlight w:val="none"/>
                <w:lang w:eastAsia="zh-CN"/>
              </w:rPr>
              <w:t>36.47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r>
              <w:rPr>
                <w:rFonts w:hint="eastAsia" w:ascii="仿宋_GB2312" w:hAnsi="仿宋_GB2312" w:eastAsia="仿宋_GB2312" w:cs="仿宋_GB2312"/>
                <w:sz w:val="18"/>
                <w:szCs w:val="18"/>
                <w:highlight w:val="none"/>
                <w:lang w:eastAsia="zh-CN"/>
              </w:rPr>
              <w:t>170.23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lang w:eastAsia="zh-CN"/>
              </w:rPr>
            </w:pPr>
            <w:r>
              <w:rPr>
                <w:rFonts w:hint="eastAsia" w:ascii="仿宋_GB2312" w:hAnsi="仿宋_GB2312" w:eastAsia="仿宋_GB2312" w:cs="仿宋_GB2312"/>
                <w:sz w:val="18"/>
                <w:szCs w:val="18"/>
                <w:highlight w:val="none"/>
                <w:lang w:eastAsia="zh-CN"/>
              </w:rPr>
              <w:t>209.12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599.12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97.25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5.09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16.01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73.94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862.91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73.22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635.91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66.55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11.05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58.10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8.45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51.52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32.97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154.23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218.99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3.05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仿宋_GB2312" w:hAnsi="仿宋_GB2312" w:eastAsia="仿宋_GB2312" w:cs="仿宋_GB2312"/>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sz w:val="18"/>
                <w:szCs w:val="18"/>
                <w:highlight w:val="no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sz w:val="18"/>
                <w:szCs w:val="18"/>
                <w:highlight w:val="none"/>
              </w:rPr>
            </w:pPr>
            <w:r>
              <w:rPr>
                <w:rFonts w:hint="eastAsia" w:ascii="仿宋_GB2312" w:hAnsi="仿宋_GB2312" w:eastAsia="仿宋_GB2312" w:cs="仿宋_GB2312"/>
                <w:sz w:val="18"/>
                <w:szCs w:val="18"/>
                <w:highlight w:val="none"/>
              </w:rPr>
              <w:t>8,411.18</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sz w:val="18"/>
                <w:szCs w:val="18"/>
                <w:highlight w:val="none"/>
              </w:rPr>
              <w:t>1,020.23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公开07表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 xml:space="preserve">部门（单位）：石家庄市公安特警支队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2024年度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0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2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2040"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注：本表反映部门本年度政府性基金预算财政拨款收入、支出及结转和结余情况。无相关数据，按要求空表列示。</w:t>
            </w:r>
            <w:r>
              <w:rPr>
                <w:rFonts w:hint="eastAsia" w:ascii="仿宋_GB2312" w:hAnsi="仿宋_GB2312" w:eastAsia="仿宋_GB2312" w:cs="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428" w:type="dxa"/>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428"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428"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公开08表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3724"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部门（单位）：石家庄市公安特警支队</w:t>
            </w:r>
          </w:p>
        </w:tc>
        <w:tc>
          <w:tcPr>
            <w:tcW w:w="2680"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2024年度</w:t>
            </w:r>
          </w:p>
        </w:tc>
        <w:tc>
          <w:tcPr>
            <w:tcW w:w="3024"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kern w:val="0"/>
                <w:sz w:val="20"/>
                <w:szCs w:val="20"/>
                <w:highlight w:val="none"/>
                <w:u w:val="none"/>
                <w:lang w:val="en-US" w:eastAsia="zh-CN" w:bidi="ar"/>
              </w:rPr>
            </w:pPr>
            <w:r>
              <w:rPr>
                <w:rFonts w:hint="eastAsia" w:ascii="仿宋_GB2312" w:hAnsi="仿宋_GB2312" w:eastAsia="仿宋_GB2312" w:cs="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kern w:val="0"/>
                <w:sz w:val="20"/>
                <w:szCs w:val="20"/>
                <w:highlight w:val="none"/>
                <w:u w:val="none"/>
                <w:lang w:val="en-US" w:eastAsia="zh-CN" w:bidi="ar"/>
              </w:rPr>
              <w:t xml:space="preserve"> 项目</w:t>
            </w:r>
          </w:p>
        </w:tc>
        <w:tc>
          <w:tcPr>
            <w:tcW w:w="4408"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5020"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p>
        </w:tc>
        <w:tc>
          <w:tcPr>
            <w:tcW w:w="4408"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基本支出</w:t>
            </w:r>
          </w:p>
        </w:tc>
        <w:tc>
          <w:tcPr>
            <w:tcW w:w="1733" w:type="dxa"/>
            <w:vMerge w:val="restart"/>
            <w:tcBorders>
              <w:top w:val="nil"/>
              <w:left w:val="nil"/>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993"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c>
          <w:tcPr>
            <w:tcW w:w="1733" w:type="dxa"/>
            <w:vMerge w:val="continue"/>
            <w:tcBorders>
              <w:left w:val="nil"/>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2</w:t>
            </w:r>
          </w:p>
        </w:tc>
        <w:tc>
          <w:tcPr>
            <w:tcW w:w="174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020"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20"/>
                <w:szCs w:val="20"/>
                <w:highlight w:val="none"/>
                <w:u w:val="none"/>
                <w:lang w:val="en-US" w:eastAsia="zh-CN"/>
              </w:rPr>
            </w:pPr>
            <w:r>
              <w:rPr>
                <w:rFonts w:hint="eastAsia" w:ascii="仿宋_GB2312" w:hAnsi="仿宋_GB2312" w:eastAsia="仿宋_GB2312" w:cs="仿宋_GB2312"/>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c>
          <w:tcPr>
            <w:tcW w:w="1743"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428"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20"/>
                <w:szCs w:val="20"/>
                <w:highlight w:val="none"/>
                <w:u w:val="none"/>
              </w:rPr>
            </w:pPr>
            <w:r>
              <w:rPr>
                <w:rFonts w:hint="eastAsia" w:ascii="仿宋_GB2312" w:hAnsi="仿宋_GB2312" w:eastAsia="仿宋_GB2312" w:cs="仿宋_GB2312"/>
                <w:i w:val="0"/>
                <w:iCs w:val="0"/>
                <w:color w:val="000000"/>
                <w:kern w:val="0"/>
                <w:sz w:val="20"/>
                <w:szCs w:val="20"/>
                <w:highlight w:val="none"/>
                <w:u w:val="none"/>
                <w:lang w:val="en-US" w:eastAsia="zh-CN" w:bidi="ar"/>
              </w:rPr>
              <w:t>注：本表反映部门本年度国有资本经营预算财政拨款支出情况。</w:t>
            </w:r>
            <w:r>
              <w:rPr>
                <w:rFonts w:hint="eastAsia" w:ascii="仿宋_GB2312" w:hAnsi="仿宋_GB2312" w:eastAsia="仿宋_GB2312" w:cs="仿宋_GB2312"/>
                <w:i w:val="0"/>
                <w:iCs w:val="0"/>
                <w:color w:val="000000"/>
                <w:kern w:val="0"/>
                <w:sz w:val="20"/>
                <w:szCs w:val="20"/>
                <w:highlight w:val="none"/>
                <w:u w:val="none"/>
                <w:lang w:val="en-US" w:eastAsia="zh-CN" w:bidi="ar"/>
              </w:rPr>
              <w:t>无相关数据，按要求空表列示。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962"/>
        <w:gridCol w:w="811"/>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公开09表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部门（单位）：石家庄市公安特警支队</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2024年度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合计</w:t>
            </w:r>
          </w:p>
        </w:tc>
        <w:tc>
          <w:tcPr>
            <w:tcW w:w="962"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因公出国（境）费</w:t>
            </w:r>
          </w:p>
        </w:tc>
        <w:tc>
          <w:tcPr>
            <w:tcW w:w="2784"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962" w:type="dxa"/>
            <w:vMerge w:val="continue"/>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c>
          <w:tcPr>
            <w:tcW w:w="811"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7</w:t>
            </w:r>
          </w:p>
        </w:tc>
        <w:tc>
          <w:tcPr>
            <w:tcW w:w="962"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8</w:t>
            </w:r>
          </w:p>
        </w:tc>
        <w:tc>
          <w:tcPr>
            <w:tcW w:w="811"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sz w:val="18"/>
                <w:szCs w:val="18"/>
                <w:highlight w:val="none"/>
                <w:u w:val="none"/>
              </w:rPr>
              <w:t>272.00</w:t>
            </w:r>
          </w:p>
        </w:tc>
        <w:tc>
          <w:tcPr>
            <w:tcW w:w="1226"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sz w:val="18"/>
                <w:szCs w:val="18"/>
                <w:highlight w:val="none"/>
                <w:u w:val="none"/>
              </w:rPr>
              <w:t>272.00</w:t>
            </w:r>
          </w:p>
        </w:tc>
        <w:tc>
          <w:tcPr>
            <w:tcW w:w="946"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sz w:val="18"/>
                <w:szCs w:val="18"/>
                <w:highlight w:val="none"/>
                <w:u w:val="none"/>
              </w:rPr>
              <w:t>85.08</w:t>
            </w:r>
          </w:p>
        </w:tc>
        <w:tc>
          <w:tcPr>
            <w:tcW w:w="1063"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sz w:val="18"/>
                <w:szCs w:val="18"/>
                <w:highlight w:val="none"/>
                <w:u w:val="none"/>
              </w:rPr>
              <w:t>186.92</w:t>
            </w:r>
          </w:p>
        </w:tc>
        <w:tc>
          <w:tcPr>
            <w:tcW w:w="77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sz w:val="18"/>
                <w:szCs w:val="18"/>
                <w:highlight w:val="none"/>
                <w:u w:val="none"/>
              </w:rPr>
              <w:t>239.31</w:t>
            </w:r>
          </w:p>
        </w:tc>
        <w:tc>
          <w:tcPr>
            <w:tcW w:w="962"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c>
          <w:tcPr>
            <w:tcW w:w="811"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sz w:val="18"/>
                <w:szCs w:val="18"/>
                <w:highlight w:val="none"/>
                <w:u w:val="none"/>
              </w:rPr>
              <w:t>239.31</w:t>
            </w:r>
          </w:p>
        </w:tc>
        <w:tc>
          <w:tcPr>
            <w:tcW w:w="102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sz w:val="18"/>
                <w:szCs w:val="18"/>
                <w:highlight w:val="none"/>
                <w:u w:val="none"/>
              </w:rPr>
              <w:t>85.08</w:t>
            </w:r>
          </w:p>
        </w:tc>
        <w:tc>
          <w:tcPr>
            <w:tcW w:w="946"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sz w:val="18"/>
                <w:szCs w:val="18"/>
                <w:highlight w:val="none"/>
                <w:u w:val="none"/>
              </w:rPr>
              <w:t>154.23</w:t>
            </w:r>
          </w:p>
        </w:tc>
        <w:tc>
          <w:tcPr>
            <w:tcW w:w="1187" w:type="dxa"/>
            <w:tcBorders>
              <w:top w:val="nil"/>
              <w:left w:val="nil"/>
              <w:bottom w:val="single" w:color="000000" w:sz="4" w:space="0"/>
              <w:right w:val="single" w:color="000000" w:sz="4" w:space="0"/>
            </w:tcBorders>
            <w:noWrap/>
            <w:vAlign w:val="center"/>
          </w:tcPr>
          <w:p>
            <w:pPr>
              <w:jc w:val="right"/>
              <w:rPr>
                <w:rFonts w:hint="eastAsia" w:ascii="仿宋_GB2312" w:hAnsi="仿宋_GB2312" w:eastAsia="仿宋_GB2312" w:cs="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sz w:val="18"/>
                <w:szCs w:val="18"/>
                <w:highlight w:val="none"/>
                <w:u w:val="none"/>
              </w:rPr>
            </w:pPr>
            <w:r>
              <w:rPr>
                <w:rFonts w:hint="eastAsia" w:ascii="仿宋_GB2312" w:hAnsi="仿宋_GB2312" w:eastAsia="仿宋_GB2312" w:cs="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_GB2312" w:hAnsi="宋体" w:eastAsia="仿宋_GB2312"/>
          <w:b/>
          <w:color w:val="auto"/>
          <w:kern w:val="0"/>
          <w:sz w:val="32"/>
          <w:szCs w:val="32"/>
          <w:highlight w:val="none"/>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pPr>
        <w:widowControl/>
        <w:spacing w:before="0" w:beforeLines="0" w:beforeAutospacing="0" w:after="0" w:afterLines="0" w:afterAutospacing="0" w:line="360" w:lineRule="auto"/>
        <w:jc w:val="both"/>
        <w:outlineLvl w:val="1"/>
        <w:rPr>
          <w:rFonts w:ascii="Times New Roman" w:eastAsia="黑体"/>
          <w:sz w:val="32"/>
          <w:szCs w:val="32"/>
        </w:rPr>
      </w:pPr>
      <w:r>
        <w:rPr>
          <w:rFonts w:ascii="Times New Roman" w:eastAsia="黑体"/>
          <w:b w:val="0"/>
          <w:sz w:val="32"/>
          <w:szCs w:val="32"/>
        </w:rPr>
        <w:t>一、收入支出决算总体情况说明</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本单位2024年度收、支总计（含结转和结余）均为11,901.59万元。与2023年度决算相比，收支各增加2,760.26万元，增长30.2%，主要原因是单位在职人员增多，人员经费增加。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both"/>
        <w:outlineLvl w:val="1"/>
        <w:rPr>
          <w:rFonts w:ascii="Times New Roman" w:eastAsia="黑体"/>
          <w:sz w:val="32"/>
          <w:szCs w:val="32"/>
        </w:rPr>
      </w:pPr>
      <w:r>
        <w:rPr>
          <w:rFonts w:ascii="Times New Roman" w:eastAsia="黑体"/>
          <w:b w:val="0"/>
          <w:sz w:val="32"/>
          <w:szCs w:val="32"/>
        </w:rPr>
        <w:t>二、收入决算情况说明</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本年收入合计11,901.59万元，其中：财政拨款收入11,901.59万元，占100.0%；上级补助收入0.00万元，占0.0%；事业收入0.00万元，占0.0%；经营收入0.00万元，占0.0%；附属单位上缴收入0.00万元，占0.0%；其他收入0.00万元，占0.0%。</w:t>
      </w:r>
    </w:p>
    <w:p>
      <w:pPr>
        <w:adjustRightInd w:val="0"/>
        <w:snapToGrid w:val="0"/>
        <w:spacing w:line="580" w:lineRule="exact"/>
        <w:jc w:val="center"/>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widowControl/>
        <w:spacing w:before="0" w:beforeLines="0" w:beforeAutospacing="0" w:after="0" w:afterLines="0" w:afterAutospacing="0" w:line="360" w:lineRule="auto"/>
        <w:jc w:val="both"/>
        <w:outlineLvl w:val="1"/>
        <w:rPr>
          <w:rFonts w:ascii="Times New Roman" w:eastAsia="黑体"/>
          <w:sz w:val="32"/>
          <w:szCs w:val="32"/>
        </w:rPr>
      </w:pPr>
      <w:r>
        <w:rPr>
          <w:rFonts w:ascii="Times New Roman" w:eastAsia="黑体"/>
          <w:b w:val="0"/>
          <w:sz w:val="32"/>
          <w:szCs w:val="32"/>
        </w:rPr>
        <w:t>三、支出决算情况说明</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本单位2024年度本年支出合计11,901.59万元，其中：基本支出9,431.41万元，占79.2%；项目支出2,470.17万元，占20.8%；上缴上级支出0.00万元，占0.0%；经营支出0.00万元，占0.0%；对附属单位补助支出0.00万元，占0.0%。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widowControl/>
        <w:spacing w:before="0" w:beforeLines="0" w:beforeAutospacing="0" w:after="0" w:afterLines="0" w:afterAutospacing="0" w:line="360" w:lineRule="auto"/>
        <w:ind w:firstLine="640" w:firstLineChars="200"/>
        <w:jc w:val="both"/>
        <w:outlineLvl w:val="1"/>
        <w:rPr>
          <w:rFonts w:ascii="Times New Roman" w:eastAsia="黑体"/>
          <w:sz w:val="32"/>
          <w:szCs w:val="32"/>
        </w:rPr>
      </w:pPr>
      <w:r>
        <w:rPr>
          <w:rFonts w:ascii="Times New Roman" w:eastAsia="黑体"/>
          <w:b w:val="0"/>
          <w:sz w:val="32"/>
          <w:szCs w:val="32"/>
        </w:rPr>
        <w:t>四、财政拨款收入支出决算总体情况说明</w:t>
      </w:r>
    </w:p>
    <w:p>
      <w:pPr>
        <w:widowControl/>
        <w:spacing w:before="0" w:beforeLines="0" w:beforeAutospacing="0" w:after="0" w:afterLines="0" w:afterAutospacing="0" w:line="360" w:lineRule="auto"/>
        <w:ind w:firstLine="643" w:firstLineChars="200"/>
        <w:jc w:val="both"/>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本单位2024年度财政拨款收、支总计（含结转和结余）均为11,901.59万元。与2023年度相比，财政拨款收支各增加2,760.26万元，增长30.2%，主要原因是单位在职人员增多，人员经费增加。</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本单位2024年度财政拨款本年收入11,901.59万元</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全部为</w:t>
      </w:r>
      <w:r>
        <w:rPr>
          <w:rFonts w:ascii="Times New Roman" w:eastAsia="仿宋_GB2312"/>
          <w:b w:val="0"/>
          <w:sz w:val="32"/>
          <w:szCs w:val="32"/>
        </w:rPr>
        <w:t>一般公共预算财政拨款</w:t>
      </w:r>
      <w:r>
        <w:rPr>
          <w:rFonts w:hint="eastAsia" w:ascii="Times New Roman" w:eastAsia="仿宋_GB2312"/>
          <w:b w:val="0"/>
          <w:sz w:val="32"/>
          <w:szCs w:val="32"/>
          <w:lang w:val="en-US" w:eastAsia="zh-CN"/>
        </w:rPr>
        <w:t>收入，</w:t>
      </w:r>
      <w:r>
        <w:rPr>
          <w:rFonts w:ascii="Times New Roman" w:eastAsia="仿宋_GB2312"/>
          <w:b w:val="0"/>
          <w:sz w:val="32"/>
          <w:szCs w:val="32"/>
        </w:rPr>
        <w:t>比上年增加2,862.03万元，增长31.7%，主要原因是单位在职人员增多，人员经费增加；本年支出11,901.59万元，比上年增加2,760.26万元，增长30.2%，主要原因是单位在职人员增多，人员经费增加。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widowControl/>
        <w:spacing w:before="0" w:beforeLines="0" w:beforeAutospacing="0" w:after="0" w:afterLines="0" w:afterAutospacing="0" w:line="360" w:lineRule="auto"/>
        <w:ind w:firstLine="643" w:firstLineChars="200"/>
        <w:jc w:val="both"/>
        <w:rPr>
          <w:rFonts w:ascii="Times New Roman" w:eastAsia="楷体_GB2312"/>
          <w:sz w:val="32"/>
          <w:szCs w:val="32"/>
        </w:rPr>
      </w:pPr>
      <w:r>
        <w:rPr>
          <w:rFonts w:ascii="Times New Roman" w:eastAsia="楷体_GB2312"/>
          <w:b/>
          <w:sz w:val="32"/>
          <w:szCs w:val="32"/>
        </w:rPr>
        <w:t>（二）财政拨款收支与年初预算数对比情况</w:t>
      </w:r>
    </w:p>
    <w:p>
      <w:pPr>
        <w:widowControl/>
        <w:spacing w:before="0" w:beforeLines="0" w:beforeAutospacing="0" w:after="0" w:afterLines="0" w:afterAutospacing="0" w:line="360" w:lineRule="auto"/>
        <w:ind w:firstLine="640" w:firstLineChars="200"/>
        <w:jc w:val="both"/>
        <w:rPr>
          <w:rFonts w:hint="default" w:ascii="Times New Roman" w:hAnsi="Times New Roman" w:eastAsia="Arial" w:cs="Times New Roman"/>
          <w:highlight w:val="none"/>
        </w:rPr>
      </w:pPr>
      <w:r>
        <w:rPr>
          <w:rFonts w:ascii="Times New Roman" w:eastAsia="仿宋_GB2312"/>
          <w:b w:val="0"/>
          <w:sz w:val="32"/>
          <w:szCs w:val="32"/>
        </w:rPr>
        <w:t>本单位2024年度财政拨款本年收入11,901.59万元，</w:t>
      </w:r>
      <w:r>
        <w:rPr>
          <w:rFonts w:hint="eastAsia" w:ascii="Times New Roman" w:eastAsia="仿宋_GB2312"/>
          <w:b w:val="0"/>
          <w:sz w:val="32"/>
          <w:szCs w:val="32"/>
          <w:lang w:val="en-US" w:eastAsia="zh-CN"/>
        </w:rPr>
        <w:t>全部为</w:t>
      </w:r>
      <w:r>
        <w:rPr>
          <w:rFonts w:ascii="Times New Roman" w:eastAsia="仿宋_GB2312"/>
          <w:b w:val="0"/>
          <w:sz w:val="32"/>
          <w:szCs w:val="32"/>
        </w:rPr>
        <w:t>一般公共预算财政拨款</w:t>
      </w:r>
      <w:r>
        <w:rPr>
          <w:rFonts w:hint="eastAsia" w:ascii="Times New Roman" w:eastAsia="仿宋_GB2312"/>
          <w:b w:val="0"/>
          <w:sz w:val="32"/>
          <w:szCs w:val="32"/>
          <w:lang w:val="en-US" w:eastAsia="zh-CN"/>
        </w:rPr>
        <w:t>收入，</w:t>
      </w:r>
      <w:r>
        <w:rPr>
          <w:rFonts w:ascii="Times New Roman" w:eastAsia="仿宋_GB2312"/>
          <w:b w:val="0"/>
          <w:sz w:val="32"/>
          <w:szCs w:val="32"/>
        </w:rPr>
        <w:t>完成年初预算的119.5%，比年初预算增加1,940.14万元，决算数大于预算数主要原因是人员经费支出增加；本年支出11,901.59万元，完成年初预算的119.5%，比年初预算增加1,940.14万元，决算数大于预算数主要原因是人员经费支出增加。</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3" w:firstLineChars="200"/>
        <w:jc w:val="both"/>
        <w:rPr>
          <w:rFonts w:ascii="Times New Roman" w:eastAsia="楷体_GB2312"/>
          <w:sz w:val="32"/>
          <w:szCs w:val="32"/>
        </w:rPr>
      </w:pPr>
      <w:r>
        <w:rPr>
          <w:rFonts w:ascii="Times New Roman" w:eastAsia="楷体_GB2312"/>
          <w:b/>
          <w:sz w:val="32"/>
          <w:szCs w:val="32"/>
        </w:rPr>
        <w:t>（三）财政拨款支出决算结构情况</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2024年度财政拨款支出11,901.59万元，</w:t>
      </w:r>
      <w:r>
        <w:rPr>
          <w:rFonts w:hint="eastAsia" w:ascii="Times New Roman" w:eastAsia="仿宋_GB2312"/>
          <w:b w:val="0"/>
          <w:sz w:val="32"/>
          <w:szCs w:val="32"/>
          <w:lang w:val="en-US" w:eastAsia="zh-CN"/>
        </w:rPr>
        <w:t>全部为</w:t>
      </w:r>
      <w:r>
        <w:rPr>
          <w:rFonts w:ascii="Times New Roman" w:eastAsia="仿宋_GB2312"/>
          <w:b w:val="0"/>
          <w:sz w:val="32"/>
          <w:szCs w:val="32"/>
        </w:rPr>
        <w:t>一般公共预算财政拨款</w:t>
      </w:r>
      <w:r>
        <w:rPr>
          <w:rFonts w:hint="eastAsia" w:ascii="Times New Roman" w:eastAsia="仿宋_GB2312"/>
          <w:b w:val="0"/>
          <w:sz w:val="32"/>
          <w:szCs w:val="32"/>
          <w:lang w:val="en-US" w:eastAsia="zh-CN"/>
        </w:rPr>
        <w:t>支出，</w:t>
      </w:r>
      <w:r>
        <w:rPr>
          <w:rFonts w:ascii="Times New Roman" w:eastAsia="仿宋_GB2312"/>
          <w:b w:val="0"/>
          <w:sz w:val="32"/>
          <w:szCs w:val="32"/>
        </w:rPr>
        <w:t>主要用于以下方面：</w:t>
      </w:r>
    </w:p>
    <w:p>
      <w:pPr>
        <w:widowControl/>
        <w:spacing w:before="0" w:beforeLines="0" w:beforeAutospacing="0" w:after="0" w:afterLines="0" w:afterAutospacing="0" w:line="360" w:lineRule="auto"/>
        <w:ind w:firstLine="640" w:firstLineChars="200"/>
        <w:jc w:val="both"/>
        <w:rPr>
          <w:rFonts w:hint="eastAsia" w:ascii="Times New Roman" w:eastAsia="仿宋_GB2312"/>
          <w:b w:val="0"/>
          <w:sz w:val="32"/>
          <w:szCs w:val="32"/>
          <w:lang w:eastAsia="zh-CN"/>
        </w:rPr>
      </w:pPr>
      <w:r>
        <w:rPr>
          <w:rFonts w:ascii="Times New Roman" w:eastAsia="仿宋_GB2312"/>
          <w:b w:val="0"/>
          <w:sz w:val="32"/>
          <w:szCs w:val="32"/>
        </w:rPr>
        <w:t>公共安全类（类）支出9,626.45万元，占80.9%，主要用于人员经费及日常公用等支出；社会保障和就业（类）支出797.47万元，占6.7%，主要用于行政事业单位养老等支出；卫生健康（类）支出614.75万元，占5.2%，主要用于突发公共卫生事件应急处理及行政事业单位医疗等支出；住房保障（类）支出862.91万元，占7.3%，主要用于住房公积金支出等支出</w:t>
      </w:r>
      <w:r>
        <w:rPr>
          <w:rFonts w:hint="eastAsia" w:ascii="Times New Roman" w:eastAsia="仿宋_GB2312"/>
          <w:b w:val="0"/>
          <w:sz w:val="32"/>
          <w:szCs w:val="32"/>
          <w:lang w:eastAsia="zh-CN"/>
        </w:rPr>
        <w:t>。</w:t>
      </w:r>
    </w:p>
    <w:p>
      <w:pPr>
        <w:widowControl/>
        <w:spacing w:before="0" w:beforeLines="0" w:beforeAutospacing="0" w:after="0" w:afterLines="0" w:afterAutospacing="0" w:line="360" w:lineRule="auto"/>
        <w:ind w:firstLine="480" w:firstLineChars="200"/>
        <w:jc w:val="center"/>
        <w:rPr>
          <w:rFonts w:ascii="Times New Roman" w:eastAsia="仿宋_GB2312"/>
          <w:b w:val="0"/>
          <w:sz w:val="32"/>
          <w:szCs w:val="32"/>
        </w:rPr>
      </w:pPr>
      <w:r>
        <w:drawing>
          <wp:inline distT="0" distB="0" distL="114300" distR="114300">
            <wp:extent cx="5356860" cy="3091180"/>
            <wp:effectExtent l="4445" t="4445" r="10795" b="952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both"/>
        <w:rPr>
          <w:rFonts w:ascii="Times New Roman" w:eastAsia="楷体_GB2312"/>
          <w:sz w:val="32"/>
          <w:szCs w:val="32"/>
        </w:rPr>
      </w:pPr>
      <w:r>
        <w:rPr>
          <w:rFonts w:ascii="Times New Roman" w:eastAsia="楷体_GB2312"/>
          <w:b/>
          <w:sz w:val="32"/>
          <w:szCs w:val="32"/>
        </w:rPr>
        <w:t>（四）一般公共预算基本支出决算情况说明</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2024年度财政拨款基本支出9,431.41万元，其中：</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人员经费</w:t>
      </w:r>
      <w:r>
        <w:rPr>
          <w:rFonts w:hint="eastAsia" w:ascii="Times New Roman" w:eastAsia="仿宋_GB2312"/>
          <w:b w:val="0"/>
          <w:sz w:val="32"/>
          <w:szCs w:val="32"/>
        </w:rPr>
        <w:t>8,411.18</w:t>
      </w:r>
      <w:r>
        <w:rPr>
          <w:rFonts w:ascii="Times New Roman" w:eastAsia="仿宋_GB2312"/>
          <w:b w:val="0"/>
          <w:sz w:val="32"/>
          <w:szCs w:val="32"/>
        </w:rPr>
        <w:t>万元，主要包括</w:t>
      </w:r>
      <w:r>
        <w:rPr>
          <w:rFonts w:hint="eastAsia" w:ascii="Times New Roman" w:eastAsia="仿宋_GB2312"/>
          <w:b w:val="0"/>
          <w:sz w:val="32"/>
          <w:szCs w:val="32"/>
          <w:lang w:val="en-US" w:eastAsia="zh-CN"/>
        </w:rPr>
        <w:t>基本工资、津贴补贴、奖金、伙食补助费、机关事业单位基本、养老保险缴费、职业年金缴费、职工基本医疗保险缴费、公务员医疗补助缴费、其他社会保障缴费、住房公积金、其他工资福利支出、退休费、生活补助。</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公用经费</w:t>
      </w:r>
      <w:r>
        <w:rPr>
          <w:rFonts w:hint="eastAsia" w:ascii="Times New Roman" w:eastAsia="仿宋_GB2312"/>
          <w:b w:val="0"/>
          <w:sz w:val="32"/>
          <w:szCs w:val="32"/>
        </w:rPr>
        <w:t>1,020.23</w:t>
      </w:r>
      <w:r>
        <w:rPr>
          <w:rFonts w:ascii="Times New Roman" w:eastAsia="仿宋_GB2312"/>
          <w:b w:val="0"/>
          <w:sz w:val="32"/>
          <w:szCs w:val="32"/>
        </w:rPr>
        <w:t>万元，主要包括</w:t>
      </w:r>
      <w:r>
        <w:rPr>
          <w:rFonts w:hint="eastAsia" w:ascii="Times New Roman" w:eastAsia="仿宋_GB2312"/>
          <w:b w:val="0"/>
          <w:sz w:val="32"/>
          <w:szCs w:val="32"/>
          <w:lang w:val="en-US" w:eastAsia="zh-CN"/>
        </w:rPr>
        <w:t>办公费、水费、电费、邮电费、取暖费、差旅费、维修（护）费、 培训费、工会经费、福利费、公务用车运行维护费、其他交通费用、其他商品和服务支出。</w:t>
      </w:r>
    </w:p>
    <w:p>
      <w:pPr>
        <w:widowControl/>
        <w:spacing w:before="0" w:beforeLines="0" w:beforeAutospacing="0" w:after="0" w:afterLines="0" w:afterAutospacing="0" w:line="360" w:lineRule="auto"/>
        <w:ind w:firstLine="640" w:firstLineChars="200"/>
        <w:jc w:val="both"/>
        <w:outlineLvl w:val="1"/>
        <w:rPr>
          <w:rFonts w:ascii="Times New Roman" w:eastAsia="黑体"/>
          <w:sz w:val="32"/>
          <w:szCs w:val="32"/>
        </w:rPr>
      </w:pPr>
      <w:r>
        <w:rPr>
          <w:rFonts w:ascii="Times New Roman" w:eastAsia="黑体"/>
          <w:b w:val="0"/>
          <w:sz w:val="32"/>
          <w:szCs w:val="32"/>
        </w:rPr>
        <w:t>五、财政拨款“三公”经费支出决算情况说明</w:t>
      </w:r>
    </w:p>
    <w:p>
      <w:pPr>
        <w:widowControl/>
        <w:spacing w:before="0" w:beforeLines="0" w:beforeAutospacing="0" w:after="0" w:afterLines="0" w:afterAutospacing="0" w:line="360" w:lineRule="auto"/>
        <w:ind w:firstLine="643" w:firstLineChars="200"/>
        <w:jc w:val="both"/>
        <w:rPr>
          <w:rFonts w:ascii="Times New Roman" w:eastAsia="楷体_GB2312"/>
          <w:sz w:val="32"/>
          <w:szCs w:val="32"/>
        </w:rPr>
      </w:pPr>
      <w:r>
        <w:rPr>
          <w:rFonts w:ascii="Times New Roman" w:eastAsia="楷体_GB2312"/>
          <w:b/>
          <w:sz w:val="32"/>
          <w:szCs w:val="32"/>
        </w:rPr>
        <w:t>（一）“三公”经费财政拨款支出决算总体情况说明</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三公”经费财政拨款支出预算为272.00万元，支出决算为239.31万元，完成预算的88.0%，较预算减少32.69万元，降低12.0%，主要原因是严格执行“过紧日子”政策，厉行节俭，反对浪费，减少公务用车运行维护费支出；较2023年度决算增加73.42万元，增长44.3%，主要原因是公务用车运行维护费支出增加。</w:t>
      </w:r>
    </w:p>
    <w:p>
      <w:pPr>
        <w:widowControl/>
        <w:spacing w:before="0" w:beforeLines="0" w:beforeAutospacing="0" w:after="0" w:afterLines="0" w:afterAutospacing="0" w:line="360" w:lineRule="auto"/>
        <w:ind w:firstLine="643" w:firstLineChars="200"/>
        <w:jc w:val="both"/>
        <w:rPr>
          <w:rFonts w:ascii="Times New Roman" w:eastAsia="楷体_GB2312"/>
          <w:sz w:val="32"/>
          <w:szCs w:val="32"/>
        </w:rPr>
      </w:pPr>
      <w:r>
        <w:rPr>
          <w:rFonts w:ascii="Times New Roman" w:eastAsia="楷体_GB2312"/>
          <w:b/>
          <w:sz w:val="32"/>
          <w:szCs w:val="32"/>
        </w:rPr>
        <w:t>（二）“三公”经费财政拨款支出决算具体情况说明</w:t>
      </w:r>
    </w:p>
    <w:p>
      <w:pPr>
        <w:widowControl/>
        <w:spacing w:before="0" w:beforeLines="0" w:beforeAutospacing="0" w:after="0" w:afterLines="0" w:afterAutospacing="0" w:line="360" w:lineRule="auto"/>
        <w:ind w:firstLine="643" w:firstLineChars="200"/>
        <w:jc w:val="both"/>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val="en-US" w:eastAsia="zh-CN"/>
        </w:rPr>
        <w:t>未发生此类支出</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未发生此类支出</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人/无本部门组织的出国（境）团组。</w:t>
      </w:r>
    </w:p>
    <w:p>
      <w:pPr>
        <w:widowControl/>
        <w:spacing w:before="0" w:beforeLines="0" w:beforeAutospacing="0" w:after="0" w:afterLines="0" w:afterAutospacing="0" w:line="360" w:lineRule="auto"/>
        <w:ind w:firstLine="643" w:firstLineChars="200"/>
        <w:jc w:val="both"/>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272.00万元，支出决算239.31万元，完成预算的88.0%,较预算减少32.69万元，降低12.0%,主要原因是严格落实“过紧日子”政策，厉行节俭，减少公务用车运行维护费支出；较上年增加73.42万元，增长44.3%,主要原因是公务用车运行维护费支出增加。其中：</w:t>
      </w:r>
    </w:p>
    <w:p>
      <w:pPr>
        <w:widowControl/>
        <w:spacing w:before="0" w:beforeLines="0" w:beforeAutospacing="0" w:after="0" w:afterLines="0" w:afterAutospacing="0" w:line="360" w:lineRule="auto"/>
        <w:ind w:firstLine="643" w:firstLineChars="200"/>
        <w:jc w:val="both"/>
        <w:rPr>
          <w:rFonts w:ascii="Times New Roman" w:eastAsia="仿宋_GB2312"/>
          <w:sz w:val="32"/>
          <w:szCs w:val="32"/>
        </w:rPr>
      </w:pPr>
      <w:r>
        <w:rPr>
          <w:rFonts w:ascii="Times New Roman" w:eastAsia="仿宋_GB2312"/>
          <w:b/>
          <w:sz w:val="32"/>
          <w:szCs w:val="32"/>
        </w:rPr>
        <w:t>公务用车购置费支出85.08万元：</w:t>
      </w:r>
      <w:r>
        <w:rPr>
          <w:rFonts w:ascii="Times New Roman" w:eastAsia="仿宋_GB2312"/>
          <w:b w:val="0"/>
          <w:sz w:val="32"/>
          <w:szCs w:val="32"/>
        </w:rPr>
        <w:t>本单位2024年度公务用车购置量10辆，发生“公务用车购置”经费支出85.08万元。公务用车购置费支出较预算增加0.00万元，增长0.0%,主要原因是公务用车购置严格按照预算批复数执行；较上年增加58.58万元，增长221.1%,主要原因是2024年与2023年购置的车辆不同，并严格按照预算批复数执行。</w:t>
      </w:r>
    </w:p>
    <w:p>
      <w:pPr>
        <w:widowControl/>
        <w:spacing w:before="0" w:beforeLines="0" w:beforeAutospacing="0" w:after="0" w:afterLines="0" w:afterAutospacing="0" w:line="360" w:lineRule="auto"/>
        <w:ind w:firstLine="643" w:firstLineChars="200"/>
        <w:jc w:val="both"/>
        <w:rPr>
          <w:rFonts w:ascii="Times New Roman" w:eastAsia="仿宋_GB2312"/>
          <w:sz w:val="32"/>
          <w:szCs w:val="32"/>
        </w:rPr>
      </w:pPr>
      <w:r>
        <w:rPr>
          <w:rFonts w:ascii="Times New Roman" w:eastAsia="仿宋_GB2312"/>
          <w:b/>
          <w:sz w:val="32"/>
          <w:szCs w:val="32"/>
        </w:rPr>
        <w:t>公务用车运行维护费支出154.23万元：</w:t>
      </w:r>
      <w:r>
        <w:rPr>
          <w:rFonts w:ascii="Times New Roman" w:eastAsia="仿宋_GB2312"/>
          <w:b w:val="0"/>
          <w:sz w:val="32"/>
          <w:szCs w:val="32"/>
        </w:rPr>
        <w:t>本单位2024年度单位公务用车保有量87辆，发生运行维护费支出154.23万元。公车运行维护费支出较预算减少32.69万元，降低17.5%,主要原因是严格落实“过紧日子”政策，厉行节俭，减少公务用车运行维护费支出；较上年增加14.84万元，增长10.6%，主要原因是单位车辆使用年限较长，经常出现各种故障。</w:t>
      </w:r>
    </w:p>
    <w:p>
      <w:pPr>
        <w:widowControl/>
        <w:spacing w:before="0" w:beforeLines="0" w:beforeAutospacing="0" w:after="0" w:afterLines="0" w:afterAutospacing="0" w:line="360" w:lineRule="auto"/>
        <w:ind w:firstLine="643" w:firstLineChars="200"/>
        <w:jc w:val="both"/>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本单位2024年度公务接待费支出预算为0.00万元，支出决算0.00万元，完成预算的0.0%。公务接待费支出较预算增加0.00万元，增长0.0%,主要原因是</w:t>
      </w:r>
      <w:r>
        <w:rPr>
          <w:rFonts w:hint="eastAsia" w:ascii="Times New Roman" w:eastAsia="仿宋_GB2312"/>
          <w:b w:val="0"/>
          <w:sz w:val="32"/>
          <w:szCs w:val="32"/>
          <w:lang w:val="en-US" w:eastAsia="zh-CN"/>
        </w:rPr>
        <w:t>未发生此类支出</w:t>
      </w:r>
      <w:r>
        <w:rPr>
          <w:rFonts w:ascii="Times New Roman" w:eastAsia="仿宋_GB2312"/>
          <w:b w:val="0"/>
          <w:sz w:val="32"/>
          <w:szCs w:val="32"/>
        </w:rPr>
        <w:t>；较上年度增加0.00万元，增长0.00%,主要原因是</w:t>
      </w:r>
      <w:r>
        <w:rPr>
          <w:rFonts w:hint="eastAsia" w:ascii="Times New Roman" w:eastAsia="仿宋_GB2312"/>
          <w:b w:val="0"/>
          <w:sz w:val="32"/>
          <w:szCs w:val="32"/>
          <w:lang w:val="en-US" w:eastAsia="zh-CN"/>
        </w:rPr>
        <w:t>未发生此类支出</w:t>
      </w:r>
      <w:r>
        <w:rPr>
          <w:rFonts w:ascii="Times New Roman" w:eastAsia="仿宋_GB2312"/>
          <w:b w:val="0"/>
          <w:sz w:val="32"/>
          <w:szCs w:val="32"/>
        </w:rPr>
        <w:t>。本年度共发生公务接待0批次、0人次。</w:t>
      </w:r>
    </w:p>
    <w:p>
      <w:pPr>
        <w:widowControl/>
        <w:spacing w:before="0" w:beforeLines="0" w:beforeAutospacing="0" w:after="0" w:afterLines="0" w:afterAutospacing="0" w:line="360" w:lineRule="auto"/>
        <w:ind w:firstLine="640" w:firstLineChars="200"/>
        <w:jc w:val="both"/>
        <w:outlineLvl w:val="1"/>
        <w:rPr>
          <w:rFonts w:ascii="Times New Roman" w:eastAsia="黑体"/>
          <w:sz w:val="32"/>
          <w:szCs w:val="32"/>
        </w:rPr>
      </w:pPr>
      <w:r>
        <w:rPr>
          <w:rFonts w:ascii="Times New Roman" w:eastAsia="黑体"/>
          <w:b w:val="0"/>
          <w:sz w:val="32"/>
          <w:szCs w:val="32"/>
        </w:rPr>
        <w:t>六、机关运行经费支出说明</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本单位2024年度机关运行经费支出1,020.23万元，较2023年度增加199.61万元，增长24.3%。主要原因是单位在职人员增加，公用经费支出增加。</w:t>
      </w:r>
    </w:p>
    <w:p>
      <w:pPr>
        <w:widowControl/>
        <w:spacing w:before="0" w:beforeLines="0" w:beforeAutospacing="0" w:after="0" w:afterLines="0" w:afterAutospacing="0" w:line="360" w:lineRule="auto"/>
        <w:ind w:firstLine="640" w:firstLineChars="200"/>
        <w:jc w:val="both"/>
        <w:outlineLvl w:val="1"/>
        <w:rPr>
          <w:rFonts w:ascii="Times New Roman" w:eastAsia="黑体"/>
          <w:sz w:val="32"/>
          <w:szCs w:val="32"/>
        </w:rPr>
      </w:pPr>
      <w:r>
        <w:rPr>
          <w:rFonts w:ascii="Times New Roman" w:eastAsia="黑体"/>
          <w:b w:val="0"/>
          <w:sz w:val="32"/>
          <w:szCs w:val="32"/>
        </w:rPr>
        <w:t>七、政府采购支出说明</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2024年度政府采购支出总额753.90万元，从采购类型来看，政府采购货物支出476.36万元、政府采购工程支出137.49万元、政府采购服务支出140.05万元。授予中小企业合同金额687.04万元，占政府采购支出总额的91.1%，其中授予小微企业合同金额687.04万元，占政府采购支出总额的91.1%。</w:t>
      </w:r>
    </w:p>
    <w:p>
      <w:pPr>
        <w:widowControl/>
        <w:spacing w:before="0" w:beforeLines="0" w:beforeAutospacing="0" w:after="0" w:afterLines="0" w:afterAutospacing="0" w:line="360" w:lineRule="auto"/>
        <w:ind w:firstLine="640" w:firstLineChars="200"/>
        <w:jc w:val="both"/>
        <w:outlineLvl w:val="1"/>
        <w:rPr>
          <w:rFonts w:ascii="Times New Roman" w:eastAsia="黑体"/>
          <w:sz w:val="32"/>
          <w:szCs w:val="32"/>
        </w:rPr>
      </w:pPr>
      <w:r>
        <w:rPr>
          <w:rFonts w:ascii="Times New Roman" w:eastAsia="黑体"/>
          <w:b w:val="0"/>
          <w:sz w:val="32"/>
          <w:szCs w:val="32"/>
        </w:rPr>
        <w:t>八、国有资产占用情况说明</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截至2024年12月31日，本单位共有车辆87辆，比上年增加10辆，主要是购置了10辆车。其中，副部（省）级及以上领导用车0辆，主要负责人用车0辆，机要通信用车1辆，应急保障用车0辆，执法执勤用车31辆，特种专业技术用车24辆，离退休干部用车0辆，其他用车31辆，其他用车主要是2辆属于后勤保障用车，其他是原单位分为巡警支队和特警支队后，历史遗留问题，属于不在编车辆。单位价值100万元（含）以上设备（不含车辆）0台（套）。</w:t>
      </w:r>
    </w:p>
    <w:p>
      <w:pPr>
        <w:widowControl/>
        <w:spacing w:before="0" w:beforeLines="0" w:beforeAutospacing="0" w:after="0" w:afterLines="0" w:afterAutospacing="0" w:line="360" w:lineRule="auto"/>
        <w:ind w:firstLine="640" w:firstLineChars="200"/>
        <w:jc w:val="both"/>
        <w:outlineLvl w:val="1"/>
        <w:rPr>
          <w:rFonts w:ascii="Times New Roman" w:eastAsia="黑体"/>
          <w:sz w:val="32"/>
          <w:szCs w:val="32"/>
        </w:rPr>
      </w:pPr>
      <w:r>
        <w:rPr>
          <w:rFonts w:ascii="Times New Roman" w:eastAsia="黑体"/>
          <w:b w:val="0"/>
          <w:sz w:val="32"/>
          <w:szCs w:val="32"/>
        </w:rPr>
        <w:t>九、关于2024年度绩效评价情况的说明</w:t>
      </w:r>
    </w:p>
    <w:p>
      <w:pPr>
        <w:widowControl/>
        <w:spacing w:before="0" w:beforeLines="0" w:beforeAutospacing="0" w:after="0" w:afterLines="0" w:afterAutospacing="0" w:line="360" w:lineRule="auto"/>
        <w:ind w:firstLine="643" w:firstLineChars="200"/>
        <w:jc w:val="both"/>
        <w:rPr>
          <w:rFonts w:ascii="Times New Roman" w:eastAsia="仿宋_GB2312"/>
          <w:sz w:val="32"/>
          <w:szCs w:val="32"/>
        </w:rPr>
      </w:pPr>
      <w:r>
        <w:rPr>
          <w:rFonts w:ascii="Times New Roman" w:eastAsia="仿宋_GB2312"/>
          <w:b/>
          <w:sz w:val="32"/>
          <w:szCs w:val="32"/>
        </w:rPr>
        <w:t>（一）绩效评价工作开展情况</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根据预算绩效管理要求，本单位组织对2024年度本级预算项目支出全面开展绩效自评，共涉及资金2,282.17万元（决算金额）。其中，一般公共预算项目15个，涉及资金2,282.17万元，占一般公共预算项目支出总额的</w:t>
      </w:r>
      <w:r>
        <w:rPr>
          <w:rFonts w:hint="eastAsia" w:ascii="Times New Roman" w:eastAsia="仿宋_GB2312"/>
          <w:b w:val="0"/>
          <w:sz w:val="32"/>
          <w:szCs w:val="32"/>
          <w:lang w:val="en-US" w:eastAsia="zh-CN"/>
        </w:rPr>
        <w:t>92.39</w:t>
      </w:r>
      <w:r>
        <w:rPr>
          <w:rFonts w:ascii="Times New Roman" w:eastAsia="仿宋_GB2312"/>
          <w:b w:val="0"/>
          <w:sz w:val="32"/>
          <w:szCs w:val="32"/>
        </w:rPr>
        <w:t>%；政府性基金预算项目0个，涉及资金0万元，占政府性基金预算项目支出总额的0%；国有资本经营预算项目0个，涉及资金0万元，占国有资本经营预算项目支出总额的0%。</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hint="eastAsia" w:ascii="Times New Roman" w:eastAsia="仿宋_GB2312"/>
          <w:b w:val="0"/>
          <w:sz w:val="32"/>
          <w:szCs w:val="32"/>
          <w:lang w:val="en-US" w:eastAsia="zh-CN"/>
        </w:rPr>
        <w:t>本部门</w:t>
      </w:r>
      <w:r>
        <w:rPr>
          <w:rFonts w:ascii="Times New Roman" w:eastAsia="仿宋_GB2312"/>
          <w:b w:val="0"/>
          <w:sz w:val="32"/>
          <w:szCs w:val="32"/>
        </w:rPr>
        <w:t>组织对</w:t>
      </w:r>
      <w:r>
        <w:rPr>
          <w:rFonts w:hint="eastAsia" w:ascii="Times New Roman" w:eastAsia="仿宋_GB2312"/>
          <w:b w:val="0"/>
          <w:sz w:val="32"/>
          <w:szCs w:val="32"/>
          <w:lang w:val="en-US" w:eastAsia="zh-CN"/>
        </w:rPr>
        <w:t>15</w:t>
      </w:r>
      <w:r>
        <w:rPr>
          <w:rFonts w:ascii="Times New Roman" w:eastAsia="仿宋_GB2312"/>
          <w:b w:val="0"/>
          <w:sz w:val="32"/>
          <w:szCs w:val="32"/>
        </w:rPr>
        <w:t>个项目开展了</w:t>
      </w:r>
      <w:r>
        <w:rPr>
          <w:rFonts w:hint="eastAsia" w:ascii="Times New Roman" w:eastAsia="仿宋_GB2312"/>
          <w:b w:val="0"/>
          <w:sz w:val="32"/>
          <w:szCs w:val="32"/>
          <w:lang w:val="en-US" w:eastAsia="zh-CN"/>
        </w:rPr>
        <w:t>绩效评价</w:t>
      </w:r>
      <w:r>
        <w:rPr>
          <w:rFonts w:ascii="Times New Roman" w:eastAsia="仿宋_GB2312"/>
          <w:b w:val="0"/>
          <w:sz w:val="32"/>
          <w:szCs w:val="32"/>
        </w:rPr>
        <w:t>，</w:t>
      </w:r>
      <w:r>
        <w:rPr>
          <w:rFonts w:hint="eastAsia" w:ascii="Times New Roman" w:eastAsia="仿宋_GB2312"/>
          <w:b w:val="0"/>
          <w:sz w:val="32"/>
          <w:szCs w:val="32"/>
          <w:lang w:val="en-US" w:eastAsia="zh-CN"/>
        </w:rPr>
        <w:t>自评得分100分的14个，90分以上1个</w:t>
      </w:r>
      <w:r>
        <w:rPr>
          <w:rFonts w:ascii="Times New Roman" w:eastAsia="仿宋_GB2312"/>
          <w:b w:val="0"/>
          <w:sz w:val="32"/>
          <w:szCs w:val="32"/>
        </w:rPr>
        <w:t>，从评价情况来看，</w:t>
      </w:r>
      <w:r>
        <w:rPr>
          <w:rFonts w:hint="eastAsia" w:ascii="Times New Roman" w:eastAsia="仿宋_GB2312"/>
          <w:b w:val="0"/>
          <w:sz w:val="32"/>
          <w:szCs w:val="32"/>
          <w:lang w:val="en-US" w:eastAsia="zh-CN"/>
        </w:rPr>
        <w:t>较好的完成了部门整体绩效目标</w:t>
      </w:r>
      <w:r>
        <w:rPr>
          <w:rFonts w:ascii="Times New Roman" w:eastAsia="仿宋_GB2312"/>
          <w:b w:val="0"/>
          <w:sz w:val="32"/>
          <w:szCs w:val="32"/>
        </w:rPr>
        <w:t>。</w:t>
      </w:r>
    </w:p>
    <w:p>
      <w:pPr>
        <w:widowControl/>
        <w:spacing w:before="0" w:beforeLines="0" w:beforeAutospacing="0" w:after="0" w:afterLines="0" w:afterAutospacing="0" w:line="360" w:lineRule="auto"/>
        <w:ind w:firstLine="643" w:firstLineChars="200"/>
        <w:jc w:val="both"/>
        <w:rPr>
          <w:rFonts w:ascii="Times New Roman" w:eastAsia="仿宋_GB2312"/>
          <w:sz w:val="32"/>
          <w:szCs w:val="32"/>
          <w:highlight w:val="none"/>
        </w:rPr>
      </w:pPr>
      <w:r>
        <w:rPr>
          <w:rFonts w:ascii="Times New Roman" w:eastAsia="仿宋_GB2312"/>
          <w:b/>
          <w:sz w:val="32"/>
          <w:szCs w:val="32"/>
          <w:highlight w:val="none"/>
        </w:rPr>
        <w:t>（二）部门决算中项目绩效自评结果</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本单位在今年部门决算公开中反映办案业务及培训费、警用航空装备购置经费等10个项目绩效自评结果。</w:t>
      </w:r>
    </w:p>
    <w:p>
      <w:pPr>
        <w:widowControl/>
        <w:spacing w:before="0" w:beforeLines="0" w:beforeAutospacing="0" w:after="0" w:afterLines="0" w:afterAutospacing="0" w:line="360" w:lineRule="auto"/>
        <w:ind w:firstLine="640" w:firstLineChars="200"/>
        <w:jc w:val="both"/>
        <w:rPr>
          <w:rFonts w:hint="eastAsia" w:ascii="Times New Roman" w:eastAsia="仿宋_GB2312"/>
          <w:b w:val="0"/>
          <w:sz w:val="32"/>
          <w:szCs w:val="32"/>
          <w:lang w:val="en-US" w:eastAsia="zh-CN"/>
        </w:rPr>
      </w:pPr>
      <w:r>
        <w:rPr>
          <w:rFonts w:hint="eastAsia" w:ascii="仿宋_GB2312" w:hAnsi="仿宋_GB2312" w:eastAsia="仿宋_GB2312" w:cs="仿宋_GB2312"/>
          <w:color w:val="000000" w:themeColor="text1" w:themeShade="80"/>
          <w:sz w:val="32"/>
          <w:szCs w:val="32"/>
          <w:highlight w:val="none"/>
          <w:lang w:val="en-US" w:eastAsia="zh-CN"/>
        </w:rPr>
        <w:t>办案业务及培训费</w:t>
      </w:r>
      <w:r>
        <w:rPr>
          <w:rFonts w:ascii="Times New Roman" w:eastAsia="仿宋_GB2312"/>
          <w:b w:val="0"/>
          <w:sz w:val="32"/>
          <w:szCs w:val="32"/>
        </w:rPr>
        <w:t>项目绩效自评情况：根据年初设定的绩效目标，</w:t>
      </w:r>
      <w:r>
        <w:rPr>
          <w:rFonts w:hint="eastAsia" w:ascii="仿宋_GB2312" w:hAnsi="仿宋_GB2312" w:eastAsia="仿宋_GB2312" w:cs="仿宋_GB2312"/>
          <w:color w:val="000000" w:themeColor="text1" w:themeShade="80"/>
          <w:sz w:val="32"/>
          <w:szCs w:val="32"/>
          <w:highlight w:val="none"/>
          <w:lang w:val="en-US" w:eastAsia="zh-CN"/>
        </w:rPr>
        <w:t>办案业务及培训费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85.20</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85.20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通过项目实施，完成了年初设定的各项绩效目标，完成了日常勤务实战训练的开展和保障任务。未发现问题。</w:t>
      </w:r>
    </w:p>
    <w:p>
      <w:pPr>
        <w:widowControl/>
        <w:spacing w:before="0" w:beforeLines="0" w:beforeAutospacing="0" w:after="0" w:afterLines="0" w:afterAutospacing="0" w:line="360" w:lineRule="auto"/>
        <w:ind w:firstLine="640" w:firstLineChars="200"/>
        <w:jc w:val="both"/>
        <w:rPr>
          <w:rFonts w:hint="eastAsia" w:ascii="Times New Roman" w:eastAsia="仿宋_GB2312"/>
          <w:b w:val="0"/>
          <w:sz w:val="32"/>
          <w:szCs w:val="32"/>
          <w:lang w:val="en-US" w:eastAsia="zh-CN"/>
        </w:rPr>
      </w:pPr>
      <w:r>
        <w:rPr>
          <w:rFonts w:hint="eastAsia" w:ascii="仿宋_GB2312" w:hAnsi="仿宋_GB2312" w:eastAsia="仿宋_GB2312" w:cs="仿宋_GB2312"/>
          <w:color w:val="000000" w:themeColor="text1" w:themeShade="80"/>
          <w:sz w:val="32"/>
          <w:szCs w:val="32"/>
          <w:highlight w:val="none"/>
          <w:lang w:val="en-US" w:eastAsia="zh-CN"/>
        </w:rPr>
        <w:t>警用航空装备购置经费</w:t>
      </w:r>
      <w:r>
        <w:rPr>
          <w:rFonts w:ascii="Times New Roman" w:eastAsia="仿宋_GB2312"/>
          <w:b w:val="0"/>
          <w:sz w:val="32"/>
          <w:szCs w:val="32"/>
        </w:rPr>
        <w:t>项目绩效自评情况：根据年初设定的绩效目标，</w:t>
      </w:r>
      <w:r>
        <w:rPr>
          <w:rFonts w:hint="eastAsia" w:ascii="仿宋_GB2312" w:hAnsi="仿宋_GB2312" w:eastAsia="仿宋_GB2312" w:cs="仿宋_GB2312"/>
          <w:color w:val="000000" w:themeColor="text1" w:themeShade="80"/>
          <w:sz w:val="32"/>
          <w:szCs w:val="32"/>
          <w:highlight w:val="none"/>
          <w:lang w:val="en-US" w:eastAsia="zh-CN"/>
        </w:rPr>
        <w:t>警用航空装备购置经费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99.8</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50</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49.21</w:t>
      </w:r>
      <w:r>
        <w:rPr>
          <w:rFonts w:ascii="Times New Roman" w:eastAsia="仿宋_GB2312"/>
          <w:b w:val="0"/>
          <w:sz w:val="32"/>
          <w:szCs w:val="32"/>
        </w:rPr>
        <w:t>万元，完成预算的</w:t>
      </w:r>
      <w:r>
        <w:rPr>
          <w:rFonts w:hint="eastAsia" w:ascii="Times New Roman" w:eastAsia="仿宋_GB2312"/>
          <w:b w:val="0"/>
          <w:sz w:val="32"/>
          <w:szCs w:val="32"/>
          <w:lang w:val="en-US" w:eastAsia="zh-CN"/>
        </w:rPr>
        <w:t>98.42</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通过项目实施，完成了年初设定的各项绩效目标，完成了警用航空装备的购置，保障了各类指挥和群体性事件的处置。未发现问题。</w:t>
      </w:r>
    </w:p>
    <w:p>
      <w:pPr>
        <w:widowControl/>
        <w:spacing w:before="0" w:beforeLines="0" w:beforeAutospacing="0" w:after="0" w:afterLines="0" w:afterAutospacing="0" w:line="360" w:lineRule="auto"/>
        <w:ind w:firstLine="640" w:firstLineChars="200"/>
        <w:jc w:val="both"/>
        <w:rPr>
          <w:rFonts w:hint="eastAsia" w:ascii="Times New Roman" w:eastAsia="仿宋_GB2312"/>
          <w:b w:val="0"/>
          <w:sz w:val="32"/>
          <w:szCs w:val="32"/>
          <w:lang w:val="en-US" w:eastAsia="zh-CN"/>
        </w:rPr>
      </w:pPr>
      <w:r>
        <w:rPr>
          <w:rFonts w:hint="eastAsia" w:ascii="仿宋_GB2312" w:hAnsi="仿宋_GB2312" w:eastAsia="仿宋_GB2312" w:cs="仿宋_GB2312"/>
          <w:color w:val="000000" w:themeColor="text1" w:themeShade="80"/>
          <w:sz w:val="32"/>
          <w:szCs w:val="32"/>
          <w:highlight w:val="none"/>
          <w:lang w:val="en-US" w:eastAsia="zh-CN"/>
        </w:rPr>
        <w:t>委托业务费</w:t>
      </w:r>
      <w:r>
        <w:rPr>
          <w:rFonts w:ascii="Times New Roman" w:eastAsia="仿宋_GB2312"/>
          <w:b w:val="0"/>
          <w:sz w:val="32"/>
          <w:szCs w:val="32"/>
        </w:rPr>
        <w:t>项目绩效自评情况：根据年初设定的绩效目标，</w:t>
      </w:r>
      <w:r>
        <w:rPr>
          <w:rFonts w:hint="eastAsia" w:ascii="仿宋_GB2312" w:hAnsi="仿宋_GB2312" w:eastAsia="仿宋_GB2312" w:cs="仿宋_GB2312"/>
          <w:color w:val="000000" w:themeColor="text1" w:themeShade="80"/>
          <w:sz w:val="32"/>
          <w:szCs w:val="32"/>
          <w:highlight w:val="none"/>
          <w:lang w:val="en-US" w:eastAsia="zh-CN"/>
        </w:rPr>
        <w:t>委托业务费</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149.80</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149.73</w:t>
      </w:r>
      <w:r>
        <w:rPr>
          <w:rFonts w:ascii="Times New Roman" w:eastAsia="仿宋_GB2312"/>
          <w:b w:val="0"/>
          <w:sz w:val="32"/>
          <w:szCs w:val="32"/>
        </w:rPr>
        <w:t>万元，完成预算的</w:t>
      </w:r>
      <w:r>
        <w:rPr>
          <w:rFonts w:hint="eastAsia" w:ascii="Times New Roman" w:eastAsia="仿宋_GB2312"/>
          <w:b w:val="0"/>
          <w:sz w:val="32"/>
          <w:szCs w:val="32"/>
          <w:lang w:val="en-US" w:eastAsia="zh-CN"/>
        </w:rPr>
        <w:t>99.95</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w:t>
      </w:r>
      <w:r>
        <w:rPr>
          <w:rFonts w:hint="eastAsia" w:ascii="仿宋_GB2312" w:hAnsi="仿宋_GB2312" w:eastAsia="仿宋_GB2312" w:cs="仿宋_GB2312"/>
          <w:color w:val="000000" w:themeColor="text1" w:themeShade="80"/>
          <w:sz w:val="32"/>
          <w:szCs w:val="32"/>
          <w:highlight w:val="none"/>
          <w:lang w:val="en-US" w:eastAsia="zh-CN"/>
        </w:rPr>
        <w:t>单位设施设备、办公场所的维护，保证了办公的正常开展</w:t>
      </w:r>
      <w:r>
        <w:rPr>
          <w:rFonts w:hint="eastAsia" w:ascii="Times New Roman" w:eastAsia="仿宋_GB2312"/>
          <w:b w:val="0"/>
          <w:sz w:val="32"/>
          <w:szCs w:val="32"/>
          <w:lang w:val="en-US" w:eastAsia="zh-CN"/>
        </w:rPr>
        <w:t>。未发现问题。</w:t>
      </w:r>
    </w:p>
    <w:p>
      <w:pPr>
        <w:widowControl/>
        <w:spacing w:before="0" w:beforeLines="0" w:beforeAutospacing="0" w:after="0" w:afterLines="0" w:afterAutospacing="0" w:line="360" w:lineRule="auto"/>
        <w:ind w:firstLine="640" w:firstLineChars="200"/>
        <w:jc w:val="both"/>
        <w:rPr>
          <w:rFonts w:hint="eastAsia" w:ascii="Times New Roman" w:eastAsia="仿宋_GB2312"/>
          <w:b w:val="0"/>
          <w:sz w:val="32"/>
          <w:szCs w:val="32"/>
          <w:lang w:val="en-US" w:eastAsia="zh-CN"/>
        </w:rPr>
      </w:pPr>
      <w:r>
        <w:rPr>
          <w:rFonts w:hint="eastAsia" w:ascii="仿宋_GB2312" w:hAnsi="仿宋_GB2312" w:eastAsia="仿宋_GB2312" w:cs="仿宋_GB2312"/>
          <w:color w:val="000000" w:themeColor="text1" w:themeShade="80"/>
          <w:sz w:val="32"/>
          <w:szCs w:val="32"/>
          <w:highlight w:val="none"/>
          <w:lang w:val="en-US" w:eastAsia="zh-CN"/>
        </w:rPr>
        <w:t>特警支队辅警劳务费</w:t>
      </w:r>
      <w:r>
        <w:rPr>
          <w:rFonts w:ascii="Times New Roman" w:eastAsia="仿宋_GB2312"/>
          <w:b w:val="0"/>
          <w:sz w:val="32"/>
          <w:szCs w:val="32"/>
        </w:rPr>
        <w:t>项目绩效自评情况：根据年初设定的绩效目标，</w:t>
      </w:r>
      <w:r>
        <w:rPr>
          <w:rFonts w:hint="eastAsia" w:ascii="Times New Roman" w:eastAsia="仿宋_GB2312"/>
          <w:b w:val="0"/>
          <w:sz w:val="32"/>
          <w:szCs w:val="32"/>
          <w:lang w:val="en-US" w:eastAsia="zh-CN"/>
        </w:rPr>
        <w:t>特警支队辅警劳务费</w:t>
      </w:r>
      <w:r>
        <w:rPr>
          <w:rFonts w:ascii="Times New Roman" w:eastAsia="仿宋_GB2312"/>
          <w:b w:val="0"/>
          <w:sz w:val="32"/>
          <w:szCs w:val="32"/>
        </w:rPr>
        <w:t>项目绩效自评得分为</w:t>
      </w:r>
      <w:r>
        <w:rPr>
          <w:rFonts w:hint="eastAsia" w:ascii="仿宋_GB2312" w:hAnsi="仿宋_GB2312" w:eastAsia="仿宋_GB2312" w:cs="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1217.57</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1216.69</w:t>
      </w:r>
      <w:r>
        <w:rPr>
          <w:rFonts w:ascii="Times New Roman" w:eastAsia="仿宋_GB2312"/>
          <w:b w:val="0"/>
          <w:sz w:val="32"/>
          <w:szCs w:val="32"/>
        </w:rPr>
        <w:t>万元，完成预算</w:t>
      </w:r>
      <w:r>
        <w:rPr>
          <w:rFonts w:hint="eastAsia" w:ascii="仿宋_GB2312" w:hAnsi="仿宋_GB2312" w:eastAsia="仿宋_GB2312" w:cs="仿宋_GB2312"/>
          <w:b w:val="0"/>
          <w:sz w:val="32"/>
          <w:szCs w:val="32"/>
        </w:rPr>
        <w:t>的</w:t>
      </w:r>
      <w:r>
        <w:rPr>
          <w:rFonts w:hint="eastAsia" w:ascii="仿宋_GB2312" w:hAnsi="仿宋_GB2312" w:eastAsia="仿宋_GB2312" w:cs="仿宋_GB2312"/>
          <w:b w:val="0"/>
          <w:sz w:val="32"/>
          <w:szCs w:val="32"/>
          <w:lang w:val="en-US" w:eastAsia="zh-CN"/>
        </w:rPr>
        <w:t>99.93</w:t>
      </w:r>
      <w:r>
        <w:rPr>
          <w:rFonts w:hint="eastAsia" w:ascii="仿宋_GB2312" w:hAnsi="仿宋_GB2312" w:eastAsia="仿宋_GB2312" w:cs="仿宋_GB2312"/>
          <w:b w:val="0"/>
          <w:sz w:val="32"/>
          <w:szCs w:val="32"/>
        </w:rPr>
        <w:t>%</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w:t>
      </w:r>
      <w:r>
        <w:rPr>
          <w:rFonts w:hint="eastAsia" w:ascii="仿宋_GB2312" w:hAnsi="仿宋_GB2312" w:eastAsia="仿宋_GB2312" w:cs="仿宋_GB2312"/>
          <w:color w:val="000000" w:themeColor="text1" w:themeShade="80"/>
          <w:sz w:val="32"/>
          <w:szCs w:val="32"/>
          <w:highlight w:val="none"/>
          <w:lang w:val="en-US" w:eastAsia="zh-CN"/>
        </w:rPr>
        <w:t>单位在职辅警人员劳务费用的发放</w:t>
      </w:r>
      <w:r>
        <w:rPr>
          <w:rFonts w:hint="eastAsia" w:ascii="Times New Roman" w:eastAsia="仿宋_GB2312"/>
          <w:b w:val="0"/>
          <w:sz w:val="32"/>
          <w:szCs w:val="32"/>
          <w:lang w:val="en-US" w:eastAsia="zh-CN"/>
        </w:rPr>
        <w:t>。未发现问题。</w:t>
      </w:r>
    </w:p>
    <w:p>
      <w:pPr>
        <w:widowControl/>
        <w:spacing w:before="0" w:beforeLines="0" w:beforeAutospacing="0" w:after="0" w:afterLines="0" w:afterAutospacing="0" w:line="360" w:lineRule="auto"/>
        <w:ind w:firstLine="640" w:firstLineChars="200"/>
        <w:jc w:val="both"/>
        <w:rPr>
          <w:rFonts w:hint="eastAsia" w:ascii="Times New Roman" w:eastAsia="仿宋_GB2312"/>
          <w:b w:val="0"/>
          <w:sz w:val="32"/>
          <w:szCs w:val="32"/>
          <w:lang w:val="en-US" w:eastAsia="zh-CN"/>
        </w:rPr>
      </w:pPr>
      <w:r>
        <w:rPr>
          <w:rFonts w:hint="eastAsia" w:ascii="仿宋_GB2312" w:hAnsi="仿宋_GB2312" w:eastAsia="仿宋_GB2312" w:cs="仿宋_GB2312"/>
          <w:color w:val="000000" w:themeColor="text1" w:themeShade="80"/>
          <w:sz w:val="32"/>
          <w:szCs w:val="32"/>
          <w:highlight w:val="none"/>
          <w:lang w:val="en-US" w:eastAsia="zh-CN"/>
        </w:rPr>
        <w:t>专用设备购置费</w:t>
      </w:r>
      <w:r>
        <w:rPr>
          <w:rFonts w:ascii="Times New Roman" w:eastAsia="仿宋_GB2312"/>
          <w:b w:val="0"/>
          <w:sz w:val="32"/>
          <w:szCs w:val="32"/>
        </w:rPr>
        <w:t>项目绩效自评情况：根据年初设定的绩效目标，</w:t>
      </w:r>
      <w:r>
        <w:rPr>
          <w:rFonts w:hint="eastAsia" w:ascii="仿宋_GB2312" w:hAnsi="仿宋_GB2312" w:eastAsia="仿宋_GB2312" w:cs="仿宋_GB2312"/>
          <w:color w:val="000000" w:themeColor="text1" w:themeShade="80"/>
          <w:sz w:val="32"/>
          <w:szCs w:val="32"/>
          <w:highlight w:val="none"/>
          <w:lang w:val="en-US" w:eastAsia="zh-CN"/>
        </w:rPr>
        <w:t>专用设备购置费</w:t>
      </w:r>
      <w:r>
        <w:rPr>
          <w:rFonts w:ascii="Times New Roman" w:eastAsia="仿宋_GB2312"/>
          <w:b w:val="0"/>
          <w:sz w:val="32"/>
          <w:szCs w:val="32"/>
        </w:rPr>
        <w:t>项目绩效自评得分为</w:t>
      </w:r>
      <w:r>
        <w:rPr>
          <w:rFonts w:hint="eastAsia" w:ascii="仿宋_GB2312" w:hAnsi="仿宋_GB2312" w:eastAsia="仿宋_GB2312" w:cs="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53.27</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53.27</w:t>
      </w:r>
      <w:r>
        <w:rPr>
          <w:rFonts w:ascii="Times New Roman" w:eastAsia="仿宋_GB2312"/>
          <w:b w:val="0"/>
          <w:sz w:val="32"/>
          <w:szCs w:val="32"/>
        </w:rPr>
        <w:t>万元，完成预算</w:t>
      </w:r>
      <w:r>
        <w:rPr>
          <w:rFonts w:hint="eastAsia" w:ascii="仿宋_GB2312" w:hAnsi="仿宋_GB2312" w:eastAsia="仿宋_GB2312" w:cs="仿宋_GB2312"/>
          <w:b w:val="0"/>
          <w:sz w:val="32"/>
          <w:szCs w:val="32"/>
        </w:rPr>
        <w:t>的</w:t>
      </w:r>
      <w:r>
        <w:rPr>
          <w:rFonts w:hint="eastAsia" w:ascii="仿宋_GB2312" w:hAnsi="仿宋_GB2312" w:eastAsia="仿宋_GB2312" w:cs="仿宋_GB2312"/>
          <w:b w:val="0"/>
          <w:sz w:val="32"/>
          <w:szCs w:val="32"/>
          <w:lang w:val="en-US" w:eastAsia="zh-CN"/>
        </w:rPr>
        <w:t>100</w:t>
      </w:r>
      <w:r>
        <w:rPr>
          <w:rFonts w:hint="eastAsia" w:ascii="仿宋_GB2312" w:hAnsi="仿宋_GB2312" w:eastAsia="仿宋_GB2312" w:cs="仿宋_GB2312"/>
          <w:b w:val="0"/>
          <w:sz w:val="32"/>
          <w:szCs w:val="32"/>
        </w:rPr>
        <w:t>%</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w:t>
      </w:r>
      <w:r>
        <w:rPr>
          <w:rFonts w:hint="eastAsia" w:ascii="仿宋_GB2312" w:hAnsi="仿宋_GB2312" w:eastAsia="仿宋_GB2312" w:cs="仿宋_GB2312"/>
          <w:color w:val="000000" w:themeColor="text1" w:themeShade="80"/>
          <w:sz w:val="32"/>
          <w:szCs w:val="32"/>
          <w:highlight w:val="none"/>
          <w:lang w:val="en-US" w:eastAsia="zh-CN"/>
        </w:rPr>
        <w:t>专用设备的购置，保障了各类会议和训练正常进行</w:t>
      </w:r>
      <w:r>
        <w:rPr>
          <w:rFonts w:hint="eastAsia" w:ascii="Times New Roman" w:eastAsia="仿宋_GB2312"/>
          <w:b w:val="0"/>
          <w:sz w:val="32"/>
          <w:szCs w:val="32"/>
          <w:lang w:val="en-US" w:eastAsia="zh-CN"/>
        </w:rPr>
        <w:t>。未发现问题。</w:t>
      </w:r>
    </w:p>
    <w:p>
      <w:pPr>
        <w:widowControl/>
        <w:spacing w:before="0" w:beforeLines="0" w:beforeAutospacing="0" w:after="0" w:afterLines="0" w:afterAutospacing="0" w:line="360" w:lineRule="auto"/>
        <w:ind w:firstLine="640" w:firstLineChars="200"/>
        <w:jc w:val="both"/>
        <w:rPr>
          <w:rFonts w:hint="default" w:ascii="Times New Roman" w:eastAsia="仿宋_GB2312"/>
          <w:b w:val="0"/>
          <w:sz w:val="32"/>
          <w:szCs w:val="32"/>
          <w:lang w:val="en-US" w:eastAsia="zh-CN"/>
        </w:rPr>
      </w:pPr>
      <w:r>
        <w:rPr>
          <w:rFonts w:hint="eastAsia" w:ascii="仿宋_GB2312" w:hAnsi="仿宋_GB2312" w:eastAsia="仿宋_GB2312" w:cs="仿宋_GB2312"/>
          <w:color w:val="000000" w:themeColor="text1" w:themeShade="80"/>
          <w:sz w:val="32"/>
          <w:szCs w:val="32"/>
          <w:highlight w:val="none"/>
          <w:lang w:val="en-US" w:eastAsia="zh-CN"/>
        </w:rPr>
        <w:t>特警支队修缮改造项目资金</w:t>
      </w:r>
      <w:r>
        <w:rPr>
          <w:rFonts w:ascii="Times New Roman" w:eastAsia="仿宋_GB2312"/>
          <w:b w:val="0"/>
          <w:sz w:val="32"/>
          <w:szCs w:val="32"/>
        </w:rPr>
        <w:t>项目绩效自评情况：根据年初设定的绩效目标，</w:t>
      </w:r>
      <w:r>
        <w:rPr>
          <w:rFonts w:hint="eastAsia" w:ascii="仿宋_GB2312" w:hAnsi="仿宋_GB2312" w:eastAsia="仿宋_GB2312" w:cs="仿宋_GB2312"/>
          <w:color w:val="000000" w:themeColor="text1" w:themeShade="80"/>
          <w:sz w:val="32"/>
          <w:szCs w:val="32"/>
          <w:highlight w:val="none"/>
          <w:lang w:val="en-US" w:eastAsia="zh-CN"/>
        </w:rPr>
        <w:t>特警支队修缮改造项目资金</w:t>
      </w:r>
      <w:r>
        <w:rPr>
          <w:rFonts w:ascii="Times New Roman" w:eastAsia="仿宋_GB2312"/>
          <w:b w:val="0"/>
          <w:sz w:val="32"/>
          <w:szCs w:val="32"/>
        </w:rPr>
        <w:t>项目绩效自评得分为</w:t>
      </w:r>
      <w:r>
        <w:rPr>
          <w:rFonts w:hint="eastAsia" w:ascii="仿宋_GB2312" w:hAnsi="仿宋_GB2312" w:eastAsia="仿宋_GB2312" w:cs="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193.32</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192.73</w:t>
      </w:r>
      <w:r>
        <w:rPr>
          <w:rFonts w:ascii="Times New Roman" w:eastAsia="仿宋_GB2312"/>
          <w:b w:val="0"/>
          <w:sz w:val="32"/>
          <w:szCs w:val="32"/>
        </w:rPr>
        <w:t>万元，完成预算</w:t>
      </w:r>
      <w:r>
        <w:rPr>
          <w:rFonts w:hint="eastAsia" w:ascii="仿宋_GB2312" w:hAnsi="仿宋_GB2312" w:eastAsia="仿宋_GB2312" w:cs="仿宋_GB2312"/>
          <w:b w:val="0"/>
          <w:sz w:val="32"/>
          <w:szCs w:val="32"/>
        </w:rPr>
        <w:t>的</w:t>
      </w:r>
      <w:r>
        <w:rPr>
          <w:rFonts w:hint="eastAsia" w:ascii="仿宋_GB2312" w:hAnsi="仿宋_GB2312" w:eastAsia="仿宋_GB2312" w:cs="仿宋_GB2312"/>
          <w:b w:val="0"/>
          <w:sz w:val="32"/>
          <w:szCs w:val="32"/>
          <w:lang w:val="en-US" w:eastAsia="zh-CN"/>
        </w:rPr>
        <w:t>99.69</w:t>
      </w:r>
      <w:r>
        <w:rPr>
          <w:rFonts w:hint="eastAsia" w:ascii="仿宋_GB2312" w:hAnsi="仿宋_GB2312" w:eastAsia="仿宋_GB2312" w:cs="仿宋_GB2312"/>
          <w:b w:val="0"/>
          <w:sz w:val="32"/>
          <w:szCs w:val="32"/>
        </w:rPr>
        <w:t>%</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w:t>
      </w:r>
      <w:r>
        <w:rPr>
          <w:rFonts w:hint="eastAsia" w:ascii="仿宋_GB2312" w:hAnsi="仿宋_GB2312" w:eastAsia="仿宋_GB2312" w:cs="仿宋_GB2312"/>
          <w:color w:val="000000" w:themeColor="text1" w:themeShade="80"/>
          <w:sz w:val="32"/>
          <w:szCs w:val="32"/>
          <w:highlight w:val="none"/>
          <w:lang w:val="en-US" w:eastAsia="zh-CN"/>
        </w:rPr>
        <w:t>院落修缮改造，提升办公环境</w:t>
      </w:r>
      <w:r>
        <w:rPr>
          <w:rFonts w:hint="eastAsia" w:ascii="Times New Roman" w:eastAsia="仿宋_GB2312"/>
          <w:b w:val="0"/>
          <w:sz w:val="32"/>
          <w:szCs w:val="32"/>
          <w:lang w:val="en-US" w:eastAsia="zh-CN"/>
        </w:rPr>
        <w:t>。未发现问题。</w:t>
      </w: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物业管理费</w:t>
      </w:r>
      <w:r>
        <w:rPr>
          <w:rFonts w:ascii="Times New Roman" w:eastAsia="仿宋_GB2312"/>
          <w:b w:val="0"/>
          <w:sz w:val="32"/>
          <w:szCs w:val="32"/>
        </w:rPr>
        <w:t>项目绩效自评情况：根据年初设定的绩效目标，</w:t>
      </w:r>
      <w:r>
        <w:rPr>
          <w:rFonts w:hint="eastAsia" w:ascii="仿宋_GB2312" w:hAnsi="仿宋_GB2312" w:eastAsia="仿宋_GB2312" w:cs="仿宋_GB2312"/>
          <w:color w:val="000000" w:themeColor="text1" w:themeShade="80"/>
          <w:sz w:val="32"/>
          <w:szCs w:val="32"/>
          <w:highlight w:val="none"/>
          <w:lang w:val="en-US" w:eastAsia="zh-CN"/>
        </w:rPr>
        <w:t>物业管理费</w:t>
      </w:r>
      <w:r>
        <w:rPr>
          <w:rFonts w:ascii="Times New Roman" w:eastAsia="仿宋_GB2312"/>
          <w:b w:val="0"/>
          <w:sz w:val="32"/>
          <w:szCs w:val="32"/>
        </w:rPr>
        <w:t>项目绩效自评得分为</w:t>
      </w:r>
      <w:r>
        <w:rPr>
          <w:rFonts w:hint="eastAsia" w:ascii="仿宋_GB2312" w:hAnsi="仿宋_GB2312" w:eastAsia="仿宋_GB2312" w:cs="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77.11</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77.11</w:t>
      </w:r>
      <w:r>
        <w:rPr>
          <w:rFonts w:ascii="Times New Roman" w:eastAsia="仿宋_GB2312"/>
          <w:b w:val="0"/>
          <w:sz w:val="32"/>
          <w:szCs w:val="32"/>
        </w:rPr>
        <w:t>万元，完成预算</w:t>
      </w:r>
      <w:r>
        <w:rPr>
          <w:rFonts w:hint="eastAsia" w:ascii="仿宋_GB2312" w:hAnsi="仿宋_GB2312" w:eastAsia="仿宋_GB2312" w:cs="仿宋_GB2312"/>
          <w:b w:val="0"/>
          <w:sz w:val="32"/>
          <w:szCs w:val="32"/>
        </w:rPr>
        <w:t>的</w:t>
      </w:r>
      <w:r>
        <w:rPr>
          <w:rFonts w:hint="eastAsia" w:ascii="仿宋_GB2312" w:hAnsi="仿宋_GB2312" w:eastAsia="仿宋_GB2312" w:cs="仿宋_GB2312"/>
          <w:b w:val="0"/>
          <w:sz w:val="32"/>
          <w:szCs w:val="32"/>
          <w:lang w:val="en-US" w:eastAsia="zh-CN"/>
        </w:rPr>
        <w:t>100</w:t>
      </w:r>
      <w:r>
        <w:rPr>
          <w:rFonts w:hint="eastAsia" w:ascii="仿宋_GB2312" w:hAnsi="仿宋_GB2312" w:eastAsia="仿宋_GB2312" w:cs="仿宋_GB2312"/>
          <w:b w:val="0"/>
          <w:sz w:val="32"/>
          <w:szCs w:val="32"/>
        </w:rPr>
        <w:t>%</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w:t>
      </w:r>
      <w:r>
        <w:rPr>
          <w:rFonts w:hint="eastAsia" w:ascii="仿宋_GB2312" w:hAnsi="仿宋_GB2312" w:eastAsia="仿宋_GB2312" w:cs="仿宋_GB2312"/>
          <w:color w:val="000000" w:themeColor="text1" w:themeShade="80"/>
          <w:sz w:val="32"/>
          <w:szCs w:val="32"/>
          <w:highlight w:val="none"/>
          <w:lang w:val="en-US" w:eastAsia="zh-CN"/>
        </w:rPr>
        <w:t>物业服务的管理，支队办公环境进一步得到了优化</w:t>
      </w:r>
      <w:r>
        <w:rPr>
          <w:rFonts w:hint="eastAsia" w:ascii="Times New Roman" w:eastAsia="仿宋_GB2312"/>
          <w:b w:val="0"/>
          <w:sz w:val="32"/>
          <w:szCs w:val="32"/>
          <w:lang w:val="en-US" w:eastAsia="zh-CN"/>
        </w:rPr>
        <w:t>。未发现问题。</w:t>
      </w: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警用服装和装备购置经费</w:t>
      </w:r>
      <w:r>
        <w:rPr>
          <w:rFonts w:ascii="Times New Roman" w:eastAsia="仿宋_GB2312"/>
          <w:b w:val="0"/>
          <w:sz w:val="32"/>
          <w:szCs w:val="32"/>
        </w:rPr>
        <w:t>项目绩效自评情况：根据年初设定的绩效目标，</w:t>
      </w:r>
      <w:r>
        <w:rPr>
          <w:rFonts w:hint="eastAsia" w:ascii="仿宋_GB2312" w:hAnsi="仿宋_GB2312" w:eastAsia="仿宋_GB2312" w:cs="仿宋_GB2312"/>
          <w:color w:val="000000" w:themeColor="text1" w:themeShade="80"/>
          <w:sz w:val="32"/>
          <w:szCs w:val="32"/>
          <w:highlight w:val="none"/>
          <w:lang w:val="en-US" w:eastAsia="zh-CN"/>
        </w:rPr>
        <w:t>警用服装和装备购置经费</w:t>
      </w:r>
      <w:r>
        <w:rPr>
          <w:rFonts w:ascii="Times New Roman" w:eastAsia="仿宋_GB2312"/>
          <w:b w:val="0"/>
          <w:sz w:val="32"/>
          <w:szCs w:val="32"/>
        </w:rPr>
        <w:t>项目绩效自评得分为</w:t>
      </w:r>
      <w:r>
        <w:rPr>
          <w:rFonts w:hint="eastAsia" w:ascii="仿宋_GB2312" w:hAnsi="仿宋_GB2312" w:eastAsia="仿宋_GB2312" w:cs="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200</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200</w:t>
      </w:r>
      <w:r>
        <w:rPr>
          <w:rFonts w:ascii="Times New Roman" w:eastAsia="仿宋_GB2312"/>
          <w:b w:val="0"/>
          <w:sz w:val="32"/>
          <w:szCs w:val="32"/>
        </w:rPr>
        <w:t>万元，完成预算</w:t>
      </w:r>
      <w:r>
        <w:rPr>
          <w:rFonts w:hint="eastAsia" w:ascii="仿宋_GB2312" w:hAnsi="仿宋_GB2312" w:eastAsia="仿宋_GB2312" w:cs="仿宋_GB2312"/>
          <w:b w:val="0"/>
          <w:sz w:val="32"/>
          <w:szCs w:val="32"/>
        </w:rPr>
        <w:t>的</w:t>
      </w:r>
      <w:r>
        <w:rPr>
          <w:rFonts w:hint="eastAsia" w:ascii="仿宋_GB2312" w:hAnsi="仿宋_GB2312" w:eastAsia="仿宋_GB2312" w:cs="仿宋_GB2312"/>
          <w:b w:val="0"/>
          <w:sz w:val="32"/>
          <w:szCs w:val="32"/>
          <w:lang w:val="en-US" w:eastAsia="zh-CN"/>
        </w:rPr>
        <w:t>100</w:t>
      </w:r>
      <w:r>
        <w:rPr>
          <w:rFonts w:hint="eastAsia" w:ascii="仿宋_GB2312" w:hAnsi="仿宋_GB2312" w:eastAsia="仿宋_GB2312" w:cs="仿宋_GB2312"/>
          <w:b w:val="0"/>
          <w:sz w:val="32"/>
          <w:szCs w:val="32"/>
        </w:rPr>
        <w:t>%</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w:t>
      </w:r>
      <w:r>
        <w:rPr>
          <w:rFonts w:hint="eastAsia" w:ascii="仿宋_GB2312" w:hAnsi="仿宋_GB2312" w:eastAsia="仿宋_GB2312" w:cs="仿宋_GB2312"/>
          <w:color w:val="000000" w:themeColor="text1" w:themeShade="80"/>
          <w:sz w:val="32"/>
          <w:szCs w:val="32"/>
          <w:highlight w:val="none"/>
          <w:lang w:val="en-US" w:eastAsia="zh-CN"/>
        </w:rPr>
        <w:t>警用服装和装备的购置，提升了特警的形象和战斗力</w:t>
      </w:r>
      <w:r>
        <w:rPr>
          <w:rFonts w:hint="eastAsia" w:ascii="Times New Roman" w:eastAsia="仿宋_GB2312"/>
          <w:b w:val="0"/>
          <w:sz w:val="32"/>
          <w:szCs w:val="32"/>
          <w:lang w:val="en-US" w:eastAsia="zh-CN"/>
        </w:rPr>
        <w:t>。未发现问题。</w:t>
      </w: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训练保障经费</w:t>
      </w:r>
      <w:r>
        <w:rPr>
          <w:rFonts w:ascii="Times New Roman" w:eastAsia="仿宋_GB2312"/>
          <w:b w:val="0"/>
          <w:sz w:val="32"/>
          <w:szCs w:val="32"/>
        </w:rPr>
        <w:t>项目绩效自评情况：根据年初设定的绩效目标，</w:t>
      </w:r>
      <w:r>
        <w:rPr>
          <w:rFonts w:hint="eastAsia" w:ascii="仿宋_GB2312" w:hAnsi="仿宋_GB2312" w:eastAsia="仿宋_GB2312" w:cs="仿宋_GB2312"/>
          <w:color w:val="000000" w:themeColor="text1" w:themeShade="80"/>
          <w:sz w:val="32"/>
          <w:szCs w:val="32"/>
          <w:highlight w:val="none"/>
          <w:lang w:val="en-US" w:eastAsia="zh-CN"/>
        </w:rPr>
        <w:t>训练保障经费</w:t>
      </w:r>
      <w:r>
        <w:rPr>
          <w:rFonts w:ascii="Times New Roman" w:eastAsia="仿宋_GB2312"/>
          <w:b w:val="0"/>
          <w:sz w:val="32"/>
          <w:szCs w:val="32"/>
        </w:rPr>
        <w:t>项目绩效自评得分为</w:t>
      </w:r>
      <w:r>
        <w:rPr>
          <w:rFonts w:hint="eastAsia" w:ascii="仿宋_GB2312" w:hAnsi="仿宋_GB2312" w:eastAsia="仿宋_GB2312" w:cs="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50</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49.96</w:t>
      </w:r>
      <w:r>
        <w:rPr>
          <w:rFonts w:ascii="Times New Roman" w:eastAsia="仿宋_GB2312"/>
          <w:b w:val="0"/>
          <w:sz w:val="32"/>
          <w:szCs w:val="32"/>
        </w:rPr>
        <w:t>万元，完成预算</w:t>
      </w:r>
      <w:r>
        <w:rPr>
          <w:rFonts w:hint="eastAsia" w:ascii="仿宋_GB2312" w:hAnsi="仿宋_GB2312" w:eastAsia="仿宋_GB2312" w:cs="仿宋_GB2312"/>
          <w:b w:val="0"/>
          <w:sz w:val="32"/>
          <w:szCs w:val="32"/>
        </w:rPr>
        <w:t>的</w:t>
      </w:r>
      <w:r>
        <w:rPr>
          <w:rFonts w:hint="eastAsia" w:ascii="仿宋_GB2312" w:hAnsi="仿宋_GB2312" w:eastAsia="仿宋_GB2312" w:cs="仿宋_GB2312"/>
          <w:b w:val="0"/>
          <w:sz w:val="32"/>
          <w:szCs w:val="32"/>
          <w:lang w:val="en-US" w:eastAsia="zh-CN"/>
        </w:rPr>
        <w:t>99.92</w:t>
      </w:r>
      <w:r>
        <w:rPr>
          <w:rFonts w:hint="eastAsia" w:ascii="仿宋_GB2312" w:hAnsi="仿宋_GB2312" w:eastAsia="仿宋_GB2312" w:cs="仿宋_GB2312"/>
          <w:b w:val="0"/>
          <w:sz w:val="32"/>
          <w:szCs w:val="32"/>
        </w:rPr>
        <w:t>%</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w:t>
      </w:r>
      <w:r>
        <w:rPr>
          <w:rFonts w:hint="eastAsia" w:ascii="仿宋_GB2312" w:hAnsi="仿宋_GB2312" w:eastAsia="仿宋_GB2312" w:cs="仿宋_GB2312"/>
          <w:color w:val="000000" w:themeColor="text1" w:themeShade="80"/>
          <w:sz w:val="32"/>
          <w:szCs w:val="32"/>
          <w:highlight w:val="none"/>
          <w:lang w:val="en-US" w:eastAsia="zh-CN"/>
        </w:rPr>
        <w:t>保障任务、训练，确保任务、训练的正常开展</w:t>
      </w:r>
      <w:r>
        <w:rPr>
          <w:rFonts w:hint="eastAsia" w:ascii="Times New Roman" w:eastAsia="仿宋_GB2312"/>
          <w:b w:val="0"/>
          <w:sz w:val="32"/>
          <w:szCs w:val="32"/>
          <w:lang w:val="en-US" w:eastAsia="zh-CN"/>
        </w:rPr>
        <w:t>。未发现问题。</w:t>
      </w:r>
    </w:p>
    <w:p>
      <w:pPr>
        <w:adjustRightInd w:val="0"/>
        <w:snapToGrid w:val="0"/>
        <w:spacing w:line="560" w:lineRule="exact"/>
        <w:ind w:firstLine="640" w:firstLineChars="200"/>
        <w:rPr>
          <w:rFonts w:hint="eastAsia" w:ascii="Times New Roman" w:eastAsia="仿宋_GB2312"/>
          <w:b w:val="0"/>
          <w:sz w:val="32"/>
          <w:szCs w:val="32"/>
          <w:lang w:val="en-US" w:eastAsia="zh-CN"/>
        </w:rPr>
      </w:pPr>
      <w:r>
        <w:rPr>
          <w:rFonts w:hint="eastAsia" w:ascii="仿宋_GB2312" w:hAnsi="仿宋_GB2312" w:eastAsia="仿宋_GB2312" w:cs="仿宋_GB2312"/>
          <w:color w:val="000000" w:themeColor="text1" w:themeShade="80"/>
          <w:sz w:val="32"/>
          <w:szCs w:val="32"/>
          <w:highlight w:val="none"/>
          <w:lang w:val="en-US" w:eastAsia="zh-CN"/>
        </w:rPr>
        <w:t>公务用车购置经费</w:t>
      </w:r>
      <w:r>
        <w:rPr>
          <w:rFonts w:ascii="Times New Roman" w:eastAsia="仿宋_GB2312"/>
          <w:b w:val="0"/>
          <w:sz w:val="32"/>
          <w:szCs w:val="32"/>
        </w:rPr>
        <w:t>项目绩效自评情况：根据年初设定的绩效目标，</w:t>
      </w:r>
      <w:r>
        <w:rPr>
          <w:rFonts w:hint="eastAsia" w:ascii="仿宋_GB2312" w:hAnsi="仿宋_GB2312" w:eastAsia="仿宋_GB2312" w:cs="仿宋_GB2312"/>
          <w:color w:val="000000" w:themeColor="text1" w:themeShade="80"/>
          <w:sz w:val="32"/>
          <w:szCs w:val="32"/>
          <w:highlight w:val="none"/>
          <w:lang w:val="en-US" w:eastAsia="zh-CN"/>
        </w:rPr>
        <w:t>公务用车购置经费</w:t>
      </w:r>
      <w:r>
        <w:rPr>
          <w:rFonts w:ascii="Times New Roman" w:eastAsia="仿宋_GB2312"/>
          <w:b w:val="0"/>
          <w:sz w:val="32"/>
          <w:szCs w:val="32"/>
        </w:rPr>
        <w:t>项目绩效自评得分为</w:t>
      </w:r>
      <w:r>
        <w:rPr>
          <w:rFonts w:hint="eastAsia" w:ascii="仿宋_GB2312" w:hAnsi="仿宋_GB2312" w:eastAsia="仿宋_GB2312" w:cs="仿宋_GB2312"/>
          <w:b w:val="0"/>
          <w:sz w:val="32"/>
          <w:szCs w:val="32"/>
          <w:lang w:val="en-US" w:eastAsia="zh-CN"/>
        </w:rPr>
        <w:t>100</w:t>
      </w:r>
      <w:r>
        <w:rPr>
          <w:rFonts w:ascii="Times New Roman" w:eastAsia="仿宋_GB2312"/>
          <w:b w:val="0"/>
          <w:sz w:val="32"/>
          <w:szCs w:val="32"/>
        </w:rPr>
        <w:t>分（绩效自评表附后）。全年预算数为</w:t>
      </w:r>
      <w:r>
        <w:rPr>
          <w:rFonts w:hint="eastAsia" w:ascii="仿宋_GB2312" w:hAnsi="仿宋_GB2312" w:eastAsia="仿宋_GB2312" w:cs="仿宋_GB2312"/>
          <w:color w:val="000000" w:themeColor="text1" w:themeShade="80"/>
          <w:sz w:val="32"/>
          <w:szCs w:val="32"/>
          <w:highlight w:val="none"/>
          <w:lang w:val="en-US" w:eastAsia="zh-CN"/>
        </w:rPr>
        <w:t>85.08</w:t>
      </w:r>
      <w:r>
        <w:rPr>
          <w:rFonts w:ascii="Times New Roman" w:eastAsia="仿宋_GB2312"/>
          <w:b w:val="0"/>
          <w:sz w:val="32"/>
          <w:szCs w:val="32"/>
        </w:rPr>
        <w:t>万元，执行数为</w:t>
      </w:r>
      <w:r>
        <w:rPr>
          <w:rFonts w:hint="eastAsia" w:ascii="仿宋_GB2312" w:hAnsi="仿宋_GB2312" w:eastAsia="仿宋_GB2312" w:cs="仿宋_GB2312"/>
          <w:color w:val="000000" w:themeColor="text1" w:themeShade="80"/>
          <w:sz w:val="32"/>
          <w:szCs w:val="32"/>
          <w:highlight w:val="none"/>
          <w:lang w:val="en-US" w:eastAsia="zh-CN"/>
        </w:rPr>
        <w:t>85.08</w:t>
      </w:r>
      <w:r>
        <w:rPr>
          <w:rFonts w:ascii="Times New Roman" w:eastAsia="仿宋_GB2312"/>
          <w:b w:val="0"/>
          <w:sz w:val="32"/>
          <w:szCs w:val="32"/>
        </w:rPr>
        <w:t>万元，完成预算</w:t>
      </w:r>
      <w:r>
        <w:rPr>
          <w:rFonts w:hint="eastAsia" w:ascii="仿宋_GB2312" w:hAnsi="仿宋_GB2312" w:eastAsia="仿宋_GB2312" w:cs="仿宋_GB2312"/>
          <w:b w:val="0"/>
          <w:sz w:val="32"/>
          <w:szCs w:val="32"/>
        </w:rPr>
        <w:t>的</w:t>
      </w:r>
      <w:r>
        <w:rPr>
          <w:rFonts w:hint="eastAsia" w:ascii="仿宋_GB2312" w:hAnsi="仿宋_GB2312" w:eastAsia="仿宋_GB2312" w:cs="仿宋_GB2312"/>
          <w:b w:val="0"/>
          <w:sz w:val="32"/>
          <w:szCs w:val="32"/>
          <w:lang w:val="en-US" w:eastAsia="zh-CN"/>
        </w:rPr>
        <w:t>100</w:t>
      </w:r>
      <w:r>
        <w:rPr>
          <w:rFonts w:hint="eastAsia" w:ascii="仿宋_GB2312" w:hAnsi="仿宋_GB2312" w:eastAsia="仿宋_GB2312" w:cs="仿宋_GB2312"/>
          <w:b w:val="0"/>
          <w:sz w:val="32"/>
          <w:szCs w:val="32"/>
        </w:rPr>
        <w:t>%</w:t>
      </w:r>
      <w:r>
        <w:rPr>
          <w:rFonts w:ascii="Times New Roman" w:eastAsia="仿宋_GB2312"/>
          <w:b w:val="0"/>
          <w:sz w:val="32"/>
          <w:szCs w:val="32"/>
        </w:rPr>
        <w:t>。</w:t>
      </w:r>
      <w:r>
        <w:rPr>
          <w:rFonts w:hint="eastAsia" w:ascii="Times New Roman" w:eastAsia="仿宋_GB2312"/>
          <w:b w:val="0"/>
          <w:sz w:val="32"/>
          <w:szCs w:val="32"/>
          <w:lang w:val="en-US" w:eastAsia="zh-CN"/>
        </w:rPr>
        <w:t>通过项目实施，完成了年初设定的各项绩效目标，完成了</w:t>
      </w:r>
      <w:r>
        <w:rPr>
          <w:rFonts w:hint="eastAsia" w:ascii="仿宋_GB2312" w:hAnsi="仿宋_GB2312" w:eastAsia="仿宋_GB2312" w:cs="仿宋_GB2312"/>
          <w:color w:val="000000" w:themeColor="text1" w:themeShade="80"/>
          <w:sz w:val="32"/>
          <w:szCs w:val="32"/>
          <w:highlight w:val="none"/>
          <w:lang w:val="en-US" w:eastAsia="zh-CN"/>
        </w:rPr>
        <w:t>公务用车的购置，提升了单位执法执勤能力</w:t>
      </w:r>
      <w:r>
        <w:rPr>
          <w:rFonts w:hint="eastAsia" w:ascii="Times New Roman" w:eastAsia="仿宋_GB2312"/>
          <w:b w:val="0"/>
          <w:sz w:val="32"/>
          <w:szCs w:val="32"/>
          <w:lang w:val="en-US" w:eastAsia="zh-CN"/>
        </w:rPr>
        <w:t>。未发现问题。</w:t>
      </w:r>
    </w:p>
    <w:p>
      <w:pPr>
        <w:widowControl/>
        <w:spacing w:before="0" w:beforeLines="0" w:beforeAutospacing="0" w:after="0" w:afterLines="0" w:afterAutospacing="0" w:line="360" w:lineRule="auto"/>
        <w:ind w:firstLine="643" w:firstLineChars="200"/>
        <w:jc w:val="both"/>
        <w:rPr>
          <w:rFonts w:hint="eastAsia" w:ascii="Times New Roman" w:eastAsia="仿宋_GB2312"/>
          <w:b/>
          <w:sz w:val="32"/>
          <w:szCs w:val="32"/>
          <w:lang w:val="en-US" w:eastAsia="zh-CN"/>
        </w:rPr>
      </w:pPr>
      <w:r>
        <w:rPr>
          <w:rFonts w:hint="eastAsia" w:ascii="Times New Roman" w:eastAsia="仿宋_GB2312"/>
          <w:b/>
          <w:sz w:val="32"/>
          <w:szCs w:val="32"/>
          <w:lang w:val="en-US" w:eastAsia="zh-CN"/>
        </w:rPr>
        <w:t>附绩效自评表如下：</w:t>
      </w:r>
    </w:p>
    <w:p>
      <w:pPr>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br w:type="page"/>
      </w:r>
    </w:p>
    <w:p>
      <w:pPr>
        <w:widowControl/>
        <w:spacing w:before="0" w:beforeLines="0" w:beforeAutospacing="0" w:after="0" w:afterLines="0" w:afterAutospacing="0" w:line="360" w:lineRule="auto"/>
        <w:ind w:firstLine="640" w:firstLineChars="200"/>
        <w:jc w:val="both"/>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办案业务及培训费</w:t>
      </w:r>
    </w:p>
    <w:tbl>
      <w:tblPr>
        <w:tblW w:w="11025" w:type="dxa"/>
        <w:jc w:val="center"/>
        <w:tblInd w:w="-961" w:type="dxa"/>
        <w:shd w:val="clear"/>
        <w:tblLayout w:type="fixed"/>
        <w:tblCellMar>
          <w:top w:w="0" w:type="dxa"/>
          <w:left w:w="0" w:type="dxa"/>
          <w:bottom w:w="0" w:type="dxa"/>
          <w:right w:w="0" w:type="dxa"/>
        </w:tblCellMar>
      </w:tblPr>
      <w:tblGrid>
        <w:gridCol w:w="1365"/>
        <w:gridCol w:w="1155"/>
        <w:gridCol w:w="1140"/>
        <w:gridCol w:w="1545"/>
        <w:gridCol w:w="1620"/>
        <w:gridCol w:w="1245"/>
        <w:gridCol w:w="1335"/>
        <w:gridCol w:w="1620"/>
      </w:tblGrid>
      <w:tr>
        <w:tblPrEx>
          <w:shd w:val="clear"/>
          <w:tblLayout w:type="fixed"/>
          <w:tblCellMar>
            <w:top w:w="0" w:type="dxa"/>
            <w:left w:w="0" w:type="dxa"/>
            <w:bottom w:w="0" w:type="dxa"/>
            <w:right w:w="0" w:type="dxa"/>
          </w:tblCellMar>
        </w:tblPrEx>
        <w:trPr>
          <w:trHeight w:val="23" w:hRule="atLeast"/>
          <w:jc w:val="center"/>
        </w:trPr>
        <w:tc>
          <w:tcPr>
            <w:tcW w:w="11025"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shd w:val="clear"/>
          <w:tblLayout w:type="fixed"/>
          <w:tblCellMar>
            <w:top w:w="0" w:type="dxa"/>
            <w:left w:w="0" w:type="dxa"/>
            <w:bottom w:w="0" w:type="dxa"/>
            <w:right w:w="0" w:type="dxa"/>
          </w:tblCellMar>
        </w:tblPrEx>
        <w:trPr>
          <w:trHeight w:val="23" w:hRule="atLeast"/>
          <w:jc w:val="center"/>
        </w:trPr>
        <w:tc>
          <w:tcPr>
            <w:tcW w:w="11025"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shd w:val="clear"/>
          <w:tblLayout w:type="fixed"/>
          <w:tblCellMar>
            <w:top w:w="0" w:type="dxa"/>
            <w:left w:w="0" w:type="dxa"/>
            <w:bottom w:w="0" w:type="dxa"/>
            <w:right w:w="0" w:type="dxa"/>
          </w:tblCellMar>
        </w:tblPrEx>
        <w:trPr>
          <w:trHeight w:val="23" w:hRule="atLeast"/>
          <w:jc w:val="center"/>
        </w:trPr>
        <w:tc>
          <w:tcPr>
            <w:tcW w:w="3660"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shd w:val="clear"/>
          <w:tblLayout w:type="fixed"/>
          <w:tblCellMar>
            <w:top w:w="0" w:type="dxa"/>
            <w:left w:w="0" w:type="dxa"/>
            <w:bottom w:w="0" w:type="dxa"/>
            <w:right w:w="0" w:type="dxa"/>
          </w:tblCellMar>
        </w:tblPrEx>
        <w:trPr>
          <w:trHeight w:val="23"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办案业务及培训费</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（不是专项资金）</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shd w:val="clear"/>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85.20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85.20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85.20 </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85.20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85.20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85.20 </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shd w:val="clear"/>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shd w:val="clear"/>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通过日常警务实战训练的开展，保障任务的完成。</w:t>
            </w:r>
          </w:p>
        </w:tc>
        <w:tc>
          <w:tcPr>
            <w:tcW w:w="4200"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shd w:val="clear"/>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200"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训练次数</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≥180次</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264次</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完成率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完成时间</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2024年12月底前</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2024年12月</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资金成本</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85.2万元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85.2万元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140"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Fonts w:hint="eastAsia" w:ascii="仿宋_GB2312" w:hAnsi="仿宋_GB2312" w:eastAsia="仿宋_GB2312" w:cs="仿宋_GB2312"/>
                <w:i w:val="0"/>
                <w:color w:val="000000"/>
                <w:kern w:val="0"/>
                <w:sz w:val="20"/>
                <w:szCs w:val="20"/>
                <w:u w:val="none"/>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维护社会治安稳定</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保障得到提升</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nil"/>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40"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可持续影响指标</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特警影响力</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特警在人民心目中形象较上年提升</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140"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16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使用人员满意度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040"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23"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660"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警用航空装备购置经费</w:t>
      </w:r>
    </w:p>
    <w:tbl>
      <w:tblPr>
        <w:tblW w:w="11090" w:type="dxa"/>
        <w:jc w:val="center"/>
        <w:tblInd w:w="-994" w:type="dxa"/>
        <w:shd w:val="clear"/>
        <w:tblLayout w:type="fixed"/>
        <w:tblCellMar>
          <w:top w:w="0" w:type="dxa"/>
          <w:left w:w="0" w:type="dxa"/>
          <w:bottom w:w="0" w:type="dxa"/>
          <w:right w:w="0" w:type="dxa"/>
        </w:tblCellMar>
      </w:tblPr>
      <w:tblGrid>
        <w:gridCol w:w="1365"/>
        <w:gridCol w:w="1155"/>
        <w:gridCol w:w="1226"/>
        <w:gridCol w:w="1545"/>
        <w:gridCol w:w="1599"/>
        <w:gridCol w:w="1245"/>
        <w:gridCol w:w="1335"/>
        <w:gridCol w:w="1620"/>
      </w:tblGrid>
      <w:tr>
        <w:tblPrEx>
          <w:shd w:val="clear"/>
          <w:tblLayout w:type="fixed"/>
          <w:tblCellMar>
            <w:top w:w="0" w:type="dxa"/>
            <w:left w:w="0" w:type="dxa"/>
            <w:bottom w:w="0" w:type="dxa"/>
            <w:right w:w="0" w:type="dxa"/>
          </w:tblCellMar>
        </w:tblPrEx>
        <w:trPr>
          <w:trHeight w:val="23" w:hRule="atLeast"/>
          <w:jc w:val="center"/>
        </w:trPr>
        <w:tc>
          <w:tcPr>
            <w:tcW w:w="11090"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tblLayout w:type="fixed"/>
          <w:tblCellMar>
            <w:top w:w="0" w:type="dxa"/>
            <w:left w:w="0" w:type="dxa"/>
            <w:bottom w:w="0" w:type="dxa"/>
            <w:right w:w="0" w:type="dxa"/>
          </w:tblCellMar>
        </w:tblPrEx>
        <w:trPr>
          <w:trHeight w:val="23" w:hRule="atLeast"/>
          <w:jc w:val="center"/>
        </w:trPr>
        <w:tc>
          <w:tcPr>
            <w:tcW w:w="11090"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tblLayout w:type="fixed"/>
          <w:tblCellMar>
            <w:top w:w="0" w:type="dxa"/>
            <w:left w:w="0" w:type="dxa"/>
            <w:bottom w:w="0" w:type="dxa"/>
            <w:right w:w="0" w:type="dxa"/>
          </w:tblCellMar>
        </w:tblPrEx>
        <w:trPr>
          <w:trHeight w:val="23" w:hRule="atLeast"/>
          <w:jc w:val="center"/>
        </w:trPr>
        <w:tc>
          <w:tcPr>
            <w:tcW w:w="3746"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99"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tblLayout w:type="fixed"/>
          <w:tblCellMar>
            <w:top w:w="0" w:type="dxa"/>
            <w:left w:w="0" w:type="dxa"/>
            <w:bottom w:w="0" w:type="dxa"/>
            <w:right w:w="0" w:type="dxa"/>
          </w:tblCellMar>
        </w:tblPrEx>
        <w:trPr>
          <w:trHeight w:val="23"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77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警用航空装备购置经费</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（专项资金）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38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50.00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50.00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49.21</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98%</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50.00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50.00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49.21</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926"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179"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通过对警用航空装备的购置，保障了各类指挥和群体性事件处置的正常进行。</w:t>
            </w:r>
          </w:p>
        </w:tc>
        <w:tc>
          <w:tcPr>
            <w:tcW w:w="4179"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98%</w:t>
            </w: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22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航空装备的数量</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≥20件</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20件</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航空装备的合格率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采购完成时间</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2024年12月底前完成</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2024年12月</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预算控制数</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50万元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49.21万元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9.8</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Style w:val="25"/>
                <w:rFonts w:hint="eastAsia" w:ascii="仿宋_GB2312" w:hAnsi="仿宋_GB2312" w:eastAsia="仿宋_GB2312" w:cs="仿宋_GB2312"/>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提升单位指挥和群体性事件处置的能力</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购置对单位指挥和群体性事件处置能力是否提升</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单位服务对象的满意度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105"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99.8</w:t>
            </w:r>
          </w:p>
        </w:tc>
      </w:tr>
      <w:tr>
        <w:tblPrEx>
          <w:tblLayout w:type="fixed"/>
          <w:tblCellMar>
            <w:top w:w="0" w:type="dxa"/>
            <w:left w:w="0" w:type="dxa"/>
            <w:bottom w:w="0" w:type="dxa"/>
            <w:right w:w="0" w:type="dxa"/>
          </w:tblCellMar>
        </w:tblPrEx>
        <w:trPr>
          <w:trHeight w:val="23"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725"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br w:type="page"/>
      </w: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委托业务费</w:t>
      </w:r>
    </w:p>
    <w:tbl>
      <w:tblPr>
        <w:tblW w:w="11004" w:type="dxa"/>
        <w:jc w:val="center"/>
        <w:tblInd w:w="-951" w:type="dxa"/>
        <w:shd w:val="clear"/>
        <w:tblLayout w:type="fixed"/>
        <w:tblCellMar>
          <w:top w:w="0" w:type="dxa"/>
          <w:left w:w="0" w:type="dxa"/>
          <w:bottom w:w="0" w:type="dxa"/>
          <w:right w:w="0" w:type="dxa"/>
        </w:tblCellMar>
      </w:tblPr>
      <w:tblGrid>
        <w:gridCol w:w="1365"/>
        <w:gridCol w:w="1155"/>
        <w:gridCol w:w="1140"/>
        <w:gridCol w:w="1545"/>
        <w:gridCol w:w="1599"/>
        <w:gridCol w:w="1245"/>
        <w:gridCol w:w="1335"/>
        <w:gridCol w:w="1620"/>
      </w:tblGrid>
      <w:tr>
        <w:tblPrEx>
          <w:shd w:val="clear"/>
          <w:tblLayout w:type="fixed"/>
          <w:tblCellMar>
            <w:top w:w="0" w:type="dxa"/>
            <w:left w:w="0" w:type="dxa"/>
            <w:bottom w:w="0" w:type="dxa"/>
            <w:right w:w="0" w:type="dxa"/>
          </w:tblCellMar>
        </w:tblPrEx>
        <w:trPr>
          <w:trHeight w:val="540" w:hRule="atLeast"/>
          <w:jc w:val="center"/>
        </w:trPr>
        <w:tc>
          <w:tcPr>
            <w:tcW w:w="11004"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tblLayout w:type="fixed"/>
          <w:tblCellMar>
            <w:top w:w="0" w:type="dxa"/>
            <w:left w:w="0" w:type="dxa"/>
            <w:bottom w:w="0" w:type="dxa"/>
            <w:right w:w="0" w:type="dxa"/>
          </w:tblCellMar>
        </w:tblPrEx>
        <w:trPr>
          <w:trHeight w:val="315" w:hRule="atLeast"/>
          <w:jc w:val="center"/>
        </w:trPr>
        <w:tc>
          <w:tcPr>
            <w:tcW w:w="11004"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shd w:val="clear"/>
          <w:tblLayout w:type="fixed"/>
          <w:tblCellMar>
            <w:top w:w="0" w:type="dxa"/>
            <w:left w:w="0" w:type="dxa"/>
            <w:bottom w:w="0" w:type="dxa"/>
            <w:right w:w="0" w:type="dxa"/>
          </w:tblCellMar>
        </w:tblPrEx>
        <w:trPr>
          <w:trHeight w:val="260" w:hRule="atLeast"/>
          <w:jc w:val="center"/>
        </w:trPr>
        <w:tc>
          <w:tcPr>
            <w:tcW w:w="3660"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99"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tblLayout w:type="fixed"/>
          <w:tblCellMar>
            <w:top w:w="0" w:type="dxa"/>
            <w:left w:w="0" w:type="dxa"/>
            <w:bottom w:w="0" w:type="dxa"/>
            <w:right w:w="0"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68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委托业务费</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（不是专项资金）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tblLayout w:type="fixed"/>
          <w:tblCellMar>
            <w:top w:w="0" w:type="dxa"/>
            <w:left w:w="0" w:type="dxa"/>
            <w:bottom w:w="0" w:type="dxa"/>
            <w:right w:w="0"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shd w:val="clear"/>
          <w:tblLayout w:type="fixed"/>
          <w:tblCellMar>
            <w:top w:w="0" w:type="dxa"/>
            <w:left w:w="0" w:type="dxa"/>
            <w:bottom w:w="0" w:type="dxa"/>
            <w:right w:w="0"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149.80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149.80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149.73</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149.80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149.80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149.73</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84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179"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840"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通过对单位办公场所的维护，保障单位办公场所的正常运行。</w:t>
            </w:r>
          </w:p>
        </w:tc>
        <w:tc>
          <w:tcPr>
            <w:tcW w:w="4179"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840"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20"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shd w:val="clear"/>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委托业务数量</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≥5个</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15个</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服务合格率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提供服务时间</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2024年1月-12月</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一年</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4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资金成本</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149.80万元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149.73万元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84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140"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Fonts w:hint="eastAsia" w:ascii="仿宋_GB2312" w:hAnsi="仿宋_GB2312" w:eastAsia="仿宋_GB2312" w:cs="仿宋_GB2312"/>
                <w:i w:val="0"/>
                <w:color w:val="000000"/>
                <w:kern w:val="0"/>
                <w:sz w:val="20"/>
                <w:szCs w:val="20"/>
                <w:u w:val="none"/>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72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办公环境改善</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单位办公环境水平较上年改善</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得到改善</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40</w:t>
            </w:r>
          </w:p>
        </w:tc>
      </w:tr>
      <w:tr>
        <w:tblPrEx>
          <w:shd w:val="clear"/>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140"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单位人员的满意度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019"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800"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639"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特警支队辅警劳务费</w:t>
      </w:r>
    </w:p>
    <w:tbl>
      <w:tblPr>
        <w:tblW w:w="11090" w:type="dxa"/>
        <w:jc w:val="center"/>
        <w:tblInd w:w="-994" w:type="dxa"/>
        <w:shd w:val="clear"/>
        <w:tblLayout w:type="fixed"/>
        <w:tblCellMar>
          <w:top w:w="0" w:type="dxa"/>
          <w:left w:w="0" w:type="dxa"/>
          <w:bottom w:w="0" w:type="dxa"/>
          <w:right w:w="0" w:type="dxa"/>
        </w:tblCellMar>
      </w:tblPr>
      <w:tblGrid>
        <w:gridCol w:w="1365"/>
        <w:gridCol w:w="1155"/>
        <w:gridCol w:w="1226"/>
        <w:gridCol w:w="1545"/>
        <w:gridCol w:w="1599"/>
        <w:gridCol w:w="1245"/>
        <w:gridCol w:w="1335"/>
        <w:gridCol w:w="1620"/>
      </w:tblGrid>
      <w:tr>
        <w:tblPrEx>
          <w:shd w:val="clear"/>
          <w:tblLayout w:type="fixed"/>
          <w:tblCellMar>
            <w:top w:w="0" w:type="dxa"/>
            <w:left w:w="0" w:type="dxa"/>
            <w:bottom w:w="0" w:type="dxa"/>
            <w:right w:w="0" w:type="dxa"/>
          </w:tblCellMar>
        </w:tblPrEx>
        <w:trPr>
          <w:trHeight w:val="23" w:hRule="atLeast"/>
          <w:jc w:val="center"/>
        </w:trPr>
        <w:tc>
          <w:tcPr>
            <w:tcW w:w="11090"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tblLayout w:type="fixed"/>
          <w:tblCellMar>
            <w:top w:w="0" w:type="dxa"/>
            <w:left w:w="0" w:type="dxa"/>
            <w:bottom w:w="0" w:type="dxa"/>
            <w:right w:w="0" w:type="dxa"/>
          </w:tblCellMar>
        </w:tblPrEx>
        <w:trPr>
          <w:trHeight w:val="23" w:hRule="atLeast"/>
          <w:jc w:val="center"/>
        </w:trPr>
        <w:tc>
          <w:tcPr>
            <w:tcW w:w="11090"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tblLayout w:type="fixed"/>
          <w:tblCellMar>
            <w:top w:w="0" w:type="dxa"/>
            <w:left w:w="0" w:type="dxa"/>
            <w:bottom w:w="0" w:type="dxa"/>
            <w:right w:w="0" w:type="dxa"/>
          </w:tblCellMar>
        </w:tblPrEx>
        <w:trPr>
          <w:trHeight w:val="23" w:hRule="atLeast"/>
          <w:jc w:val="center"/>
        </w:trPr>
        <w:tc>
          <w:tcPr>
            <w:tcW w:w="3746"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99"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tblLayout w:type="fixed"/>
          <w:tblCellMar>
            <w:top w:w="0" w:type="dxa"/>
            <w:left w:w="0" w:type="dxa"/>
            <w:bottom w:w="0" w:type="dxa"/>
            <w:right w:w="0" w:type="dxa"/>
          </w:tblCellMar>
        </w:tblPrEx>
        <w:trPr>
          <w:trHeight w:val="23"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77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特警支队辅警劳务费</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（专项资金）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38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1217.57</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1217.57</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1216.69</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1217.57</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1217.57</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1216.69</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shd w:val="clear"/>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926"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179"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通过对单位辅警人员劳务费用的发放，提高了单位的整体战斗力。</w:t>
            </w:r>
          </w:p>
        </w:tc>
        <w:tc>
          <w:tcPr>
            <w:tcW w:w="4179"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22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在职人数</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≤400人</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167人</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发放效率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发放时间</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每个月月底前发放</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月底前已发放</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资金成本</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1217.57万元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1216.69万元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Fonts w:hint="eastAsia" w:ascii="仿宋_GB2312" w:hAnsi="仿宋_GB2312" w:eastAsia="仿宋_GB2312" w:cs="仿宋_GB2312"/>
                <w:i w:val="0"/>
                <w:color w:val="000000"/>
                <w:kern w:val="0"/>
                <w:sz w:val="20"/>
                <w:szCs w:val="20"/>
                <w:u w:val="none"/>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维护社会治安</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≥200次</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491次</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服务对象的满意度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105"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23"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725"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br w:type="page"/>
      </w: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专用设备购置费</w:t>
      </w:r>
    </w:p>
    <w:tbl>
      <w:tblPr>
        <w:tblW w:w="11090" w:type="dxa"/>
        <w:jc w:val="center"/>
        <w:tblInd w:w="-994" w:type="dxa"/>
        <w:shd w:val="clear"/>
        <w:tblLayout w:type="fixed"/>
        <w:tblCellMar>
          <w:top w:w="0" w:type="dxa"/>
          <w:left w:w="0" w:type="dxa"/>
          <w:bottom w:w="0" w:type="dxa"/>
          <w:right w:w="0" w:type="dxa"/>
        </w:tblCellMar>
      </w:tblPr>
      <w:tblGrid>
        <w:gridCol w:w="1365"/>
        <w:gridCol w:w="1155"/>
        <w:gridCol w:w="1226"/>
        <w:gridCol w:w="1545"/>
        <w:gridCol w:w="1599"/>
        <w:gridCol w:w="1245"/>
        <w:gridCol w:w="1335"/>
        <w:gridCol w:w="1620"/>
      </w:tblGrid>
      <w:tr>
        <w:tblPrEx>
          <w:tblLayout w:type="fixed"/>
          <w:tblCellMar>
            <w:top w:w="0" w:type="dxa"/>
            <w:left w:w="0" w:type="dxa"/>
            <w:bottom w:w="0" w:type="dxa"/>
            <w:right w:w="0" w:type="dxa"/>
          </w:tblCellMar>
        </w:tblPrEx>
        <w:trPr>
          <w:trHeight w:val="540" w:hRule="atLeast"/>
          <w:jc w:val="center"/>
        </w:trPr>
        <w:tc>
          <w:tcPr>
            <w:tcW w:w="11090"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shd w:val="clear"/>
          <w:tblLayout w:type="fixed"/>
          <w:tblCellMar>
            <w:top w:w="0" w:type="dxa"/>
            <w:left w:w="0" w:type="dxa"/>
            <w:bottom w:w="0" w:type="dxa"/>
            <w:right w:w="0" w:type="dxa"/>
          </w:tblCellMar>
        </w:tblPrEx>
        <w:trPr>
          <w:trHeight w:val="315" w:hRule="atLeast"/>
          <w:jc w:val="center"/>
        </w:trPr>
        <w:tc>
          <w:tcPr>
            <w:tcW w:w="11090"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shd w:val="clear"/>
          <w:tblLayout w:type="fixed"/>
          <w:tblCellMar>
            <w:top w:w="0" w:type="dxa"/>
            <w:left w:w="0" w:type="dxa"/>
            <w:bottom w:w="0" w:type="dxa"/>
            <w:right w:w="0" w:type="dxa"/>
          </w:tblCellMar>
        </w:tblPrEx>
        <w:trPr>
          <w:trHeight w:val="260" w:hRule="atLeast"/>
          <w:jc w:val="center"/>
        </w:trPr>
        <w:tc>
          <w:tcPr>
            <w:tcW w:w="3746"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99"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tblLayout w:type="fixed"/>
          <w:tblCellMar>
            <w:top w:w="0" w:type="dxa"/>
            <w:left w:w="0" w:type="dxa"/>
            <w:bottom w:w="0" w:type="dxa"/>
            <w:right w:w="0"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77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专用设备购置费</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（专项资金）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tblLayout w:type="fixed"/>
          <w:tblCellMar>
            <w:top w:w="0" w:type="dxa"/>
            <w:left w:w="0" w:type="dxa"/>
            <w:bottom w:w="0" w:type="dxa"/>
            <w:right w:w="0"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38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tblLayout w:type="fixed"/>
          <w:tblCellMar>
            <w:top w:w="0" w:type="dxa"/>
            <w:left w:w="0" w:type="dxa"/>
            <w:bottom w:w="0" w:type="dxa"/>
            <w:right w:w="0"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53.27</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53.27</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53.27</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53.27</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53.27</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53.27</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926"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179"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通过对专用设备的购置，保障了各类指挥和办公的正常进行。</w:t>
            </w:r>
          </w:p>
        </w:tc>
        <w:tc>
          <w:tcPr>
            <w:tcW w:w="4179"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20"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22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设备购置的数量</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≥100个</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120个</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设备购置的合格率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设备到位的时间</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2024年12月底之前</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2024年12月</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预算控制数</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53.27万元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53.27万元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84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Fonts w:hint="eastAsia" w:ascii="仿宋_GB2312" w:hAnsi="仿宋_GB2312" w:eastAsia="仿宋_GB2312" w:cs="仿宋_GB2312"/>
                <w:i w:val="0"/>
                <w:color w:val="000000"/>
                <w:kern w:val="0"/>
                <w:sz w:val="20"/>
                <w:szCs w:val="20"/>
                <w:u w:val="none"/>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提升单位指挥和办公水平</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40</w:t>
            </w:r>
          </w:p>
        </w:tc>
      </w:tr>
      <w:tr>
        <w:tblPrEx>
          <w:shd w:val="clear"/>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单位服务对象的满意度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105"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800"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725"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特警支队修缮改造项目资金</w:t>
      </w:r>
    </w:p>
    <w:tbl>
      <w:tblPr>
        <w:tblW w:w="11090" w:type="dxa"/>
        <w:jc w:val="center"/>
        <w:tblInd w:w="-994" w:type="dxa"/>
        <w:shd w:val="clear"/>
        <w:tblLayout w:type="fixed"/>
        <w:tblCellMar>
          <w:top w:w="0" w:type="dxa"/>
          <w:left w:w="0" w:type="dxa"/>
          <w:bottom w:w="0" w:type="dxa"/>
          <w:right w:w="0" w:type="dxa"/>
        </w:tblCellMar>
      </w:tblPr>
      <w:tblGrid>
        <w:gridCol w:w="1365"/>
        <w:gridCol w:w="1155"/>
        <w:gridCol w:w="1226"/>
        <w:gridCol w:w="1545"/>
        <w:gridCol w:w="1599"/>
        <w:gridCol w:w="1245"/>
        <w:gridCol w:w="1335"/>
        <w:gridCol w:w="1620"/>
      </w:tblGrid>
      <w:tr>
        <w:tblPrEx>
          <w:shd w:val="clear"/>
          <w:tblLayout w:type="fixed"/>
          <w:tblCellMar>
            <w:top w:w="0" w:type="dxa"/>
            <w:left w:w="0" w:type="dxa"/>
            <w:bottom w:w="0" w:type="dxa"/>
            <w:right w:w="0" w:type="dxa"/>
          </w:tblCellMar>
        </w:tblPrEx>
        <w:trPr>
          <w:trHeight w:val="23" w:hRule="atLeast"/>
          <w:jc w:val="center"/>
        </w:trPr>
        <w:tc>
          <w:tcPr>
            <w:tcW w:w="11090"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tblLayout w:type="fixed"/>
          <w:tblCellMar>
            <w:top w:w="0" w:type="dxa"/>
            <w:left w:w="0" w:type="dxa"/>
            <w:bottom w:w="0" w:type="dxa"/>
            <w:right w:w="0" w:type="dxa"/>
          </w:tblCellMar>
        </w:tblPrEx>
        <w:trPr>
          <w:trHeight w:val="23" w:hRule="atLeast"/>
          <w:jc w:val="center"/>
        </w:trPr>
        <w:tc>
          <w:tcPr>
            <w:tcW w:w="11090"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tblLayout w:type="fixed"/>
          <w:tblCellMar>
            <w:top w:w="0" w:type="dxa"/>
            <w:left w:w="0" w:type="dxa"/>
            <w:bottom w:w="0" w:type="dxa"/>
            <w:right w:w="0" w:type="dxa"/>
          </w:tblCellMar>
        </w:tblPrEx>
        <w:trPr>
          <w:trHeight w:val="23" w:hRule="atLeast"/>
          <w:jc w:val="center"/>
        </w:trPr>
        <w:tc>
          <w:tcPr>
            <w:tcW w:w="3746"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99"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tblLayout w:type="fixed"/>
          <w:tblCellMar>
            <w:top w:w="0" w:type="dxa"/>
            <w:left w:w="0" w:type="dxa"/>
            <w:bottom w:w="0" w:type="dxa"/>
            <w:right w:w="0" w:type="dxa"/>
          </w:tblCellMar>
        </w:tblPrEx>
        <w:trPr>
          <w:trHeight w:val="23"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77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特警支队修缮改造项目资金</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（专项资金）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shd w:val="clear"/>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38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193.32</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193.32</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192.73</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193.32</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193.32</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192.73</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926"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179"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通过对支队3号楼的修缮改造，提高支队的整体环境，保障正常的工作秩序。</w:t>
            </w:r>
          </w:p>
        </w:tc>
        <w:tc>
          <w:tcPr>
            <w:tcW w:w="4179"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22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修缮工程量</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1个</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1个</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工程质量合格率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施工时限</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资金成本</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193.32万元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192.73万元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Fonts w:hint="eastAsia" w:ascii="仿宋_GB2312" w:hAnsi="仿宋_GB2312" w:eastAsia="仿宋_GB2312" w:cs="仿宋_GB2312"/>
                <w:i w:val="0"/>
                <w:color w:val="000000"/>
                <w:kern w:val="0"/>
                <w:sz w:val="20"/>
                <w:szCs w:val="20"/>
                <w:u w:val="none"/>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提升单位的办公水平</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服务对象满意度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105"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23"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725"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br w:type="page"/>
      </w: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物业管理费</w:t>
      </w:r>
    </w:p>
    <w:tbl>
      <w:tblPr>
        <w:tblW w:w="11090" w:type="dxa"/>
        <w:jc w:val="center"/>
        <w:tblInd w:w="-994" w:type="dxa"/>
        <w:shd w:val="clear"/>
        <w:tblLayout w:type="fixed"/>
        <w:tblCellMar>
          <w:top w:w="0" w:type="dxa"/>
          <w:left w:w="0" w:type="dxa"/>
          <w:bottom w:w="0" w:type="dxa"/>
          <w:right w:w="0" w:type="dxa"/>
        </w:tblCellMar>
      </w:tblPr>
      <w:tblGrid>
        <w:gridCol w:w="1365"/>
        <w:gridCol w:w="1155"/>
        <w:gridCol w:w="1226"/>
        <w:gridCol w:w="1545"/>
        <w:gridCol w:w="1599"/>
        <w:gridCol w:w="1245"/>
        <w:gridCol w:w="1335"/>
        <w:gridCol w:w="1620"/>
      </w:tblGrid>
      <w:tr>
        <w:tblPrEx>
          <w:shd w:val="clear"/>
          <w:tblLayout w:type="fixed"/>
          <w:tblCellMar>
            <w:top w:w="0" w:type="dxa"/>
            <w:left w:w="0" w:type="dxa"/>
            <w:bottom w:w="0" w:type="dxa"/>
            <w:right w:w="0" w:type="dxa"/>
          </w:tblCellMar>
        </w:tblPrEx>
        <w:trPr>
          <w:trHeight w:val="23" w:hRule="atLeast"/>
          <w:jc w:val="center"/>
        </w:trPr>
        <w:tc>
          <w:tcPr>
            <w:tcW w:w="11090"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tblLayout w:type="fixed"/>
          <w:tblCellMar>
            <w:top w:w="0" w:type="dxa"/>
            <w:left w:w="0" w:type="dxa"/>
            <w:bottom w:w="0" w:type="dxa"/>
            <w:right w:w="0" w:type="dxa"/>
          </w:tblCellMar>
        </w:tblPrEx>
        <w:trPr>
          <w:trHeight w:val="23" w:hRule="atLeast"/>
          <w:jc w:val="center"/>
        </w:trPr>
        <w:tc>
          <w:tcPr>
            <w:tcW w:w="11090"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tblLayout w:type="fixed"/>
          <w:tblCellMar>
            <w:top w:w="0" w:type="dxa"/>
            <w:left w:w="0" w:type="dxa"/>
            <w:bottom w:w="0" w:type="dxa"/>
            <w:right w:w="0" w:type="dxa"/>
          </w:tblCellMar>
        </w:tblPrEx>
        <w:trPr>
          <w:trHeight w:val="23" w:hRule="atLeast"/>
          <w:jc w:val="center"/>
        </w:trPr>
        <w:tc>
          <w:tcPr>
            <w:tcW w:w="3746"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99"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tblLayout w:type="fixed"/>
          <w:tblCellMar>
            <w:top w:w="0" w:type="dxa"/>
            <w:left w:w="0" w:type="dxa"/>
            <w:bottom w:w="0" w:type="dxa"/>
            <w:right w:w="0" w:type="dxa"/>
          </w:tblCellMar>
        </w:tblPrEx>
        <w:trPr>
          <w:trHeight w:val="23"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77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物业管理费</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（专项资金）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shd w:val="clear"/>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38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77.11</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77.11</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77.11</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77.11</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77.11</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77.11</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926"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179"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通过物业服务的管理，支队办公环境进一步优化。</w:t>
            </w:r>
          </w:p>
        </w:tc>
        <w:tc>
          <w:tcPr>
            <w:tcW w:w="4179"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312"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23"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22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物业服务天数</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365天</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365天</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物业服务质量</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物业服务的时间</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成本总量控制</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77.11万元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77.11万元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Fonts w:hint="eastAsia" w:ascii="仿宋_GB2312" w:hAnsi="仿宋_GB2312" w:eastAsia="仿宋_GB2312" w:cs="仿宋_GB2312"/>
                <w:i w:val="0"/>
                <w:color w:val="000000"/>
                <w:kern w:val="0"/>
                <w:sz w:val="20"/>
                <w:szCs w:val="20"/>
                <w:u w:val="none"/>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单位院落提升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40</w:t>
            </w:r>
          </w:p>
        </w:tc>
      </w:tr>
      <w:tr>
        <w:tblPrEx>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单位被服务人员满意度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3"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105"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23"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725"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br w:type="page"/>
      </w: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警用服装和装备购置经费</w:t>
      </w:r>
    </w:p>
    <w:tbl>
      <w:tblPr>
        <w:tblW w:w="11090" w:type="dxa"/>
        <w:jc w:val="center"/>
        <w:tblInd w:w="-994" w:type="dxa"/>
        <w:shd w:val="clear"/>
        <w:tblLayout w:type="fixed"/>
        <w:tblCellMar>
          <w:top w:w="0" w:type="dxa"/>
          <w:left w:w="0" w:type="dxa"/>
          <w:bottom w:w="0" w:type="dxa"/>
          <w:right w:w="0" w:type="dxa"/>
        </w:tblCellMar>
      </w:tblPr>
      <w:tblGrid>
        <w:gridCol w:w="1365"/>
        <w:gridCol w:w="1155"/>
        <w:gridCol w:w="1226"/>
        <w:gridCol w:w="1545"/>
        <w:gridCol w:w="1599"/>
        <w:gridCol w:w="1245"/>
        <w:gridCol w:w="1335"/>
        <w:gridCol w:w="1620"/>
      </w:tblGrid>
      <w:tr>
        <w:tblPrEx>
          <w:shd w:val="clear"/>
          <w:tblLayout w:type="fixed"/>
          <w:tblCellMar>
            <w:top w:w="0" w:type="dxa"/>
            <w:left w:w="0" w:type="dxa"/>
            <w:bottom w:w="0" w:type="dxa"/>
            <w:right w:w="0" w:type="dxa"/>
          </w:tblCellMar>
        </w:tblPrEx>
        <w:trPr>
          <w:trHeight w:val="540" w:hRule="atLeast"/>
          <w:jc w:val="center"/>
        </w:trPr>
        <w:tc>
          <w:tcPr>
            <w:tcW w:w="11090"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tblLayout w:type="fixed"/>
          <w:tblCellMar>
            <w:top w:w="0" w:type="dxa"/>
            <w:left w:w="0" w:type="dxa"/>
            <w:bottom w:w="0" w:type="dxa"/>
            <w:right w:w="0" w:type="dxa"/>
          </w:tblCellMar>
        </w:tblPrEx>
        <w:trPr>
          <w:trHeight w:val="315" w:hRule="atLeast"/>
          <w:jc w:val="center"/>
        </w:trPr>
        <w:tc>
          <w:tcPr>
            <w:tcW w:w="11090"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shd w:val="clear"/>
          <w:tblLayout w:type="fixed"/>
          <w:tblCellMar>
            <w:top w:w="0" w:type="dxa"/>
            <w:left w:w="0" w:type="dxa"/>
            <w:bottom w:w="0" w:type="dxa"/>
            <w:right w:w="0" w:type="dxa"/>
          </w:tblCellMar>
        </w:tblPrEx>
        <w:trPr>
          <w:trHeight w:val="260" w:hRule="atLeast"/>
          <w:jc w:val="center"/>
        </w:trPr>
        <w:tc>
          <w:tcPr>
            <w:tcW w:w="3746"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99"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tblLayout w:type="fixed"/>
          <w:tblCellMar>
            <w:top w:w="0" w:type="dxa"/>
            <w:left w:w="0" w:type="dxa"/>
            <w:bottom w:w="0" w:type="dxa"/>
            <w:right w:w="0"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77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警用服装和装备购置经费</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（专项资金）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tblLayout w:type="fixed"/>
          <w:tblCellMar>
            <w:top w:w="0" w:type="dxa"/>
            <w:left w:w="0" w:type="dxa"/>
            <w:bottom w:w="0" w:type="dxa"/>
            <w:right w:w="0"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38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shd w:val="clear"/>
          <w:tblLayout w:type="fixed"/>
          <w:tblCellMar>
            <w:top w:w="0" w:type="dxa"/>
            <w:left w:w="0" w:type="dxa"/>
            <w:bottom w:w="0" w:type="dxa"/>
            <w:right w:w="0"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200.00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200.00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200.00 </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200.00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200.00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200.00 </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shd w:val="clear"/>
          <w:tblLayout w:type="fixed"/>
          <w:tblCellMar>
            <w:top w:w="0" w:type="dxa"/>
            <w:left w:w="0" w:type="dxa"/>
            <w:bottom w:w="0" w:type="dxa"/>
            <w:right w:w="0"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926"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179"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通过对警用服装和装备的购买，提升了执勤中的安全性。</w:t>
            </w:r>
          </w:p>
        </w:tc>
        <w:tc>
          <w:tcPr>
            <w:tcW w:w="4179"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20"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22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采购数量</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≥100件</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200件</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采购验收合格率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采购完成时间</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2024年12月底之前</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2024年12月</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资金成本</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200万元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200万元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84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Fonts w:hint="eastAsia" w:ascii="仿宋_GB2312" w:hAnsi="仿宋_GB2312" w:eastAsia="仿宋_GB2312" w:cs="仿宋_GB2312"/>
                <w:i w:val="0"/>
                <w:color w:val="000000"/>
                <w:kern w:val="0"/>
                <w:sz w:val="20"/>
                <w:szCs w:val="20"/>
                <w:u w:val="none"/>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提升警员任务的安全性</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40</w:t>
            </w:r>
          </w:p>
        </w:tc>
      </w:tr>
      <w:tr>
        <w:tblPrEx>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服务对象的满意度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105"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800"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725"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p>
    <w:p>
      <w:pPr>
        <w:adjustRightInd w:val="0"/>
        <w:snapToGrid w:val="0"/>
        <w:spacing w:line="560" w:lineRule="exact"/>
        <w:ind w:firstLine="640" w:firstLineChars="200"/>
        <w:rPr>
          <w:rFonts w:hint="eastAsia" w:ascii="仿宋_GB2312" w:hAnsi="仿宋_GB2312" w:eastAsia="仿宋_GB2312" w:cs="仿宋_GB2312"/>
          <w:color w:val="000000" w:themeColor="text1" w:themeShade="80"/>
          <w:sz w:val="32"/>
          <w:szCs w:val="32"/>
          <w:highlight w:val="none"/>
          <w:lang w:val="en-US" w:eastAsia="zh-CN"/>
        </w:rPr>
      </w:pPr>
      <w:r>
        <w:rPr>
          <w:rFonts w:hint="eastAsia" w:ascii="仿宋_GB2312" w:hAnsi="仿宋_GB2312" w:eastAsia="仿宋_GB2312" w:cs="仿宋_GB2312"/>
          <w:color w:val="000000" w:themeColor="text1" w:themeShade="80"/>
          <w:sz w:val="32"/>
          <w:szCs w:val="32"/>
          <w:highlight w:val="none"/>
          <w:lang w:val="en-US" w:eastAsia="zh-CN"/>
        </w:rPr>
        <w:t>训练保障经费</w:t>
      </w:r>
    </w:p>
    <w:tbl>
      <w:tblPr>
        <w:tblW w:w="11090" w:type="dxa"/>
        <w:jc w:val="center"/>
        <w:tblInd w:w="-994" w:type="dxa"/>
        <w:shd w:val="clear"/>
        <w:tblLayout w:type="fixed"/>
        <w:tblCellMar>
          <w:top w:w="0" w:type="dxa"/>
          <w:left w:w="0" w:type="dxa"/>
          <w:bottom w:w="0" w:type="dxa"/>
          <w:right w:w="0" w:type="dxa"/>
        </w:tblCellMar>
      </w:tblPr>
      <w:tblGrid>
        <w:gridCol w:w="1365"/>
        <w:gridCol w:w="1155"/>
        <w:gridCol w:w="1226"/>
        <w:gridCol w:w="1545"/>
        <w:gridCol w:w="1599"/>
        <w:gridCol w:w="1245"/>
        <w:gridCol w:w="1335"/>
        <w:gridCol w:w="1620"/>
      </w:tblGrid>
      <w:tr>
        <w:tblPrEx>
          <w:tblLayout w:type="fixed"/>
          <w:tblCellMar>
            <w:top w:w="0" w:type="dxa"/>
            <w:left w:w="0" w:type="dxa"/>
            <w:bottom w:w="0" w:type="dxa"/>
            <w:right w:w="0" w:type="dxa"/>
          </w:tblCellMar>
        </w:tblPrEx>
        <w:trPr>
          <w:trHeight w:val="540" w:hRule="atLeast"/>
          <w:jc w:val="center"/>
        </w:trPr>
        <w:tc>
          <w:tcPr>
            <w:tcW w:w="11090"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tblLayout w:type="fixed"/>
          <w:tblCellMar>
            <w:top w:w="0" w:type="dxa"/>
            <w:left w:w="0" w:type="dxa"/>
            <w:bottom w:w="0" w:type="dxa"/>
            <w:right w:w="0" w:type="dxa"/>
          </w:tblCellMar>
        </w:tblPrEx>
        <w:trPr>
          <w:trHeight w:val="315" w:hRule="atLeast"/>
          <w:jc w:val="center"/>
        </w:trPr>
        <w:tc>
          <w:tcPr>
            <w:tcW w:w="11090"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tblLayout w:type="fixed"/>
          <w:tblCellMar>
            <w:top w:w="0" w:type="dxa"/>
            <w:left w:w="0" w:type="dxa"/>
            <w:bottom w:w="0" w:type="dxa"/>
            <w:right w:w="0" w:type="dxa"/>
          </w:tblCellMar>
        </w:tblPrEx>
        <w:trPr>
          <w:trHeight w:val="260" w:hRule="atLeast"/>
          <w:jc w:val="center"/>
        </w:trPr>
        <w:tc>
          <w:tcPr>
            <w:tcW w:w="3746"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599"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tblLayout w:type="fixed"/>
          <w:tblCellMar>
            <w:top w:w="0" w:type="dxa"/>
            <w:left w:w="0" w:type="dxa"/>
            <w:bottom w:w="0" w:type="dxa"/>
            <w:right w:w="0"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77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训练保障经费</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（专项资金）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tblLayout w:type="fixed"/>
          <w:tblCellMar>
            <w:top w:w="0" w:type="dxa"/>
            <w:left w:w="0" w:type="dxa"/>
            <w:bottom w:w="0" w:type="dxa"/>
            <w:right w:w="0"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38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tblLayout w:type="fixed"/>
          <w:tblCellMar>
            <w:top w:w="0" w:type="dxa"/>
            <w:left w:w="0" w:type="dxa"/>
            <w:bottom w:w="0" w:type="dxa"/>
            <w:right w:w="0"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50.00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50.00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49.96</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50.00 </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 xml:space="preserve">50.00 </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49.96</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599"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926"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179"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tblLayout w:type="fixed"/>
          <w:tblCellMar>
            <w:top w:w="0" w:type="dxa"/>
            <w:left w:w="0" w:type="dxa"/>
            <w:bottom w:w="0" w:type="dxa"/>
            <w:right w:w="0" w:type="dxa"/>
          </w:tblCellMar>
        </w:tblPrEx>
        <w:trPr>
          <w:trHeight w:val="2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通过日常警务实战训练，优化训练水平，提升危机处理能力，保障工作任务的顺利开展。</w:t>
            </w:r>
          </w:p>
        </w:tc>
        <w:tc>
          <w:tcPr>
            <w:tcW w:w="4179"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2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shd w:val="clear"/>
          <w:tblLayout w:type="fixed"/>
          <w:tblCellMar>
            <w:top w:w="0" w:type="dxa"/>
            <w:left w:w="0" w:type="dxa"/>
            <w:bottom w:w="0" w:type="dxa"/>
            <w:right w:w="0" w:type="dxa"/>
          </w:tblCellMar>
        </w:tblPrEx>
        <w:trPr>
          <w:trHeight w:val="2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179"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20"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shd w:val="clear"/>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22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保障人数</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≥300人</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510人</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保障的质量</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训练的完成时间</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1年</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1年</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资金总成本</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50万元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49.96万元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84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Fonts w:hint="eastAsia" w:ascii="仿宋_GB2312" w:hAnsi="仿宋_GB2312" w:eastAsia="仿宋_GB2312" w:cs="仿宋_GB2312"/>
                <w:i w:val="0"/>
                <w:color w:val="000000"/>
                <w:kern w:val="0"/>
                <w:sz w:val="20"/>
                <w:szCs w:val="20"/>
                <w:u w:val="none"/>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76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社会治安稳定的维护</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有效的维护了社会治安稳定</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有效维护</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w:t>
            </w:r>
          </w:p>
        </w:tc>
      </w:tr>
      <w:tr>
        <w:tblPrEx>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nil"/>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可持续影响指标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持续提升战斗力</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5%</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w:t>
            </w:r>
          </w:p>
        </w:tc>
      </w:tr>
      <w:tr>
        <w:tblPrEx>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144"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单位人员满意度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105"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800"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725"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adjustRightInd w:val="0"/>
        <w:snapToGrid w:val="0"/>
        <w:spacing w:line="560" w:lineRule="exact"/>
        <w:ind w:firstLine="640" w:firstLineChars="200"/>
        <w:rPr>
          <w:rFonts w:hint="default" w:ascii="仿宋_GB2312" w:hAnsi="仿宋_GB2312" w:eastAsia="仿宋_GB2312" w:cs="仿宋_GB2312"/>
          <w:color w:val="000000" w:themeColor="text1" w:themeShade="80"/>
          <w:sz w:val="32"/>
          <w:szCs w:val="32"/>
          <w:highlight w:val="none"/>
          <w:lang w:val="en-US" w:eastAsia="zh-CN"/>
        </w:rPr>
      </w:pPr>
      <w:bookmarkStart w:id="0" w:name="_GoBack"/>
      <w:bookmarkEnd w:id="0"/>
      <w:r>
        <w:rPr>
          <w:rFonts w:hint="eastAsia" w:ascii="仿宋_GB2312" w:hAnsi="仿宋_GB2312" w:eastAsia="仿宋_GB2312" w:cs="仿宋_GB2312"/>
          <w:color w:val="000000" w:themeColor="text1" w:themeShade="80"/>
          <w:sz w:val="32"/>
          <w:szCs w:val="32"/>
          <w:highlight w:val="none"/>
          <w:lang w:val="en-US" w:eastAsia="zh-CN"/>
        </w:rPr>
        <w:t>公务用车购置经费</w:t>
      </w:r>
    </w:p>
    <w:tbl>
      <w:tblPr>
        <w:tblW w:w="11154" w:type="dxa"/>
        <w:jc w:val="center"/>
        <w:tblInd w:w="-1026" w:type="dxa"/>
        <w:shd w:val="clear"/>
        <w:tblLayout w:type="fixed"/>
        <w:tblCellMar>
          <w:top w:w="0" w:type="dxa"/>
          <w:left w:w="0" w:type="dxa"/>
          <w:bottom w:w="0" w:type="dxa"/>
          <w:right w:w="0" w:type="dxa"/>
        </w:tblCellMar>
      </w:tblPr>
      <w:tblGrid>
        <w:gridCol w:w="1365"/>
        <w:gridCol w:w="1155"/>
        <w:gridCol w:w="1226"/>
        <w:gridCol w:w="1545"/>
        <w:gridCol w:w="1663"/>
        <w:gridCol w:w="1245"/>
        <w:gridCol w:w="1335"/>
        <w:gridCol w:w="1620"/>
      </w:tblGrid>
      <w:tr>
        <w:tblPrEx>
          <w:shd w:val="clear"/>
          <w:tblLayout w:type="fixed"/>
          <w:tblCellMar>
            <w:top w:w="0" w:type="dxa"/>
            <w:left w:w="0" w:type="dxa"/>
            <w:bottom w:w="0" w:type="dxa"/>
            <w:right w:w="0" w:type="dxa"/>
          </w:tblCellMar>
        </w:tblPrEx>
        <w:trPr>
          <w:trHeight w:val="540" w:hRule="atLeast"/>
          <w:jc w:val="center"/>
        </w:trPr>
        <w:tc>
          <w:tcPr>
            <w:tcW w:w="11154" w:type="dxa"/>
            <w:gridSpan w:val="8"/>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44"/>
                <w:szCs w:val="44"/>
                <w:u w:val="none"/>
              </w:rPr>
            </w:pPr>
            <w:r>
              <w:rPr>
                <w:rFonts w:hint="eastAsia" w:ascii="仿宋_GB2312" w:hAnsi="仿宋_GB2312" w:eastAsia="仿宋_GB2312" w:cs="仿宋_GB2312"/>
                <w:i w:val="0"/>
                <w:color w:val="000000"/>
                <w:kern w:val="0"/>
                <w:sz w:val="44"/>
                <w:szCs w:val="44"/>
                <w:u w:val="none"/>
                <w:bdr w:val="none" w:color="auto" w:sz="0" w:space="0"/>
                <w:lang w:val="en-US" w:eastAsia="zh-CN" w:bidi="ar"/>
              </w:rPr>
              <w:t>市级部门预算项目绩效自评表</w:t>
            </w:r>
          </w:p>
        </w:tc>
      </w:tr>
      <w:tr>
        <w:tblPrEx>
          <w:shd w:val="clear"/>
          <w:tblLayout w:type="fixed"/>
          <w:tblCellMar>
            <w:top w:w="0" w:type="dxa"/>
            <w:left w:w="0" w:type="dxa"/>
            <w:bottom w:w="0" w:type="dxa"/>
            <w:right w:w="0" w:type="dxa"/>
          </w:tblCellMar>
        </w:tblPrEx>
        <w:trPr>
          <w:trHeight w:val="315" w:hRule="atLeast"/>
          <w:jc w:val="center"/>
        </w:trPr>
        <w:tc>
          <w:tcPr>
            <w:tcW w:w="11154" w:type="dxa"/>
            <w:gridSpan w:val="8"/>
            <w:tcBorders>
              <w:top w:val="nil"/>
              <w:left w:val="nil"/>
              <w:bottom w:val="nil"/>
              <w:right w:val="nil"/>
            </w:tcBorders>
            <w:shd w:val="clear"/>
            <w:noWrap/>
            <w:tcMar>
              <w:top w:w="15" w:type="dxa"/>
              <w:left w:w="15" w:type="dxa"/>
              <w:right w:w="15" w:type="dxa"/>
            </w:tcMar>
            <w:vAlign w:val="bottom"/>
          </w:tcPr>
          <w:p>
            <w:pPr>
              <w:keepNext w:val="0"/>
              <w:keepLines w:val="0"/>
              <w:widowControl/>
              <w:suppressLineNumbers w:val="0"/>
              <w:jc w:val="center"/>
              <w:textAlignment w:val="bottom"/>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（2024年度）</w:t>
            </w:r>
          </w:p>
        </w:tc>
      </w:tr>
      <w:tr>
        <w:tblPrEx>
          <w:shd w:val="clear"/>
          <w:tblLayout w:type="fixed"/>
          <w:tblCellMar>
            <w:top w:w="0" w:type="dxa"/>
            <w:left w:w="0" w:type="dxa"/>
            <w:bottom w:w="0" w:type="dxa"/>
            <w:right w:w="0" w:type="dxa"/>
          </w:tblCellMar>
        </w:tblPrEx>
        <w:trPr>
          <w:trHeight w:val="260" w:hRule="atLeast"/>
          <w:jc w:val="center"/>
        </w:trPr>
        <w:tc>
          <w:tcPr>
            <w:tcW w:w="3746" w:type="dxa"/>
            <w:gridSpan w:val="3"/>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填报单位：石家庄市公安特警支队</w:t>
            </w:r>
          </w:p>
        </w:tc>
        <w:tc>
          <w:tcPr>
            <w:tcW w:w="15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63"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4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335" w:type="dxa"/>
            <w:tcBorders>
              <w:top w:val="nil"/>
              <w:left w:val="nil"/>
              <w:bottom w:val="nil"/>
              <w:right w:val="nil"/>
            </w:tcBorders>
            <w:shd w:val="clear"/>
            <w:noWrap/>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620" w:type="dxa"/>
            <w:tcBorders>
              <w:top w:val="nil"/>
              <w:left w:val="nil"/>
              <w:bottom w:val="nil"/>
              <w:right w:val="nil"/>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单位：万元</w:t>
            </w:r>
          </w:p>
        </w:tc>
      </w:tr>
      <w:tr>
        <w:tblPrEx>
          <w:shd w:val="clear"/>
          <w:tblLayout w:type="fixed"/>
          <w:tblCellMar>
            <w:top w:w="0" w:type="dxa"/>
            <w:left w:w="0" w:type="dxa"/>
            <w:bottom w:w="0" w:type="dxa"/>
            <w:right w:w="0" w:type="dxa"/>
          </w:tblCellMar>
        </w:tblPrEx>
        <w:trPr>
          <w:trHeight w:val="560" w:hRule="atLeast"/>
          <w:jc w:val="center"/>
        </w:trPr>
        <w:tc>
          <w:tcPr>
            <w:tcW w:w="1365"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一、基本情况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项目名称</w:t>
            </w:r>
          </w:p>
        </w:tc>
        <w:tc>
          <w:tcPr>
            <w:tcW w:w="277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公务用车购置经费</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（专项资金）</w:t>
            </w:r>
          </w:p>
        </w:tc>
        <w:tc>
          <w:tcPr>
            <w:tcW w:w="16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实施(主管）单位</w:t>
            </w:r>
          </w:p>
        </w:tc>
        <w:tc>
          <w:tcPr>
            <w:tcW w:w="4200"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石家庄市公安特警支队</w:t>
            </w:r>
          </w:p>
        </w:tc>
      </w:tr>
      <w:tr>
        <w:tblPrEx>
          <w:tblLayout w:type="fixed"/>
          <w:tblCellMar>
            <w:top w:w="0" w:type="dxa"/>
            <w:left w:w="0" w:type="dxa"/>
            <w:bottom w:w="0" w:type="dxa"/>
            <w:right w:w="0" w:type="dxa"/>
          </w:tblCellMar>
        </w:tblPrEx>
        <w:trPr>
          <w:trHeight w:val="48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二、预算执行情况</w:t>
            </w:r>
          </w:p>
        </w:tc>
        <w:tc>
          <w:tcPr>
            <w:tcW w:w="2381"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预算安排情况（调整后）</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资金到位情况</w:t>
            </w:r>
          </w:p>
        </w:tc>
        <w:tc>
          <w:tcPr>
            <w:tcW w:w="2580"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资金执行情况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预算执行进度</w:t>
            </w:r>
          </w:p>
        </w:tc>
      </w:tr>
      <w:tr>
        <w:tblPrEx>
          <w:shd w:val="clear"/>
          <w:tblLayout w:type="fixed"/>
          <w:tblCellMar>
            <w:top w:w="0" w:type="dxa"/>
            <w:left w:w="0" w:type="dxa"/>
            <w:bottom w:w="0" w:type="dxa"/>
            <w:right w:w="0" w:type="dxa"/>
          </w:tblCellMar>
        </w:tblPrEx>
        <w:trPr>
          <w:trHeight w:val="42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预算数：</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85.08</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到位数：</w:t>
            </w:r>
          </w:p>
        </w:tc>
        <w:tc>
          <w:tcPr>
            <w:tcW w:w="16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85.08</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执行数：</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85.08</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tblLayout w:type="fixed"/>
          <w:tblCellMar>
            <w:top w:w="0" w:type="dxa"/>
            <w:left w:w="0" w:type="dxa"/>
            <w:bottom w:w="0" w:type="dxa"/>
            <w:right w:w="0" w:type="dxa"/>
          </w:tblCellMar>
        </w:tblPrEx>
        <w:trPr>
          <w:trHeight w:val="54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85.08</w:t>
            </w: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6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85.08</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其中：                     财政资金</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righ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85.08</w:t>
            </w: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05"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5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66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其他</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shd w:val="clear"/>
          <w:tblLayout w:type="fixed"/>
          <w:tblCellMar>
            <w:top w:w="0" w:type="dxa"/>
            <w:left w:w="0" w:type="dxa"/>
            <w:bottom w:w="0" w:type="dxa"/>
            <w:right w:w="0" w:type="dxa"/>
          </w:tblCellMar>
        </w:tblPrEx>
        <w:trPr>
          <w:trHeight w:val="465"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三、目标完成情况</w:t>
            </w:r>
          </w:p>
        </w:tc>
        <w:tc>
          <w:tcPr>
            <w:tcW w:w="3926"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年度预期目标</w:t>
            </w:r>
          </w:p>
        </w:tc>
        <w:tc>
          <w:tcPr>
            <w:tcW w:w="4243" w:type="dxa"/>
            <w:gridSpan w:val="3"/>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具体完成情况</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总体完成率</w:t>
            </w:r>
          </w:p>
        </w:tc>
      </w:tr>
      <w:tr>
        <w:tblPrEx>
          <w:shd w:val="clear"/>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通过公务用车购置，提升单位执法执勤能力。</w:t>
            </w:r>
          </w:p>
        </w:tc>
        <w:tc>
          <w:tcPr>
            <w:tcW w:w="4243" w:type="dxa"/>
            <w:gridSpan w:val="3"/>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对照年初设定目标，完成了全年总体绩效目标。</w:t>
            </w:r>
          </w:p>
        </w:tc>
        <w:tc>
          <w:tcPr>
            <w:tcW w:w="1620" w:type="dxa"/>
            <w:vMerge w:val="restart"/>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243"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18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3926"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4243" w:type="dxa"/>
            <w:gridSpan w:val="3"/>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left"/>
              <w:rPr>
                <w:rFonts w:hint="eastAsia" w:ascii="仿宋_GB2312" w:hAnsi="仿宋_GB2312" w:eastAsia="仿宋_GB2312" w:cs="仿宋_GB2312"/>
                <w:i w:val="0"/>
                <w:color w:val="000000"/>
                <w:sz w:val="20"/>
                <w:szCs w:val="20"/>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r>
      <w:tr>
        <w:tblPrEx>
          <w:tblLayout w:type="fixed"/>
          <w:tblCellMar>
            <w:top w:w="0" w:type="dxa"/>
            <w:left w:w="0" w:type="dxa"/>
            <w:bottom w:w="0" w:type="dxa"/>
            <w:right w:w="0" w:type="dxa"/>
          </w:tblCellMar>
        </w:tblPrEx>
        <w:trPr>
          <w:trHeight w:val="420" w:hRule="atLeast"/>
          <w:jc w:val="center"/>
        </w:trPr>
        <w:tc>
          <w:tcPr>
            <w:tcW w:w="1365" w:type="dxa"/>
            <w:vMerge w:val="restart"/>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四、年度绩效指标完成情况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一级指标</w:t>
            </w: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二级指标</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三级指标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预期指标值</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实际完成值</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自评得分</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产出指标（40）</w:t>
            </w:r>
          </w:p>
        </w:tc>
        <w:tc>
          <w:tcPr>
            <w:tcW w:w="1226" w:type="dxa"/>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数量指标</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购买数量</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8辆</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8辆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质量指标</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质量标准</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时效指标</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完成时间</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2024年10月底之前</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2024年10月</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single" w:color="000000" w:sz="4" w:space="0"/>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成本指标</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预算控制数</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85.08万元</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85.08万元</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84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nil"/>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预算执行率</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r>
              <w:rPr>
                <w:rFonts w:hint="eastAsia" w:ascii="仿宋_GB2312" w:hAnsi="仿宋_GB2312" w:eastAsia="仿宋_GB2312" w:cs="仿宋_GB2312"/>
                <w:i w:val="0"/>
                <w:color w:val="000000"/>
                <w:kern w:val="0"/>
                <w:sz w:val="20"/>
                <w:szCs w:val="20"/>
                <w:u w:val="none"/>
                <w:bdr w:val="none" w:color="auto" w:sz="0" w:space="0"/>
                <w:lang w:val="en-US" w:eastAsia="zh-CN" w:bidi="ar"/>
              </w:rPr>
              <w:t>%</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18"/>
                <w:szCs w:val="18"/>
                <w:u w:val="none"/>
              </w:rPr>
            </w:pPr>
            <w:r>
              <w:rPr>
                <w:rFonts w:hint="eastAsia" w:ascii="仿宋_GB2312" w:hAnsi="仿宋_GB2312" w:eastAsia="仿宋_GB2312" w:cs="仿宋_GB2312"/>
                <w:i w:val="0"/>
                <w:color w:val="000000"/>
                <w:kern w:val="0"/>
                <w:sz w:val="18"/>
                <w:szCs w:val="18"/>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restart"/>
            <w:tcBorders>
              <w:top w:val="nil"/>
              <w:left w:val="single" w:color="000000" w:sz="4" w:space="0"/>
              <w:bottom w:val="nil"/>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效益指标（40）</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社会效益指标</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维护社会稳定水平</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得到提升</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w:t>
            </w:r>
          </w:p>
        </w:tc>
      </w:tr>
      <w:tr>
        <w:tblPrEx>
          <w:shd w:val="clear"/>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vMerge w:val="continue"/>
            <w:tcBorders>
              <w:top w:val="nil"/>
              <w:left w:val="single" w:color="000000" w:sz="4" w:space="0"/>
              <w:bottom w:val="nil"/>
              <w:right w:val="single" w:color="000000" w:sz="4" w:space="0"/>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可持续影响指标</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车辆可持续使用</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可持续使用</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可持续使用</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20</w:t>
            </w:r>
          </w:p>
        </w:tc>
      </w:tr>
      <w:tr>
        <w:tblPrEx>
          <w:shd w:val="clear"/>
          <w:tblLayout w:type="fixed"/>
          <w:tblCellMar>
            <w:top w:w="0" w:type="dxa"/>
            <w:left w:w="0" w:type="dxa"/>
            <w:bottom w:w="0" w:type="dxa"/>
            <w:right w:w="0" w:type="dxa"/>
          </w:tblCellMar>
        </w:tblPrEx>
        <w:trPr>
          <w:trHeight w:val="48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115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r>
              <w:rPr>
                <w:rFonts w:hint="eastAsia" w:ascii="仿宋_GB2312" w:hAnsi="仿宋_GB2312" w:eastAsia="仿宋_GB2312" w:cs="仿宋_GB2312"/>
                <w:i w:val="0"/>
                <w:color w:val="000000"/>
                <w:kern w:val="0"/>
                <w:sz w:val="20"/>
                <w:szCs w:val="20"/>
                <w:u w:val="none"/>
                <w:bdr w:val="none" w:color="auto" w:sz="0" w:space="0"/>
                <w:lang w:val="en-US" w:eastAsia="zh-CN" w:bidi="ar"/>
              </w:rPr>
              <w:br w:type="textWrapping"/>
            </w:r>
            <w:r>
              <w:rPr>
                <w:rFonts w:hint="eastAsia" w:ascii="仿宋_GB2312" w:hAnsi="仿宋_GB2312" w:eastAsia="仿宋_GB2312" w:cs="仿宋_GB2312"/>
                <w:i w:val="0"/>
                <w:color w:val="000000"/>
                <w:kern w:val="0"/>
                <w:sz w:val="20"/>
                <w:szCs w:val="20"/>
                <w:u w:val="none"/>
                <w:bdr w:val="none" w:color="auto" w:sz="0" w:space="0"/>
                <w:lang w:val="en-US" w:eastAsia="zh-CN" w:bidi="ar"/>
              </w:rPr>
              <w:t>（10分）</w:t>
            </w:r>
          </w:p>
        </w:tc>
        <w:tc>
          <w:tcPr>
            <w:tcW w:w="1226" w:type="dxa"/>
            <w:tcBorders>
              <w:top w:val="single" w:color="000000" w:sz="4" w:space="0"/>
              <w:left w:val="nil"/>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满意度指标</w:t>
            </w:r>
          </w:p>
        </w:tc>
        <w:tc>
          <w:tcPr>
            <w:tcW w:w="3208" w:type="dxa"/>
            <w:gridSpan w:val="2"/>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单位服务对象的满意度</w:t>
            </w:r>
          </w:p>
        </w:tc>
        <w:tc>
          <w:tcPr>
            <w:tcW w:w="124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≥95%</w:t>
            </w:r>
          </w:p>
        </w:tc>
        <w:tc>
          <w:tcPr>
            <w:tcW w:w="133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w:t>
            </w:r>
          </w:p>
        </w:tc>
      </w:tr>
      <w:tr>
        <w:tblPrEx>
          <w:shd w:val="clear"/>
          <w:tblLayout w:type="fixed"/>
          <w:tblCellMar>
            <w:top w:w="0" w:type="dxa"/>
            <w:left w:w="0" w:type="dxa"/>
            <w:bottom w:w="0" w:type="dxa"/>
            <w:right w:w="0" w:type="dxa"/>
          </w:tblCellMar>
        </w:tblPrEx>
        <w:trPr>
          <w:trHeight w:val="270" w:hRule="atLeast"/>
          <w:jc w:val="center"/>
        </w:trPr>
        <w:tc>
          <w:tcPr>
            <w:tcW w:w="1365" w:type="dxa"/>
            <w:vMerge w:val="continue"/>
            <w:tcBorders>
              <w:top w:val="single" w:color="000000" w:sz="4" w:space="0"/>
              <w:left w:val="single" w:color="000000" w:sz="4" w:space="0"/>
              <w:bottom w:val="single" w:color="000000" w:sz="4" w:space="0"/>
              <w:right w:val="nil"/>
            </w:tcBorders>
            <w:shd w:val="clear"/>
            <w:tcMar>
              <w:top w:w="15" w:type="dxa"/>
              <w:left w:w="15" w:type="dxa"/>
              <w:right w:w="15" w:type="dxa"/>
            </w:tcMar>
            <w:vAlign w:val="center"/>
          </w:tcPr>
          <w:p>
            <w:pPr>
              <w:jc w:val="center"/>
              <w:rPr>
                <w:rFonts w:hint="eastAsia" w:ascii="仿宋_GB2312" w:hAnsi="仿宋_GB2312" w:eastAsia="仿宋_GB2312" w:cs="仿宋_GB2312"/>
                <w:i w:val="0"/>
                <w:color w:val="000000"/>
                <w:sz w:val="20"/>
                <w:szCs w:val="20"/>
                <w:u w:val="none"/>
              </w:rPr>
            </w:pPr>
          </w:p>
        </w:tc>
        <w:tc>
          <w:tcPr>
            <w:tcW w:w="8169" w:type="dxa"/>
            <w:gridSpan w:val="6"/>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总分</w:t>
            </w:r>
          </w:p>
        </w:tc>
        <w:tc>
          <w:tcPr>
            <w:tcW w:w="1620"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100</w:t>
            </w:r>
          </w:p>
        </w:tc>
      </w:tr>
      <w:tr>
        <w:tblPrEx>
          <w:shd w:val="clear"/>
          <w:tblLayout w:type="fixed"/>
          <w:tblCellMar>
            <w:top w:w="0" w:type="dxa"/>
            <w:left w:w="0" w:type="dxa"/>
            <w:bottom w:w="0" w:type="dxa"/>
            <w:right w:w="0" w:type="dxa"/>
          </w:tblCellMar>
        </w:tblPrEx>
        <w:trPr>
          <w:trHeight w:val="800" w:hRule="atLeast"/>
          <w:jc w:val="center"/>
        </w:trPr>
        <w:tc>
          <w:tcPr>
            <w:tcW w:w="1365" w:type="dxa"/>
            <w:tcBorders>
              <w:top w:val="nil"/>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五、存在问题、原因及下一步整改措施</w:t>
            </w:r>
          </w:p>
        </w:tc>
        <w:tc>
          <w:tcPr>
            <w:tcW w:w="9789" w:type="dxa"/>
            <w:gridSpan w:val="7"/>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0"/>
                <w:szCs w:val="20"/>
                <w:u w:val="none"/>
              </w:rPr>
            </w:pPr>
            <w:r>
              <w:rPr>
                <w:rFonts w:hint="eastAsia" w:ascii="仿宋_GB2312" w:hAnsi="仿宋_GB2312" w:eastAsia="仿宋_GB2312" w:cs="仿宋_GB2312"/>
                <w:i w:val="0"/>
                <w:color w:val="000000"/>
                <w:kern w:val="0"/>
                <w:sz w:val="20"/>
                <w:szCs w:val="20"/>
                <w:u w:val="none"/>
                <w:bdr w:val="none" w:color="auto" w:sz="0" w:space="0"/>
                <w:lang w:val="en-US" w:eastAsia="zh-CN" w:bidi="ar"/>
              </w:rPr>
              <w:t>合理制定预算，提高预算执行率。</w:t>
            </w:r>
          </w:p>
        </w:tc>
      </w:tr>
    </w:tbl>
    <w:p>
      <w:pPr>
        <w:widowControl/>
        <w:spacing w:before="0" w:beforeLines="0" w:beforeAutospacing="0" w:after="0" w:afterLines="0" w:afterAutospacing="0" w:line="360" w:lineRule="auto"/>
        <w:ind w:firstLine="643" w:firstLineChars="200"/>
        <w:jc w:val="both"/>
        <w:rPr>
          <w:rFonts w:ascii="Times New Roman" w:eastAsia="仿宋_GB2312"/>
          <w:sz w:val="32"/>
          <w:szCs w:val="32"/>
        </w:rPr>
      </w:pPr>
      <w:r>
        <w:rPr>
          <w:rFonts w:ascii="Times New Roman" w:eastAsia="仿宋_GB2312"/>
          <w:b/>
          <w:sz w:val="32"/>
          <w:szCs w:val="32"/>
        </w:rPr>
        <w:t>（三）部门评价项目绩效评价结果（如有）</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无</w:t>
      </w:r>
    </w:p>
    <w:p>
      <w:pPr>
        <w:widowControl/>
        <w:spacing w:before="0" w:beforeLines="0" w:beforeAutospacing="0" w:after="0" w:afterLines="0" w:afterAutospacing="0" w:line="360" w:lineRule="auto"/>
        <w:ind w:firstLine="640" w:firstLineChars="200"/>
        <w:jc w:val="both"/>
        <w:rPr>
          <w:rFonts w:ascii="Times New Roman" w:eastAsia="黑体"/>
          <w:sz w:val="32"/>
          <w:szCs w:val="32"/>
        </w:rPr>
      </w:pPr>
      <w:r>
        <w:rPr>
          <w:rFonts w:ascii="Times New Roman" w:eastAsia="黑体"/>
          <w:b w:val="0"/>
          <w:sz w:val="32"/>
          <w:szCs w:val="32"/>
        </w:rPr>
        <w:t>十、其他需要说明的情况</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both"/>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F1AE9C6-6D62-4F8F-9A49-6B70AEA62ADB}"/>
  </w:font>
  <w:font w:name="黑体">
    <w:panose1 w:val="02010609060101010101"/>
    <w:charset w:val="86"/>
    <w:family w:val="auto"/>
    <w:pitch w:val="default"/>
    <w:sig w:usb0="800002BF" w:usb1="38CF7CFA" w:usb2="00000016" w:usb3="00000000" w:csb0="00040001" w:csb1="00000000"/>
    <w:embedRegular r:id="rId2" w:fontKey="{05F3E412-A496-4F7A-B98A-59F08821D2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32BC301-FC81-4389-A843-F6FA7682CD85}"/>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4" w:fontKey="{A635595E-1B73-47E1-8940-F56BBCFAF438}"/>
  </w:font>
  <w:font w:name="方正小标宋_GBK">
    <w:panose1 w:val="02000000000000000000"/>
    <w:charset w:val="86"/>
    <w:family w:val="script"/>
    <w:pitch w:val="default"/>
    <w:sig w:usb0="00000000" w:usb1="00000000" w:usb2="00000000" w:usb3="00000000" w:csb0="00000000" w:csb1="00000000"/>
    <w:embedRegular r:id="rId5" w:fontKey="{4974D8E7-80C8-4659-9333-A1E30317644A}"/>
  </w:font>
  <w:font w:name="方正小标宋简体">
    <w:panose1 w:val="03000509000000000000"/>
    <w:charset w:val="86"/>
    <w:family w:val="auto"/>
    <w:pitch w:val="default"/>
    <w:sig w:usb0="00000001" w:usb1="080E0000" w:usb2="00000000" w:usb3="00000000" w:csb0="00040000" w:csb1="00000000"/>
    <w:embedRegular r:id="rId6" w:fontKey="{215EB309-3A1B-44D4-A681-0F978B3B38C2}"/>
  </w:font>
  <w:font w:name="仿宋_GB2312">
    <w:panose1 w:val="02010609030101010101"/>
    <w:charset w:val="86"/>
    <w:family w:val="auto"/>
    <w:pitch w:val="default"/>
    <w:sig w:usb0="00000001" w:usb1="080E0000" w:usb2="00000000" w:usb3="00000000" w:csb0="00040000" w:csb1="00000000"/>
    <w:embedRegular r:id="rId7" w:fontKey="{80729042-DCB9-4AE5-9B96-33D43B3CFC44}"/>
  </w:font>
  <w:font w:name="ArialUnicodeMS">
    <w:altName w:val="Malgun Gothic"/>
    <w:panose1 w:val="00000000000000000000"/>
    <w:charset w:val="81"/>
    <w:family w:val="auto"/>
    <w:pitch w:val="default"/>
    <w:sig w:usb0="00000000" w:usb1="00000000" w:usb2="00000010" w:usb3="00000000" w:csb0="00080001" w:csb1="00000000"/>
    <w:embedRegular r:id="rId8" w:fontKey="{560A36C0-C8B4-4E0C-A042-82DAD7C91DD2}"/>
  </w:font>
  <w:font w:name="方正仿宋_GB2312">
    <w:panose1 w:val="02000000000000000000"/>
    <w:charset w:val="86"/>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00"/>
    <w:family w:val="auto"/>
    <w:pitch w:val="default"/>
    <w:sig w:usb0="00000000" w:usb1="00000000" w:usb2="00000000" w:usb3="00000000" w:csb0="00000000" w:csb1="00000000"/>
  </w:font>
  <w:font w:name="方正小标宋_GBK">
    <w:panose1 w:val="02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0F212CA"/>
    <w:rsid w:val="01A03C5A"/>
    <w:rsid w:val="01A5267D"/>
    <w:rsid w:val="01AF6A8D"/>
    <w:rsid w:val="024808A2"/>
    <w:rsid w:val="025C3821"/>
    <w:rsid w:val="02DA3B1B"/>
    <w:rsid w:val="02E57B4D"/>
    <w:rsid w:val="03450B90"/>
    <w:rsid w:val="037B12D4"/>
    <w:rsid w:val="03804D63"/>
    <w:rsid w:val="03FB73B0"/>
    <w:rsid w:val="040774A0"/>
    <w:rsid w:val="04806B11"/>
    <w:rsid w:val="049C1B9D"/>
    <w:rsid w:val="04BD008C"/>
    <w:rsid w:val="04C55939"/>
    <w:rsid w:val="04DA28BB"/>
    <w:rsid w:val="04F17F91"/>
    <w:rsid w:val="04F528BE"/>
    <w:rsid w:val="050E10CE"/>
    <w:rsid w:val="054F2DFB"/>
    <w:rsid w:val="05991C82"/>
    <w:rsid w:val="05CD1EC8"/>
    <w:rsid w:val="05DE68FC"/>
    <w:rsid w:val="061416A9"/>
    <w:rsid w:val="061D60A6"/>
    <w:rsid w:val="06236884"/>
    <w:rsid w:val="06B07006"/>
    <w:rsid w:val="06D375B2"/>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0F170BD"/>
    <w:rsid w:val="11177F57"/>
    <w:rsid w:val="11217C97"/>
    <w:rsid w:val="11464C20"/>
    <w:rsid w:val="115E4926"/>
    <w:rsid w:val="118A1FFA"/>
    <w:rsid w:val="11E35B5A"/>
    <w:rsid w:val="11E42DD6"/>
    <w:rsid w:val="125F5A1B"/>
    <w:rsid w:val="126979D6"/>
    <w:rsid w:val="129E45A7"/>
    <w:rsid w:val="12C5335C"/>
    <w:rsid w:val="13074404"/>
    <w:rsid w:val="136A5C00"/>
    <w:rsid w:val="137330C4"/>
    <w:rsid w:val="138B717B"/>
    <w:rsid w:val="13B97B08"/>
    <w:rsid w:val="13C527AC"/>
    <w:rsid w:val="14711797"/>
    <w:rsid w:val="147B6F17"/>
    <w:rsid w:val="14D42061"/>
    <w:rsid w:val="15081C8B"/>
    <w:rsid w:val="15090D5C"/>
    <w:rsid w:val="15CF053D"/>
    <w:rsid w:val="15D00060"/>
    <w:rsid w:val="15E0131A"/>
    <w:rsid w:val="15E11DC0"/>
    <w:rsid w:val="16457D9F"/>
    <w:rsid w:val="17223EFF"/>
    <w:rsid w:val="17AA5F28"/>
    <w:rsid w:val="17B713F6"/>
    <w:rsid w:val="184350A0"/>
    <w:rsid w:val="18935485"/>
    <w:rsid w:val="18A34206"/>
    <w:rsid w:val="18DE396D"/>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04CA9"/>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33361"/>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6232A"/>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215043"/>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C63B0E"/>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2A3E2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291B4D"/>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4E4C72"/>
    <w:rsid w:val="36EC1950"/>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5035C7"/>
    <w:rsid w:val="3C6C0B58"/>
    <w:rsid w:val="3CBE41D5"/>
    <w:rsid w:val="3D1E4934"/>
    <w:rsid w:val="3D446B0E"/>
    <w:rsid w:val="3D745844"/>
    <w:rsid w:val="3D8626D0"/>
    <w:rsid w:val="3D953A6B"/>
    <w:rsid w:val="3DBB5979"/>
    <w:rsid w:val="3DD56F21"/>
    <w:rsid w:val="3DEF047E"/>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3FD52960"/>
    <w:rsid w:val="401F2A58"/>
    <w:rsid w:val="402E7C36"/>
    <w:rsid w:val="40324A0C"/>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A67B70"/>
    <w:rsid w:val="46CB071B"/>
    <w:rsid w:val="46DE140B"/>
    <w:rsid w:val="46E77334"/>
    <w:rsid w:val="46F22E29"/>
    <w:rsid w:val="46F7142F"/>
    <w:rsid w:val="47107AE3"/>
    <w:rsid w:val="473C62ED"/>
    <w:rsid w:val="4740568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C82867"/>
    <w:rsid w:val="58D53944"/>
    <w:rsid w:val="58D65478"/>
    <w:rsid w:val="58F52487"/>
    <w:rsid w:val="590422E6"/>
    <w:rsid w:val="590A5D0B"/>
    <w:rsid w:val="592257E5"/>
    <w:rsid w:val="59655E33"/>
    <w:rsid w:val="59CF5BD9"/>
    <w:rsid w:val="59E20C3C"/>
    <w:rsid w:val="5A1D5B0A"/>
    <w:rsid w:val="5A3B4B4E"/>
    <w:rsid w:val="5A4804CA"/>
    <w:rsid w:val="5A594C85"/>
    <w:rsid w:val="5A7920F3"/>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0CB4D87"/>
    <w:rsid w:val="61072DA5"/>
    <w:rsid w:val="611C0817"/>
    <w:rsid w:val="61224A52"/>
    <w:rsid w:val="61520CCB"/>
    <w:rsid w:val="617B5AA1"/>
    <w:rsid w:val="61851A29"/>
    <w:rsid w:val="622D1522"/>
    <w:rsid w:val="622E0574"/>
    <w:rsid w:val="62683B6B"/>
    <w:rsid w:val="62746F86"/>
    <w:rsid w:val="6275761C"/>
    <w:rsid w:val="62816E52"/>
    <w:rsid w:val="62AB7BE6"/>
    <w:rsid w:val="62AC5944"/>
    <w:rsid w:val="631621DE"/>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5B7B8D"/>
    <w:rsid w:val="67770F0C"/>
    <w:rsid w:val="67B03535"/>
    <w:rsid w:val="68174F69"/>
    <w:rsid w:val="682C436A"/>
    <w:rsid w:val="68382778"/>
    <w:rsid w:val="68391F41"/>
    <w:rsid w:val="68436B8C"/>
    <w:rsid w:val="6874463D"/>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0B2FA7"/>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AC0FFC"/>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AEC1C38"/>
    <w:rsid w:val="7B292978"/>
    <w:rsid w:val="7B4A207F"/>
    <w:rsid w:val="7B936F45"/>
    <w:rsid w:val="7BA47419"/>
    <w:rsid w:val="7BB10D45"/>
    <w:rsid w:val="7BB44151"/>
    <w:rsid w:val="7BC30F8E"/>
    <w:rsid w:val="7C656A39"/>
    <w:rsid w:val="7C661E25"/>
    <w:rsid w:val="7CB40114"/>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21"/>
    <w:basedOn w:val="13"/>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2025&#24180;\2025&#24180;&#20915;&#31639;&#20844;&#24320;\&#24037;&#20316;&#318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9141.33</c:v>
                </c:pt>
                <c:pt idx="1">
                  <c:v>11901.59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explosion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119015853.47</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94314141.53</c:v>
                </c:pt>
                <c:pt idx="1">
                  <c:v>24701711.94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9039.56</c:v>
                </c:pt>
                <c:pt idx="1">
                  <c:v>9141.33</c:v>
                </c:pt>
                <c:pt idx="2">
                  <c:v>9039.56</c:v>
                </c:pt>
                <c:pt idx="3">
                  <c:v>9141.33</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11901.59</c:v>
                </c:pt>
                <c:pt idx="1">
                  <c:v>11901.59</c:v>
                </c:pt>
                <c:pt idx="2">
                  <c:v>11901.59</c:v>
                </c:pt>
                <c:pt idx="3">
                  <c:v>11901.59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9961.45</c:v>
                </c:pt>
                <c:pt idx="1">
                  <c:v>9961.45</c:v>
                </c:pt>
                <c:pt idx="2">
                  <c:v>9961.45</c:v>
                </c:pt>
                <c:pt idx="3">
                  <c:v>9961.45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11901.59</c:v>
                </c:pt>
                <c:pt idx="1">
                  <c:v>11901.59</c:v>
                </c:pt>
                <c:pt idx="2">
                  <c:v>11901.59</c:v>
                </c:pt>
                <c:pt idx="3">
                  <c:v>11901.59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chemeClr val="tx1">
                    <a:lumMod val="65000"/>
                    <a:lumOff val="35000"/>
                  </a:schemeClr>
                </a:solidFill>
                <a:latin typeface="+mn-lt"/>
                <a:ea typeface="+mn-ea"/>
                <a:cs typeface="+mn-cs"/>
              </a:defRPr>
            </a:pPr>
            <a:r>
              <a:rPr sz="1200"/>
              <a:t>图</a:t>
            </a:r>
            <a:r>
              <a:rPr lang="en-US" altLang="zh-CN" sz="1200"/>
              <a:t>6</a:t>
            </a:r>
            <a:r>
              <a:rPr altLang="en-US" sz="1200"/>
              <a:t>：</a:t>
            </a:r>
            <a:r>
              <a:rPr sz="1200"/>
              <a:t>财政拨款支出决算构成情况图       </a:t>
            </a:r>
            <a:r>
              <a:rPr sz="600"/>
              <a:t>单位：万元</a:t>
            </a:r>
            <a:endParaRPr sz="60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[工作簿1]Sheet1!$I$8:$I$11</c:f>
              <c:strCache>
                <c:ptCount val="4"/>
                <c:pt idx="0">
                  <c:v>公共安全类（类）支出</c:v>
                </c:pt>
                <c:pt idx="1">
                  <c:v>社会保障和就业（类）支出</c:v>
                </c:pt>
                <c:pt idx="2">
                  <c:v>卫生健康（类）支出</c:v>
                </c:pt>
                <c:pt idx="3">
                  <c:v>住房保障（类）支出</c:v>
                </c:pt>
              </c:strCache>
            </c:strRef>
          </c:cat>
          <c:val>
            <c:numRef>
              <c:f>[工作簿1]Sheet1!$J$8:$J$11</c:f>
              <c:numCache>
                <c:formatCode>#,##0.00</c:formatCode>
                <c:ptCount val="4"/>
                <c:pt idx="0">
                  <c:v>9626.45</c:v>
                </c:pt>
                <c:pt idx="1" c:formatCode="General">
                  <c:v>797.47</c:v>
                </c:pt>
                <c:pt idx="2" c:formatCode="General">
                  <c:v>614.75</c:v>
                </c:pt>
                <c:pt idx="3" c:formatCode="General">
                  <c:v>862.91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25</Pages>
  <Words>611</Words>
  <Characters>2169</Characters>
  <Lines>86</Lines>
  <Paragraphs>24</Paragraphs>
  <TotalTime>8</TotalTime>
  <ScaleCrop>false</ScaleCrop>
  <LinksUpToDate>false</LinksUpToDate>
  <CharactersWithSpaces>2170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2025-09-09T06:44:30Z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