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536001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：石家庄市公安特警支队</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b w:val="0"/>
          <w:sz w:val="72"/>
          <w:szCs w:val="72"/>
        </w:rPr>
        <w:t>石家庄市公安特警支队</w:t>
      </w:r>
    </w:p>
    <w:p>
      <w:pPr>
        <w:widowControl/>
        <w:spacing w:before="0" w:beforeLines="0" w:beforeAutospacing="0" w:after="0" w:afterLines="0" w:afterAutospacing="0" w:line="360" w:lineRule="auto"/>
        <w:jc w:val="center"/>
        <w:rPr>
          <w:rFonts w:hint="eastAsia" w:ascii="方正小标宋简体" w:hAnsi="方正小标宋简体" w:eastAsia="方正小标宋简体" w:cs="方正小标宋简体"/>
          <w:sz w:val="72"/>
          <w:szCs w:val="72"/>
        </w:rPr>
      </w:pPr>
      <w:r>
        <w:rPr>
          <w:rFonts w:hint="eastAsia" w:ascii="方正小标宋简体" w:hAnsi="方正小标宋简体" w:eastAsia="方正小标宋简体" w:cs="方正小标宋简体"/>
          <w:b w:val="0"/>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石家庄市公安特警支队(单位名称，加盖公章）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474" w:bottom="1984" w:left="1587"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石家庄市公安特警支队负责处置恐怖犯罪、严重暴力犯罪、动乱、骚乱事件、大规模群众滋事、非法集会游行示威等群体性重大治安事件，担负重大活动的安全保卫、特定的巡逻执勤、搜排爆等任务，接受上级公安机关调遣，跨区执行特别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石家庄市公安特警支队</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0840" w:type="dxa"/>
        <w:jc w:val="center"/>
        <w:tblInd w:w="-182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408"/>
        <w:gridCol w:w="687"/>
        <w:gridCol w:w="165"/>
        <w:gridCol w:w="1225"/>
        <w:gridCol w:w="1513"/>
        <w:gridCol w:w="1797"/>
        <w:gridCol w:w="638"/>
        <w:gridCol w:w="1377"/>
        <w:gridCol w:w="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10810"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10810"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 公开</w:t>
            </w:r>
            <w:r>
              <w:rPr>
                <w:rFonts w:hint="eastAsia" w:ascii="仿宋_GB2312" w:hAnsi="仿宋_GB2312" w:eastAsia="仿宋_GB2312" w:cs="仿宋_GB2312"/>
                <w:i w:val="0"/>
                <w:iCs w:val="0"/>
                <w:color w:val="000000"/>
                <w:sz w:val="20"/>
                <w:szCs w:val="20"/>
                <w:highlight w:val="none"/>
                <w:u w:val="none"/>
                <w:lang w:val="en-US" w:eastAsia="zh-CN"/>
              </w:rPr>
              <w:t>01</w:t>
            </w:r>
            <w:r>
              <w:rPr>
                <w:rFonts w:hint="eastAsia" w:ascii="仿宋_GB2312" w:hAnsi="仿宋_GB2312" w:eastAsia="仿宋_GB2312" w:cs="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4260" w:type="dxa"/>
            <w:gridSpan w:val="3"/>
            <w:tcBorders>
              <w:top w:val="nil"/>
              <w:left w:val="nil"/>
              <w:bottom w:val="single" w:color="auto" w:sz="4" w:space="0"/>
              <w:right w:val="nil"/>
            </w:tcBorders>
            <w:noWrap/>
            <w:vAlign w:val="bottom"/>
          </w:tcPr>
          <w:p>
            <w:pPr>
              <w:jc w:val="both"/>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部门（单位）：石家庄市公安特警支队</w:t>
            </w:r>
          </w:p>
        </w:tc>
        <w:tc>
          <w:tcPr>
            <w:tcW w:w="2738" w:type="dxa"/>
            <w:gridSpan w:val="2"/>
            <w:tcBorders>
              <w:top w:val="nil"/>
              <w:left w:val="nil"/>
              <w:bottom w:val="single" w:color="auto" w:sz="4" w:space="0"/>
              <w:right w:val="nil"/>
            </w:tcBorders>
            <w:noWrap/>
            <w:vAlign w:val="bottom"/>
          </w:tcPr>
          <w:p>
            <w:pPr>
              <w:jc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sz w:val="20"/>
                <w:szCs w:val="20"/>
                <w:highlight w:val="none"/>
                <w:u w:val="none"/>
                <w:lang w:val="en-US" w:eastAsia="zh-CN"/>
              </w:rPr>
              <w:t>2024</w:t>
            </w:r>
            <w:r>
              <w:rPr>
                <w:rFonts w:hint="eastAsia" w:ascii="仿宋_GB2312" w:hAnsi="仿宋_GB2312" w:eastAsia="仿宋_GB2312" w:cs="仿宋_GB2312"/>
                <w:i w:val="0"/>
                <w:iCs w:val="0"/>
                <w:color w:val="000000"/>
                <w:kern w:val="0"/>
                <w:sz w:val="20"/>
                <w:szCs w:val="20"/>
                <w:highlight w:val="none"/>
                <w:u w:val="none"/>
                <w:lang w:val="en-US" w:eastAsia="zh-CN" w:bidi="ar"/>
              </w:rPr>
              <w:t>年度</w:t>
            </w:r>
          </w:p>
        </w:tc>
        <w:tc>
          <w:tcPr>
            <w:tcW w:w="3812" w:type="dxa"/>
            <w:gridSpan w:val="3"/>
            <w:tcBorders>
              <w:top w:val="nil"/>
              <w:left w:val="nil"/>
              <w:bottom w:val="single" w:color="auto" w:sz="4" w:space="0"/>
              <w:right w:val="nil"/>
            </w:tcBorders>
            <w:noWrap/>
            <w:vAlign w:val="bottom"/>
          </w:tcPr>
          <w:p>
            <w:pPr>
              <w:jc w:val="right"/>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5485"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收入</w:t>
            </w:r>
          </w:p>
        </w:tc>
        <w:tc>
          <w:tcPr>
            <w:tcW w:w="5325"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行次</w:t>
            </w:r>
          </w:p>
        </w:tc>
        <w:tc>
          <w:tcPr>
            <w:tcW w:w="139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决算数</w:t>
            </w: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行次</w:t>
            </w:r>
          </w:p>
        </w:tc>
        <w:tc>
          <w:tcPr>
            <w:tcW w:w="13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687" w:type="dxa"/>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9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w:t>
            </w: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638" w:type="dxa"/>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一、一般公共预算财政拨款收入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一、一般公共服务支出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32</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二、政府性基金预算财政拨款收入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二、外交支出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33</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三、国有资本经营预算财政拨款收入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三、国防支出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34</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四、上级补助收入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四、公共安全支出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35</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9,626.45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五、事业收入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五、教育支出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36</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六、经营收入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六、科学技术支出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37</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七、附属单位上缴收入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7</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七、文化旅游体育与传媒支出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38</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八、其他收入</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8</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八、社会保障和就业支出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39</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797.47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9</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九、卫生健康支出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40</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614.75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10</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十、节能环保支出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41</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11</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十一、城乡社区支出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42</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12</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十二、农林水支出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43</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13</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十三、交通运输支出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44</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auto"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14</w:t>
            </w:r>
          </w:p>
        </w:tc>
        <w:tc>
          <w:tcPr>
            <w:tcW w:w="1390" w:type="dxa"/>
            <w:gridSpan w:val="2"/>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十四、资源勘探工业信息等支出</w:t>
            </w:r>
          </w:p>
        </w:tc>
        <w:tc>
          <w:tcPr>
            <w:tcW w:w="638"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45</w:t>
            </w:r>
          </w:p>
        </w:tc>
        <w:tc>
          <w:tcPr>
            <w:tcW w:w="1377" w:type="dxa"/>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15</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十五、商业服务业等支出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46</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16</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十六、金融支出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47</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17</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十七、援助其他地区支出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48</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18</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十八、自然资源海洋气象等支出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49</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19</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十九、住房保障支出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50</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862.91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20</w:t>
            </w:r>
          </w:p>
        </w:tc>
        <w:tc>
          <w:tcPr>
            <w:tcW w:w="139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二十、粮油物资储备支出</w:t>
            </w:r>
          </w:p>
        </w:tc>
        <w:tc>
          <w:tcPr>
            <w:tcW w:w="63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51</w:t>
            </w:r>
          </w:p>
        </w:tc>
        <w:tc>
          <w:tcPr>
            <w:tcW w:w="137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21</w:t>
            </w:r>
          </w:p>
        </w:tc>
        <w:tc>
          <w:tcPr>
            <w:tcW w:w="1390" w:type="dxa"/>
            <w:gridSpan w:val="2"/>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二十一、国有资本经营预算支出</w:t>
            </w:r>
          </w:p>
        </w:tc>
        <w:tc>
          <w:tcPr>
            <w:tcW w:w="638"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52</w:t>
            </w:r>
          </w:p>
        </w:tc>
        <w:tc>
          <w:tcPr>
            <w:tcW w:w="1377" w:type="dxa"/>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22</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二十二、灾害防治及应急管理支出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53</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23</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二十三、其他支出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54</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24</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二十四、债务还本支出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55</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25</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二十五、债务付息支出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56</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26</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二十六、抗疫特别国债安排的支出</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57</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本年收入合计</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27</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本年支出合计</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58</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使用非财政拨款结余（含专用结余）</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28</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结余分配</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59</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年初结转和结余</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29</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年末结转和结余</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60</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kern w:val="0"/>
                <w:sz w:val="20"/>
                <w:szCs w:val="20"/>
                <w:highlight w:val="none"/>
                <w:u w:val="none"/>
                <w:lang w:val="en-US" w:eastAsia="zh-CN" w:bidi="ar"/>
              </w:rPr>
            </w:pP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30</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kern w:val="0"/>
                <w:sz w:val="20"/>
                <w:szCs w:val="20"/>
                <w:highlight w:val="none"/>
                <w:u w:val="none"/>
                <w:lang w:val="en-US" w:eastAsia="zh-CN" w:bidi="ar"/>
              </w:rPr>
            </w:pP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61</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0" w:type="dxa"/>
          <w:trHeight w:val="23" w:hRule="atLeast"/>
          <w:jc w:val="center"/>
        </w:trPr>
        <w:tc>
          <w:tcPr>
            <w:tcW w:w="340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总计</w:t>
            </w:r>
          </w:p>
        </w:tc>
        <w:tc>
          <w:tcPr>
            <w:tcW w:w="6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31</w:t>
            </w:r>
          </w:p>
        </w:tc>
        <w:tc>
          <w:tcPr>
            <w:tcW w:w="139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331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总计</w:t>
            </w:r>
          </w:p>
        </w:tc>
        <w:tc>
          <w:tcPr>
            <w:tcW w:w="63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rPr>
            </w:pPr>
            <w:r>
              <w:rPr>
                <w:rFonts w:hint="eastAsia" w:ascii="仿宋_GB2312" w:hAnsi="仿宋_GB2312" w:eastAsia="仿宋_GB2312" w:cs="仿宋_GB2312"/>
                <w:i w:val="0"/>
                <w:iCs w:val="0"/>
                <w:color w:val="000000"/>
                <w:kern w:val="0"/>
                <w:sz w:val="20"/>
                <w:szCs w:val="20"/>
                <w:highlight w:val="none"/>
                <w:u w:val="none"/>
                <w:lang w:val="en-US" w:eastAsia="zh-CN" w:bidi="ar"/>
              </w:rPr>
              <w:t>62</w:t>
            </w:r>
          </w:p>
        </w:tc>
        <w:tc>
          <w:tcPr>
            <w:tcW w:w="13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840"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54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88"/>
        <w:gridCol w:w="1570"/>
        <w:gridCol w:w="1287"/>
        <w:gridCol w:w="1150"/>
        <w:gridCol w:w="869"/>
        <w:gridCol w:w="1101"/>
        <w:gridCol w:w="419"/>
        <w:gridCol w:w="681"/>
        <w:gridCol w:w="1173"/>
        <w:gridCol w:w="11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54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54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w:t>
            </w:r>
            <w:r>
              <w:rPr>
                <w:rFonts w:hint="eastAsia" w:ascii="仿宋_GB2312" w:hAnsi="仿宋_GB2312" w:eastAsia="仿宋_GB2312" w:cs="仿宋_GB2312"/>
                <w:i w:val="0"/>
                <w:iCs w:val="0"/>
                <w:color w:val="000000"/>
                <w:sz w:val="20"/>
                <w:szCs w:val="20"/>
                <w:highlight w:val="none"/>
                <w:u w:val="none"/>
                <w:lang w:val="en-US" w:eastAsia="zh-CN"/>
              </w:rPr>
              <w:t>02</w:t>
            </w:r>
            <w:r>
              <w:rPr>
                <w:rFonts w:hint="eastAsia" w:ascii="仿宋_GB2312" w:hAnsi="仿宋_GB2312" w:eastAsia="仿宋_GB2312" w:cs="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4045" w:type="dxa"/>
            <w:gridSpan w:val="3"/>
            <w:tcBorders>
              <w:top w:val="nil"/>
              <w:left w:val="nil"/>
              <w:bottom w:val="single" w:color="auto" w:sz="4" w:space="0"/>
              <w:right w:val="nil"/>
            </w:tcBorders>
            <w:noWrap/>
            <w:vAlign w:val="bottom"/>
          </w:tcPr>
          <w:p>
            <w:pP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部门（单位）：石家庄市公安特警支队                                                                                                         </w:t>
            </w:r>
          </w:p>
        </w:tc>
        <w:tc>
          <w:tcPr>
            <w:tcW w:w="3539" w:type="dxa"/>
            <w:gridSpan w:val="4"/>
            <w:tcBorders>
              <w:top w:val="nil"/>
              <w:left w:val="nil"/>
              <w:bottom w:val="single" w:color="auto" w:sz="4" w:space="0"/>
              <w:right w:val="nil"/>
            </w:tcBorders>
            <w:noWrap/>
            <w:vAlign w:val="bottom"/>
          </w:tcPr>
          <w:p>
            <w:pPr>
              <w:jc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sz w:val="20"/>
                <w:szCs w:val="20"/>
                <w:highlight w:val="none"/>
                <w:u w:val="none"/>
                <w:lang w:val="en-US" w:eastAsia="zh-CN"/>
              </w:rPr>
              <w:t>2024</w:t>
            </w:r>
            <w:r>
              <w:rPr>
                <w:rFonts w:hint="eastAsia" w:ascii="仿宋_GB2312" w:hAnsi="仿宋_GB2312" w:eastAsia="仿宋_GB2312" w:cs="仿宋_GB2312"/>
                <w:i w:val="0"/>
                <w:iCs w:val="0"/>
                <w:color w:val="000000"/>
                <w:kern w:val="0"/>
                <w:sz w:val="20"/>
                <w:szCs w:val="20"/>
                <w:highlight w:val="none"/>
                <w:u w:val="none"/>
                <w:lang w:val="en-US" w:eastAsia="zh-CN" w:bidi="ar"/>
              </w:rPr>
              <w:t>年度</w:t>
            </w:r>
          </w:p>
        </w:tc>
        <w:tc>
          <w:tcPr>
            <w:tcW w:w="2956" w:type="dxa"/>
            <w:gridSpan w:val="3"/>
            <w:tcBorders>
              <w:top w:val="nil"/>
              <w:left w:val="nil"/>
              <w:bottom w:val="single" w:color="auto" w:sz="4" w:space="0"/>
              <w:right w:val="nil"/>
            </w:tcBorders>
            <w:noWrap/>
            <w:vAlign w:val="bottom"/>
          </w:tcPr>
          <w:p>
            <w:pPr>
              <w:jc w:val="right"/>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758"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12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本年收入合计</w:t>
            </w:r>
          </w:p>
        </w:tc>
        <w:tc>
          <w:tcPr>
            <w:tcW w:w="1150"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财政拨款收入</w:t>
            </w:r>
          </w:p>
        </w:tc>
        <w:tc>
          <w:tcPr>
            <w:tcW w:w="869"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上级补助收入</w:t>
            </w:r>
          </w:p>
        </w:tc>
        <w:tc>
          <w:tcPr>
            <w:tcW w:w="1101"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事业收入</w:t>
            </w:r>
          </w:p>
        </w:tc>
        <w:tc>
          <w:tcPr>
            <w:tcW w:w="1100"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经营收入</w:t>
            </w:r>
          </w:p>
        </w:tc>
        <w:tc>
          <w:tcPr>
            <w:tcW w:w="1173"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附属单位上缴收入</w:t>
            </w:r>
          </w:p>
        </w:tc>
        <w:tc>
          <w:tcPr>
            <w:tcW w:w="1102"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88"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科目代码</w:t>
            </w:r>
          </w:p>
        </w:tc>
        <w:tc>
          <w:tcPr>
            <w:tcW w:w="157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科目名称</w:t>
            </w:r>
          </w:p>
        </w:tc>
        <w:tc>
          <w:tcPr>
            <w:tcW w:w="12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869"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1"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c>
          <w:tcPr>
            <w:tcW w:w="1100"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7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88"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570"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869"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1" w:type="dxa"/>
            <w:vMerge w:val="continue"/>
            <w:tcBorders>
              <w:left w:val="nil"/>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0"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7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88"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570"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5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869"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1" w:type="dxa"/>
            <w:vMerge w:val="continue"/>
            <w:tcBorders>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0"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73"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2"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758"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12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w:t>
            </w:r>
          </w:p>
        </w:tc>
        <w:tc>
          <w:tcPr>
            <w:tcW w:w="115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869"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101"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4</w:t>
            </w:r>
          </w:p>
        </w:tc>
        <w:tc>
          <w:tcPr>
            <w:tcW w:w="1100"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c>
          <w:tcPr>
            <w:tcW w:w="1173"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w:t>
            </w:r>
          </w:p>
        </w:tc>
        <w:tc>
          <w:tcPr>
            <w:tcW w:w="1102"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758"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合计</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11,901.59</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11,901.59</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公共安全支出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9,626.45</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9,626.45</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20402</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公安</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9,626.45</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9,626.45</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2040201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行政运行</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7,156.28</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7,156.28</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2040202</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一般行政管理事务</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1,891.90</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1,891.90</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2040220</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执法办案</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390.28</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390.28</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2040299</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其他公安支出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188.00</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188.00</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社会保障和就业支出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797.47</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797.47</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20805</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行政事业单位养老支出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792.00</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792.00</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2080501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行政单位离退休</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56.89</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56.89</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2080505</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机关事业单位基本养老保险缴费支出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735.11</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735.11</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20899</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其他社会保障和就业支出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5.47</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5.47</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2089999</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其他社会保障和就业支出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5.47</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5.47</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210</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卫生健康支出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614.75</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614.75</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21011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行政事业单位医疗</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614.75</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614.75</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2101101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行政单位医疗</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364.34</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364.34</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2101103</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公务员医疗补助</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250.41</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250.41</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221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住房保障支出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22102</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住房改革支出</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18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2210201</w:t>
            </w:r>
          </w:p>
        </w:tc>
        <w:tc>
          <w:tcPr>
            <w:tcW w:w="157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住房公积金</w:t>
            </w:r>
          </w:p>
        </w:tc>
        <w:tc>
          <w:tcPr>
            <w:tcW w:w="12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115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r>
              <w:rPr>
                <w:rFonts w:hint="eastAsia" w:ascii="仿宋_GB2312" w:hAnsi="仿宋_GB2312" w:eastAsia="仿宋_GB2312" w:cs="仿宋_GB2312"/>
                <w:spacing w:val="-2"/>
                <w:sz w:val="20"/>
                <w:szCs w:val="20"/>
                <w:lang w:val="en-US" w:eastAsia="zh-CN"/>
              </w:rPr>
              <w:t>862.91</w:t>
            </w:r>
          </w:p>
        </w:tc>
        <w:tc>
          <w:tcPr>
            <w:tcW w:w="869"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73"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c>
          <w:tcPr>
            <w:tcW w:w="110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54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94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18"/>
        <w:gridCol w:w="1840"/>
        <w:gridCol w:w="1016"/>
        <w:gridCol w:w="446"/>
        <w:gridCol w:w="1188"/>
        <w:gridCol w:w="1275"/>
        <w:gridCol w:w="162"/>
        <w:gridCol w:w="950"/>
        <w:gridCol w:w="1104"/>
        <w:gridCol w:w="17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940"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br w:type="page"/>
            </w:r>
            <w:r>
              <w:rPr>
                <w:rFonts w:hint="eastAsia" w:ascii="仿宋_GB2312" w:hAnsi="仿宋_GB2312" w:eastAsia="仿宋_GB2312" w:cs="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94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4074"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部门（单位）：石家庄市公安特警支队                                                                                                          </w:t>
            </w:r>
          </w:p>
        </w:tc>
        <w:tc>
          <w:tcPr>
            <w:tcW w:w="3071"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2024年度</w:t>
            </w:r>
          </w:p>
        </w:tc>
        <w:tc>
          <w:tcPr>
            <w:tcW w:w="3795"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3058"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1462"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本年支出合计</w:t>
            </w:r>
          </w:p>
        </w:tc>
        <w:tc>
          <w:tcPr>
            <w:tcW w:w="118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基本支出</w:t>
            </w:r>
          </w:p>
        </w:tc>
        <w:tc>
          <w:tcPr>
            <w:tcW w:w="1275"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项目支出</w:t>
            </w:r>
          </w:p>
        </w:tc>
        <w:tc>
          <w:tcPr>
            <w:tcW w:w="1112"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上缴上级支出</w:t>
            </w:r>
          </w:p>
        </w:tc>
        <w:tc>
          <w:tcPr>
            <w:tcW w:w="110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经营支出</w:t>
            </w:r>
          </w:p>
        </w:tc>
        <w:tc>
          <w:tcPr>
            <w:tcW w:w="1741"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8"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科目代码</w:t>
            </w:r>
          </w:p>
        </w:tc>
        <w:tc>
          <w:tcPr>
            <w:tcW w:w="184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科目名称</w:t>
            </w:r>
          </w:p>
        </w:tc>
        <w:tc>
          <w:tcPr>
            <w:tcW w:w="146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8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1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741"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8"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840"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46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8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1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741"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8"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840"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46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8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7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12"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741"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3058"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1462"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w:t>
            </w:r>
          </w:p>
        </w:tc>
        <w:tc>
          <w:tcPr>
            <w:tcW w:w="118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127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112"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w:t>
            </w:r>
          </w:p>
        </w:tc>
        <w:tc>
          <w:tcPr>
            <w:tcW w:w="110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c>
          <w:tcPr>
            <w:tcW w:w="1741"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3058"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合计</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9,431.41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2,470.17</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公共安全支出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9,626.45</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2,470.17</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公安</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9,626.45</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2,470.17</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2040201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行政运行</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2040202</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一般行政管理事务</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1,891.90</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1,891.90</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2040220</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执法办案</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390.28</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390.28</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2040299</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其他公安支出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188.00</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188.00</w:t>
            </w: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社会保障和就业支出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797.47</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797.47</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行政事业单位养老支出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792.00</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792.00</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2080501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行政单位离退休</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56.89</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56.89</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2080505</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机关事业单位基本养老保险缴费支出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735.11</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735.11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20899</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其他社会保障和就业支出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2089999</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其他社会保障和就业支出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卫生健康支出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行政事业单位医疗</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2101101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行政单位医疗</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364.34</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364.34</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2101103</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公务员医疗补助</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250.41</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250.41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住房保障支出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22102</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住房改革支出</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218"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2210201</w:t>
            </w:r>
          </w:p>
        </w:tc>
        <w:tc>
          <w:tcPr>
            <w:tcW w:w="1840" w:type="dxa"/>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住房公积金</w:t>
            </w:r>
          </w:p>
        </w:tc>
        <w:tc>
          <w:tcPr>
            <w:tcW w:w="146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188"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12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12"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094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6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243"/>
        <w:gridCol w:w="587"/>
        <w:gridCol w:w="1205"/>
        <w:gridCol w:w="1659"/>
        <w:gridCol w:w="836"/>
        <w:gridCol w:w="663"/>
        <w:gridCol w:w="22"/>
        <w:gridCol w:w="1103"/>
        <w:gridCol w:w="1137"/>
        <w:gridCol w:w="1175"/>
        <w:gridCol w:w="10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5694" w:type="dxa"/>
            <w:gridSpan w:val="4"/>
            <w:tcBorders>
              <w:top w:val="nil"/>
              <w:left w:val="nil"/>
              <w:bottom w:val="single" w:color="auto" w:sz="4" w:space="0"/>
              <w:right w:val="nil"/>
            </w:tcBorders>
            <w:noWrap/>
            <w:vAlign w:val="bottom"/>
          </w:tcPr>
          <w:p>
            <w:pP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部门（单位）：石家庄市公安特警支队                                                                                                    </w:t>
            </w:r>
          </w:p>
        </w:tc>
        <w:tc>
          <w:tcPr>
            <w:tcW w:w="1521" w:type="dxa"/>
            <w:gridSpan w:val="3"/>
            <w:tcBorders>
              <w:top w:val="nil"/>
              <w:left w:val="nil"/>
              <w:bottom w:val="single" w:color="auto" w:sz="4" w:space="0"/>
              <w:right w:val="nil"/>
            </w:tcBorders>
            <w:noWrap/>
            <w:vAlign w:val="bottom"/>
          </w:tcPr>
          <w:p>
            <w:pPr>
              <w:jc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2024年度</w:t>
            </w:r>
          </w:p>
        </w:tc>
        <w:tc>
          <w:tcPr>
            <w:tcW w:w="4494" w:type="dxa"/>
            <w:gridSpan w:val="4"/>
            <w:tcBorders>
              <w:top w:val="nil"/>
              <w:left w:val="nil"/>
              <w:bottom w:val="single" w:color="auto" w:sz="4" w:space="0"/>
              <w:right w:val="nil"/>
            </w:tcBorders>
            <w:noWrap/>
            <w:vAlign w:val="bottom"/>
          </w:tcPr>
          <w:p>
            <w:pPr>
              <w:jc w:val="right"/>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243"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    目</w:t>
            </w:r>
          </w:p>
        </w:tc>
        <w:tc>
          <w:tcPr>
            <w:tcW w:w="58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行次</w:t>
            </w:r>
          </w:p>
        </w:tc>
        <w:tc>
          <w:tcPr>
            <w:tcW w:w="1205"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金额</w:t>
            </w:r>
          </w:p>
        </w:tc>
        <w:tc>
          <w:tcPr>
            <w:tcW w:w="2495"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663"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行次</w:t>
            </w:r>
          </w:p>
        </w:tc>
        <w:tc>
          <w:tcPr>
            <w:tcW w:w="112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合计</w:t>
            </w:r>
          </w:p>
        </w:tc>
        <w:tc>
          <w:tcPr>
            <w:tcW w:w="1137"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一般公共预算财政拨款</w:t>
            </w:r>
          </w:p>
        </w:tc>
        <w:tc>
          <w:tcPr>
            <w:tcW w:w="1175"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政府性基金预算财政拨款</w:t>
            </w:r>
          </w:p>
        </w:tc>
        <w:tc>
          <w:tcPr>
            <w:tcW w:w="107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243"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587"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05"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495"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663"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2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c>
          <w:tcPr>
            <w:tcW w:w="1137"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c>
          <w:tcPr>
            <w:tcW w:w="1175"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c>
          <w:tcPr>
            <w:tcW w:w="107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    次</w:t>
            </w:r>
          </w:p>
        </w:tc>
        <w:tc>
          <w:tcPr>
            <w:tcW w:w="587" w:type="dxa"/>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205"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w:t>
            </w: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    次</w:t>
            </w:r>
          </w:p>
        </w:tc>
        <w:tc>
          <w:tcPr>
            <w:tcW w:w="663" w:type="dxa"/>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2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113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175"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w:t>
            </w:r>
          </w:p>
        </w:tc>
        <w:tc>
          <w:tcPr>
            <w:tcW w:w="107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一、一般公共预算财政拨款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一、一般公共服务支出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33</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二、政府性基金预算财政拨款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二、外交支出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34</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三、国有资本经营预算财政拨款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三、国防支出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35</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四、公共安全支出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36</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9,626.45</w:t>
            </w: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9,626.45</w:t>
            </w: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五、教育支出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37</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六、科学技术支出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38</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7</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七、文化旅游体育与传媒支出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39</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8</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八、社会保障和就业支出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40</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797.47</w:t>
            </w: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797.47</w:t>
            </w: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9</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九、卫生健康支出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41</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614.75</w:t>
            </w: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614.75</w:t>
            </w: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10</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十、节能环保支出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42</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11</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十一、城乡社区支出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43</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auto"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12</w:t>
            </w:r>
          </w:p>
        </w:tc>
        <w:tc>
          <w:tcPr>
            <w:tcW w:w="1205" w:type="dxa"/>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十二、农林水支出</w:t>
            </w:r>
          </w:p>
        </w:tc>
        <w:tc>
          <w:tcPr>
            <w:tcW w:w="663"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44</w:t>
            </w:r>
          </w:p>
        </w:tc>
        <w:tc>
          <w:tcPr>
            <w:tcW w:w="1125" w:type="dxa"/>
            <w:gridSpan w:val="2"/>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auto"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auto"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13</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十三、交通运输支出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45</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14</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十四、资源勘探工业信息等支出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46</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15</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十五、商业服务业等支出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47</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16</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十六、金融支出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48</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17</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十七、援助其他地区支出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49</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18</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十八、自然资源海洋气象等支出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50</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19</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十九、住房保障支出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51</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862.91</w:t>
            </w: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862.91</w:t>
            </w: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20</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二十、粮油物资储备支出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52</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21</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二十一、国有资本经营预算支出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53</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22</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二十二、灾害防治及应急管理支出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54</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23</w:t>
            </w:r>
          </w:p>
        </w:tc>
        <w:tc>
          <w:tcPr>
            <w:tcW w:w="120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二十三、其他支出</w:t>
            </w:r>
          </w:p>
        </w:tc>
        <w:tc>
          <w:tcPr>
            <w:tcW w:w="663"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55</w:t>
            </w:r>
          </w:p>
        </w:tc>
        <w:tc>
          <w:tcPr>
            <w:tcW w:w="112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587"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24</w:t>
            </w:r>
          </w:p>
        </w:tc>
        <w:tc>
          <w:tcPr>
            <w:tcW w:w="1205" w:type="dxa"/>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二十四、债务还本支出</w:t>
            </w:r>
          </w:p>
        </w:tc>
        <w:tc>
          <w:tcPr>
            <w:tcW w:w="663"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56</w:t>
            </w:r>
          </w:p>
        </w:tc>
        <w:tc>
          <w:tcPr>
            <w:tcW w:w="1125" w:type="dxa"/>
            <w:gridSpan w:val="2"/>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single" w:color="auto" w:sz="4" w:space="0"/>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single" w:color="auto" w:sz="4" w:space="0"/>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center"/>
              <w:rPr>
                <w:rFonts w:hint="eastAsia" w:ascii="仿宋_GB2312" w:hAnsi="仿宋_GB2312" w:eastAsia="仿宋_GB2312" w:cs="仿宋_GB2312"/>
                <w:b/>
                <w:bCs/>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25</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二十五、债务付息支出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57</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26</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二十六、抗疫特别国债安排的支出</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58</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本年收入合计</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27</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本年支出合计</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59</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年初财政拨款结转和结余</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28</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年末财政拨款结转和结余</w:t>
            </w: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60</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both"/>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both"/>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一、一般公共预算财政拨款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29</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61</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二、政府性基金预算财政拨款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30</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62</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243"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三、国有资本经营预算财政拨款</w:t>
            </w:r>
          </w:p>
        </w:tc>
        <w:tc>
          <w:tcPr>
            <w:tcW w:w="5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31</w:t>
            </w:r>
          </w:p>
        </w:tc>
        <w:tc>
          <w:tcPr>
            <w:tcW w:w="120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95" w:type="dxa"/>
            <w:gridSpan w:val="2"/>
            <w:tcBorders>
              <w:top w:val="nil"/>
              <w:left w:val="nil"/>
              <w:bottom w:val="single" w:color="000000" w:sz="4" w:space="0"/>
              <w:right w:val="single" w:color="000000"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c>
          <w:tcPr>
            <w:tcW w:w="66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63</w:t>
            </w:r>
          </w:p>
        </w:tc>
        <w:tc>
          <w:tcPr>
            <w:tcW w:w="1125"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3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4" w:space="0"/>
              <w:right w:val="single" w:color="000000" w:sz="8"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9" w:hRule="atLeast"/>
        </w:trPr>
        <w:tc>
          <w:tcPr>
            <w:tcW w:w="2243"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总计</w:t>
            </w:r>
          </w:p>
        </w:tc>
        <w:tc>
          <w:tcPr>
            <w:tcW w:w="587"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32</w:t>
            </w:r>
          </w:p>
        </w:tc>
        <w:tc>
          <w:tcPr>
            <w:tcW w:w="1205" w:type="dxa"/>
            <w:tcBorders>
              <w:top w:val="nil"/>
              <w:left w:val="nil"/>
              <w:bottom w:val="single" w:color="000000" w:sz="8"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2495"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b/>
                <w:bCs/>
                <w:i w:val="0"/>
                <w:iCs w:val="0"/>
                <w:color w:val="000000"/>
                <w:sz w:val="20"/>
                <w:szCs w:val="20"/>
                <w:highlight w:val="none"/>
                <w:u w:val="none"/>
              </w:rPr>
            </w:pPr>
            <w:r>
              <w:rPr>
                <w:rFonts w:hint="eastAsia" w:ascii="仿宋_GB2312" w:hAnsi="仿宋_GB2312" w:eastAsia="仿宋_GB2312" w:cs="仿宋_GB2312"/>
                <w:b/>
                <w:bCs/>
                <w:i w:val="0"/>
                <w:iCs w:val="0"/>
                <w:color w:val="000000"/>
                <w:kern w:val="0"/>
                <w:sz w:val="20"/>
                <w:szCs w:val="20"/>
                <w:highlight w:val="none"/>
                <w:u w:val="none"/>
                <w:lang w:val="en-US" w:eastAsia="zh-CN" w:bidi="ar"/>
              </w:rPr>
              <w:t>总计</w:t>
            </w:r>
          </w:p>
        </w:tc>
        <w:tc>
          <w:tcPr>
            <w:tcW w:w="663"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64</w:t>
            </w:r>
          </w:p>
        </w:tc>
        <w:tc>
          <w:tcPr>
            <w:tcW w:w="1125" w:type="dxa"/>
            <w:gridSpan w:val="2"/>
            <w:tcBorders>
              <w:top w:val="nil"/>
              <w:left w:val="nil"/>
              <w:bottom w:val="single" w:color="000000" w:sz="8"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1137" w:type="dxa"/>
            <w:tcBorders>
              <w:top w:val="nil"/>
              <w:left w:val="nil"/>
              <w:bottom w:val="single" w:color="000000" w:sz="8" w:space="0"/>
              <w:right w:val="single" w:color="000000" w:sz="4" w:space="0"/>
            </w:tcBorders>
            <w:noWrap/>
            <w:vAlign w:val="center"/>
          </w:tcPr>
          <w:p>
            <w:pPr>
              <w:jc w:val="right"/>
              <w:rPr>
                <w:rFonts w:hint="eastAsia" w:ascii="仿宋_GB2312" w:hAnsi="仿宋_GB2312" w:eastAsia="仿宋_GB2312" w:cs="仿宋_GB2312"/>
                <w:sz w:val="20"/>
                <w:szCs w:val="20"/>
                <w:highlight w:val="none"/>
              </w:rPr>
            </w:pPr>
          </w:p>
          <w:p>
            <w:pPr>
              <w:jc w:val="right"/>
              <w:rPr>
                <w:rFonts w:hint="eastAsia" w:ascii="仿宋_GB2312" w:hAnsi="仿宋_GB2312" w:eastAsia="仿宋_GB2312" w:cs="仿宋_GB2312"/>
                <w:sz w:val="20"/>
                <w:szCs w:val="20"/>
                <w:highlight w:val="none"/>
              </w:rPr>
            </w:pPr>
            <w:r>
              <w:rPr>
                <w:rFonts w:hint="eastAsia" w:ascii="仿宋_GB2312" w:hAnsi="仿宋_GB2312" w:eastAsia="仿宋_GB2312" w:cs="仿宋_GB2312"/>
                <w:sz w:val="20"/>
                <w:szCs w:val="20"/>
                <w:highlight w:val="none"/>
              </w:rPr>
              <w:t>11,901.59</w:t>
            </w:r>
          </w:p>
          <w:p>
            <w:pPr>
              <w:jc w:val="right"/>
              <w:rPr>
                <w:rFonts w:hint="eastAsia" w:ascii="仿宋_GB2312" w:hAnsi="仿宋_GB2312" w:eastAsia="仿宋_GB2312" w:cs="仿宋_GB2312"/>
                <w:i w:val="0"/>
                <w:iCs w:val="0"/>
                <w:color w:val="000000"/>
                <w:sz w:val="20"/>
                <w:szCs w:val="20"/>
                <w:highlight w:val="none"/>
                <w:u w:val="none"/>
              </w:rPr>
            </w:pPr>
          </w:p>
        </w:tc>
        <w:tc>
          <w:tcPr>
            <w:tcW w:w="1175" w:type="dxa"/>
            <w:tcBorders>
              <w:top w:val="nil"/>
              <w:left w:val="nil"/>
              <w:bottom w:val="single" w:color="000000" w:sz="8"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79" w:type="dxa"/>
            <w:tcBorders>
              <w:top w:val="nil"/>
              <w:left w:val="nil"/>
              <w:bottom w:val="single" w:color="000000" w:sz="8" w:space="0"/>
              <w:right w:val="single" w:color="000000" w:sz="8"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980" w:type="dxa"/>
        <w:jc w:val="center"/>
        <w:tblInd w:w="-65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22"/>
        <w:gridCol w:w="1525"/>
        <w:gridCol w:w="808"/>
        <w:gridCol w:w="1499"/>
        <w:gridCol w:w="1567"/>
        <w:gridCol w:w="740"/>
        <w:gridCol w:w="24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9980"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9980"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3755"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编制部门（单位）：石家庄市公安特警支队</w:t>
            </w:r>
          </w:p>
        </w:tc>
        <w:tc>
          <w:tcPr>
            <w:tcW w:w="3066"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2024年度</w:t>
            </w:r>
          </w:p>
        </w:tc>
        <w:tc>
          <w:tcPr>
            <w:tcW w:w="3159"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9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7033"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422"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科目代码</w:t>
            </w:r>
          </w:p>
        </w:tc>
        <w:tc>
          <w:tcPr>
            <w:tcW w:w="152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科目名称</w:t>
            </w:r>
          </w:p>
        </w:tc>
        <w:tc>
          <w:tcPr>
            <w:tcW w:w="230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小计</w:t>
            </w:r>
          </w:p>
        </w:tc>
        <w:tc>
          <w:tcPr>
            <w:tcW w:w="230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基本支出</w:t>
            </w:r>
          </w:p>
        </w:tc>
        <w:tc>
          <w:tcPr>
            <w:tcW w:w="241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422"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52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307"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307"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41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422"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52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307"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307"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41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9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2</w:t>
            </w:r>
          </w:p>
        </w:tc>
        <w:tc>
          <w:tcPr>
            <w:tcW w:w="241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2947"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合计</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11,901.59</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9,431.41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sz w:val="20"/>
                <w:szCs w:val="20"/>
                <w:highlight w:val="none"/>
              </w:rPr>
              <w:t>2,470.17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公共安全支出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9,626.45</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2,470.17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公安</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9,626.45</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2,470.17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2040201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行政运行</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7,156.28</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2040202</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一般行政管理事务</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1,891.90</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1,891.90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2040220</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执法办案</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390.28</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390.28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2040299</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其他公安支出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188.00</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188.00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社会保障和就业支出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797.47</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797.47</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行政事业单位养老支出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792.00</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792.00</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2080501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行政单位离退休</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56.89</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56.89</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2080505</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机关事业单位基本养老保险缴费支出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735.11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735.11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20899</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其他社会保障和就业支出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2089999</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其他社会保障和就业支出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5.47</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卫生健康支出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行政事业单位医疗</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614.75</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2101101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行政单位医疗</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364.34</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364.34</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2101103</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公务员医疗补助</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250.41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250.41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住房保障支出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22102</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住房改革支出</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1422"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2210201</w:t>
            </w:r>
          </w:p>
        </w:tc>
        <w:tc>
          <w:tcPr>
            <w:tcW w:w="152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住房公积金</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30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sz w:val="20"/>
                <w:szCs w:val="20"/>
                <w:highlight w:val="none"/>
                <w:u w:val="none"/>
                <w:lang w:val="en-US" w:eastAsia="zh-CN"/>
              </w:rPr>
              <w:t>862.91</w:t>
            </w:r>
          </w:p>
        </w:tc>
        <w:tc>
          <w:tcPr>
            <w:tcW w:w="2419"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jc w:val="center"/>
        </w:trPr>
        <w:tc>
          <w:tcPr>
            <w:tcW w:w="9980"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5200" w:type="dxa"/>
            <w:gridSpan w:val="5"/>
            <w:tcBorders>
              <w:top w:val="nil"/>
              <w:left w:val="nil"/>
              <w:bottom w:val="single" w:color="auto" w:sz="4" w:space="0"/>
              <w:right w:val="nil"/>
            </w:tcBorders>
            <w:noWrap/>
            <w:vAlign w:val="bottom"/>
          </w:tcPr>
          <w:p>
            <w:pP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部门（单位）：石家庄市公安特警支队                                                                    </w:t>
            </w:r>
          </w:p>
        </w:tc>
        <w:tc>
          <w:tcPr>
            <w:tcW w:w="1963" w:type="dxa"/>
            <w:gridSpan w:val="2"/>
            <w:tcBorders>
              <w:top w:val="nil"/>
              <w:left w:val="nil"/>
              <w:bottom w:val="single" w:color="auto" w:sz="4" w:space="0"/>
              <w:right w:val="nil"/>
            </w:tcBorders>
            <w:noWrap/>
            <w:vAlign w:val="bottom"/>
          </w:tcPr>
          <w:p>
            <w:pPr>
              <w:jc w:val="center"/>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2024年度</w:t>
            </w:r>
          </w:p>
        </w:tc>
        <w:tc>
          <w:tcPr>
            <w:tcW w:w="4175" w:type="dxa"/>
            <w:gridSpan w:val="4"/>
            <w:tcBorders>
              <w:top w:val="nil"/>
              <w:left w:val="nil"/>
              <w:bottom w:val="single" w:color="auto" w:sz="4" w:space="0"/>
              <w:right w:val="nil"/>
            </w:tcBorders>
            <w:noWrap/>
            <w:vAlign w:val="bottom"/>
          </w:tcPr>
          <w:p>
            <w:pPr>
              <w:jc w:val="right"/>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lang w:val="en-US"/>
              </w:rPr>
            </w:pPr>
            <w:r>
              <w:rPr>
                <w:rFonts w:hint="eastAsia" w:ascii="仿宋_GB2312" w:hAnsi="仿宋_GB2312" w:eastAsia="仿宋_GB2312" w:cs="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lang w:val="en-US" w:eastAsia="zh-CN"/>
              </w:rPr>
            </w:pPr>
            <w:r>
              <w:rPr>
                <w:rFonts w:hint="eastAsia" w:ascii="仿宋_GB2312" w:hAnsi="仿宋_GB2312" w:eastAsia="仿宋_GB2312" w:cs="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lang w:val="en-US" w:eastAsia="zh-CN"/>
              </w:rPr>
            </w:pPr>
            <w:r>
              <w:rPr>
                <w:rFonts w:hint="eastAsia" w:ascii="仿宋_GB2312" w:hAnsi="仿宋_GB2312" w:eastAsia="仿宋_GB2312" w:cs="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lang w:eastAsia="zh-CN"/>
              </w:rPr>
              <w:t>8,344.64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lang w:eastAsia="zh-CN"/>
              </w:rPr>
              <w:t>1,020.23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lang w:eastAsia="zh-CN"/>
              </w:rPr>
              <w:t>2,095.21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45.75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lang w:eastAsia="zh-CN"/>
              </w:rPr>
              <w:t>2,995.03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lang w:eastAsia="zh-CN"/>
              </w:rPr>
              <w:t>230.00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12.67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735.11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36.47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170.23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lang w:eastAsia="zh-CN"/>
              </w:rPr>
            </w:pPr>
            <w:r>
              <w:rPr>
                <w:rFonts w:hint="eastAsia" w:ascii="仿宋_GB2312" w:hAnsi="仿宋_GB2312" w:eastAsia="仿宋_GB2312" w:cs="仿宋_GB2312"/>
                <w:sz w:val="18"/>
                <w:szCs w:val="18"/>
                <w:highlight w:val="none"/>
                <w:lang w:eastAsia="zh-CN"/>
              </w:rPr>
              <w:t>209.12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599.12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97.25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5.09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16.01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73.94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862.91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73.22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635.91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66.55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11.05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58.10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8.45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51.52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32.97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154.23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218.99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3.05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_GB2312" w:hAnsi="仿宋_GB2312" w:eastAsia="仿宋_GB2312" w:cs="仿宋_GB2312"/>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sz w:val="18"/>
                <w:szCs w:val="18"/>
                <w:highlight w:val="none"/>
                <w:lang w:val="en-US" w:eastAsia="zh-CN"/>
              </w:rPr>
            </w:pPr>
            <w:r>
              <w:rPr>
                <w:rFonts w:hint="eastAsia" w:ascii="仿宋_GB2312" w:hAnsi="仿宋_GB2312" w:eastAsia="仿宋_GB2312" w:cs="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sz w:val="18"/>
                <w:szCs w:val="18"/>
                <w:highlight w:val="none"/>
              </w:rPr>
            </w:pPr>
            <w:r>
              <w:rPr>
                <w:rFonts w:hint="eastAsia" w:ascii="仿宋_GB2312" w:hAnsi="仿宋_GB2312" w:eastAsia="仿宋_GB2312" w:cs="仿宋_GB2312"/>
                <w:sz w:val="18"/>
                <w:szCs w:val="18"/>
                <w:highlight w:val="none"/>
              </w:rPr>
              <w:t>8,411.18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sz w:val="18"/>
                <w:szCs w:val="18"/>
                <w:highlight w:val="none"/>
              </w:rPr>
              <w:t>1,020.23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部门（单位）：石家庄市公安特警支队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2024年度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注：本表反映部门本年度政府性基金预算财政拨款收入、支出及结转和结余情况。无相关数据，按要求空表列示。</w:t>
            </w:r>
            <w:r>
              <w:rPr>
                <w:rFonts w:hint="eastAsia" w:ascii="仿宋_GB2312" w:hAnsi="仿宋_GB2312" w:eastAsia="仿宋_GB2312" w:cs="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部门（单位）：石家庄市公安特警支队</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2024年度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kern w:val="0"/>
                <w:sz w:val="20"/>
                <w:szCs w:val="20"/>
                <w:highlight w:val="none"/>
                <w:u w:val="none"/>
                <w:lang w:val="en-US" w:eastAsia="zh-CN" w:bidi="ar"/>
              </w:rPr>
            </w:pPr>
            <w:r>
              <w:rPr>
                <w:rFonts w:hint="eastAsia" w:ascii="仿宋_GB2312" w:hAnsi="仿宋_GB2312" w:eastAsia="仿宋_GB2312" w:cs="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20"/>
                <w:szCs w:val="20"/>
                <w:highlight w:val="none"/>
                <w:u w:val="none"/>
                <w:lang w:val="en-US" w:eastAsia="zh-CN"/>
              </w:rPr>
            </w:pPr>
            <w:r>
              <w:rPr>
                <w:rFonts w:hint="eastAsia" w:ascii="仿宋_GB2312" w:hAnsi="仿宋_GB2312" w:eastAsia="仿宋_GB2312" w:cs="仿宋_GB2312"/>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20"/>
                <w:szCs w:val="20"/>
                <w:highlight w:val="none"/>
                <w:u w:val="none"/>
              </w:rPr>
            </w:pPr>
            <w:r>
              <w:rPr>
                <w:rFonts w:hint="eastAsia" w:ascii="仿宋_GB2312" w:hAnsi="仿宋_GB2312" w:eastAsia="仿宋_GB2312" w:cs="仿宋_GB2312"/>
                <w:i w:val="0"/>
                <w:iCs w:val="0"/>
                <w:color w:val="000000"/>
                <w:kern w:val="0"/>
                <w:sz w:val="20"/>
                <w:szCs w:val="20"/>
                <w:highlight w:val="none"/>
                <w:u w:val="none"/>
                <w:lang w:val="en-US" w:eastAsia="zh-CN" w:bidi="ar"/>
              </w:rPr>
              <w:t>注：本表反映部门本年度国有资本经营预算财政拨款支出情况。</w:t>
            </w:r>
            <w:r>
              <w:rPr>
                <w:rFonts w:hint="eastAsia" w:ascii="仿宋_GB2312" w:hAnsi="仿宋_GB2312" w:eastAsia="仿宋_GB2312" w:cs="仿宋_GB2312"/>
                <w:i w:val="0"/>
                <w:iCs w:val="0"/>
                <w:color w:val="000000"/>
                <w:kern w:val="0"/>
                <w:sz w:val="20"/>
                <w:szCs w:val="20"/>
                <w:highlight w:val="none"/>
                <w:u w:val="none"/>
                <w:lang w:val="en-US" w:eastAsia="zh-CN" w:bidi="ar"/>
              </w:rPr>
              <w:t>无相关数据，按要求空表列示。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962"/>
        <w:gridCol w:w="811"/>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部门（单位）：石家庄市公安特警支队</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2024年度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仿宋_GB2312" w:hAnsi="仿宋_GB2312" w:eastAsia="仿宋_GB2312" w:cs="仿宋_GB2312"/>
                <w:i w:val="0"/>
                <w:iCs w:val="0"/>
                <w:color w:val="000000"/>
                <w:kern w:val="0"/>
                <w:sz w:val="18"/>
                <w:szCs w:val="18"/>
                <w:highlight w:val="none"/>
                <w:u w:val="none"/>
                <w:lang w:val="en-US" w:eastAsia="zh-CN" w:bidi="ar"/>
              </w:rPr>
            </w:pPr>
            <w:r>
              <w:rPr>
                <w:rFonts w:hint="eastAsia" w:ascii="仿宋_GB2312" w:hAnsi="仿宋_GB2312" w:eastAsia="仿宋_GB2312" w:cs="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合计</w:t>
            </w:r>
          </w:p>
        </w:tc>
        <w:tc>
          <w:tcPr>
            <w:tcW w:w="962"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因公出国（境）费</w:t>
            </w:r>
          </w:p>
        </w:tc>
        <w:tc>
          <w:tcPr>
            <w:tcW w:w="2784"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962"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c>
          <w:tcPr>
            <w:tcW w:w="81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7</w:t>
            </w:r>
          </w:p>
        </w:tc>
        <w:tc>
          <w:tcPr>
            <w:tcW w:w="96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8</w:t>
            </w:r>
          </w:p>
        </w:tc>
        <w:tc>
          <w:tcPr>
            <w:tcW w:w="81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272.00</w:t>
            </w:r>
          </w:p>
        </w:tc>
        <w:tc>
          <w:tcPr>
            <w:tcW w:w="1226"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272.00</w:t>
            </w:r>
          </w:p>
        </w:tc>
        <w:tc>
          <w:tcPr>
            <w:tcW w:w="946"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85.08</w:t>
            </w:r>
          </w:p>
        </w:tc>
        <w:tc>
          <w:tcPr>
            <w:tcW w:w="1063"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186.92</w:t>
            </w:r>
          </w:p>
        </w:tc>
        <w:tc>
          <w:tcPr>
            <w:tcW w:w="77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239.31</w:t>
            </w:r>
          </w:p>
        </w:tc>
        <w:tc>
          <w:tcPr>
            <w:tcW w:w="962"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c>
          <w:tcPr>
            <w:tcW w:w="811"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239.31</w:t>
            </w:r>
          </w:p>
        </w:tc>
        <w:tc>
          <w:tcPr>
            <w:tcW w:w="102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85.08</w:t>
            </w:r>
          </w:p>
        </w:tc>
        <w:tc>
          <w:tcPr>
            <w:tcW w:w="946"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sz w:val="18"/>
                <w:szCs w:val="18"/>
                <w:highlight w:val="none"/>
                <w:u w:val="none"/>
              </w:rPr>
              <w:t>154.23</w:t>
            </w:r>
          </w:p>
        </w:tc>
        <w:tc>
          <w:tcPr>
            <w:tcW w:w="1187" w:type="dxa"/>
            <w:tcBorders>
              <w:top w:val="nil"/>
              <w:left w:val="nil"/>
              <w:bottom w:val="single" w:color="000000" w:sz="4" w:space="0"/>
              <w:right w:val="single" w:color="000000" w:sz="4" w:space="0"/>
            </w:tcBorders>
            <w:noWrap/>
            <w:vAlign w:val="center"/>
          </w:tcPr>
          <w:p>
            <w:pPr>
              <w:jc w:val="right"/>
              <w:rPr>
                <w:rFonts w:hint="eastAsia" w:ascii="仿宋_GB2312" w:hAnsi="仿宋_GB2312" w:eastAsia="仿宋_GB2312" w:cs="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sz w:val="18"/>
                <w:szCs w:val="18"/>
                <w:highlight w:val="none"/>
                <w:u w:val="none"/>
              </w:rPr>
            </w:pPr>
            <w:r>
              <w:rPr>
                <w:rFonts w:hint="eastAsia" w:ascii="仿宋_GB2312" w:hAnsi="仿宋_GB2312" w:eastAsia="仿宋_GB2312" w:cs="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both"/>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本单位2024年度收、支总计（含结转和结余）均为11,901.59万元。与2023年度决算相比，收支各增加2,760.26万元，增长30.2%，主要原因是单位在职人员增多，人员经费增加。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both"/>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本年收入合计11,901.59万元，其中：财政拨款收入11,901.59万元，占100.0%；上级补助收入0.00万元，占0.0%；事业收入0.00万元，占0.0%；经营收入0.00万元，占0.0%；附属单位上缴收入0.00万元，占0.0%；其他收入0.00万元，占0.0%。</w:t>
      </w:r>
    </w:p>
    <w:p>
      <w:pPr>
        <w:adjustRightInd w:val="0"/>
        <w:snapToGrid w:val="0"/>
        <w:spacing w:line="580" w:lineRule="exact"/>
        <w:jc w:val="center"/>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both"/>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本单位2024年度本年支出合计11,901.59万元，其中：基本支出9,431.41万元，占79.2%；项目支出2,470.17万元，占20.8%；上缴上级支出0.00万元，占0.0%；经营支出0.00万元，占0.0%；对附属单位补助支出0.00万元，占0.0%。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本单位2024年度财政拨款收、支总计（含结转和结余）均为11,901.59万元。与2023年度相比，财政拨款收支各增加2,760.26万元，增长30.2%，主要原因是单位在职人员增多，人员经费增加。</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本单位2024年度财政拨款本年收入11,901.59万元</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全部为</w:t>
      </w:r>
      <w:r>
        <w:rPr>
          <w:rFonts w:ascii="Times New Roman" w:eastAsia="仿宋_GB2312"/>
          <w:b w:val="0"/>
          <w:sz w:val="32"/>
          <w:szCs w:val="32"/>
        </w:rPr>
        <w:t>一般公共预算财政拨款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比上年增加2,862.03万元，增长31.7%，主要原因是单位在职人员增多，人员经费增加；本年支出11,901.59万元，比上年增加2,760.26万元，增长30.2%，主要原因是单位在职人员增多，人员经费增加。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both"/>
        <w:rPr>
          <w:rFonts w:hint="default" w:ascii="Times New Roman" w:hAnsi="Times New Roman" w:eastAsia="Arial" w:cs="Times New Roman"/>
          <w:highlight w:val="none"/>
        </w:rPr>
      </w:pPr>
      <w:r>
        <w:rPr>
          <w:rFonts w:ascii="Times New Roman" w:eastAsia="仿宋_GB2312"/>
          <w:b w:val="0"/>
          <w:sz w:val="32"/>
          <w:szCs w:val="32"/>
        </w:rPr>
        <w:t>本单位2024年度财政拨款本年收入11,901.59万元，</w:t>
      </w:r>
      <w:r>
        <w:rPr>
          <w:rFonts w:hint="eastAsia" w:ascii="Times New Roman" w:eastAsia="仿宋_GB2312"/>
          <w:b w:val="0"/>
          <w:sz w:val="32"/>
          <w:szCs w:val="32"/>
          <w:lang w:val="en-US" w:eastAsia="zh-CN"/>
        </w:rPr>
        <w:t>全部为</w:t>
      </w:r>
      <w:r>
        <w:rPr>
          <w:rFonts w:ascii="Times New Roman" w:eastAsia="仿宋_GB2312"/>
          <w:b w:val="0"/>
          <w:sz w:val="32"/>
          <w:szCs w:val="32"/>
        </w:rPr>
        <w:t>一般公共预算财政拨款</w:t>
      </w:r>
      <w:r>
        <w:rPr>
          <w:rFonts w:hint="eastAsia" w:ascii="Times New Roman" w:eastAsia="仿宋_GB2312"/>
          <w:b w:val="0"/>
          <w:sz w:val="32"/>
          <w:szCs w:val="32"/>
          <w:lang w:val="en-US" w:eastAsia="zh-CN"/>
        </w:rPr>
        <w:t>收入，</w:t>
      </w:r>
      <w:r>
        <w:rPr>
          <w:rFonts w:ascii="Times New Roman" w:eastAsia="仿宋_GB2312"/>
          <w:b w:val="0"/>
          <w:sz w:val="32"/>
          <w:szCs w:val="32"/>
        </w:rPr>
        <w:t>完成年初预算的119.5%，比年初预算增加1,940.14万元，决算数大于预算数主要原因是人员经费支出增加；本年支出11,901.59万元，完成年初预算的119.5%，比年初预算增加1,940.14万元，决算数大于预算数主要原因是人员经费支出增加。</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2024年度财政拨款支出11,901.59万元，</w:t>
      </w:r>
      <w:r>
        <w:rPr>
          <w:rFonts w:hint="eastAsia" w:ascii="Times New Roman" w:eastAsia="仿宋_GB2312"/>
          <w:b w:val="0"/>
          <w:sz w:val="32"/>
          <w:szCs w:val="32"/>
          <w:lang w:val="en-US" w:eastAsia="zh-CN"/>
        </w:rPr>
        <w:t>全部为</w:t>
      </w:r>
      <w:r>
        <w:rPr>
          <w:rFonts w:ascii="Times New Roman" w:eastAsia="仿宋_GB2312"/>
          <w:b w:val="0"/>
          <w:sz w:val="32"/>
          <w:szCs w:val="32"/>
        </w:rPr>
        <w:t>一般公共预算财政拨款</w:t>
      </w:r>
      <w:r>
        <w:rPr>
          <w:rFonts w:hint="eastAsia" w:ascii="Times New Roman" w:eastAsia="仿宋_GB2312"/>
          <w:b w:val="0"/>
          <w:sz w:val="32"/>
          <w:szCs w:val="32"/>
          <w:lang w:val="en-US" w:eastAsia="zh-CN"/>
        </w:rPr>
        <w:t>支出，</w:t>
      </w:r>
      <w:r>
        <w:rPr>
          <w:rFonts w:ascii="Times New Roman" w:eastAsia="仿宋_GB2312"/>
          <w:b w:val="0"/>
          <w:sz w:val="32"/>
          <w:szCs w:val="32"/>
        </w:rPr>
        <w:t>主要用于以下方面：</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eastAsia="zh-CN"/>
        </w:rPr>
      </w:pPr>
      <w:r>
        <w:rPr>
          <w:rFonts w:ascii="Times New Roman" w:eastAsia="仿宋_GB2312"/>
          <w:b w:val="0"/>
          <w:sz w:val="32"/>
          <w:szCs w:val="32"/>
        </w:rPr>
        <w:t>公共安全类（类）支出9,626.45万元，占80.9%，主要用于人员经费及日常公用等支出；社会保障和就业（类）支出797.47万元，占6.7%，主要用于行政事业单位养老等支出；卫生健康（类）支出614.75万元，占5.2%，主要用于突发公共卫生事件应急处理及行政事业单位医疗等支出；住房保障（类）支出862.91万元，占7.3%，主要用于住房公积金支出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480" w:firstLineChars="200"/>
        <w:jc w:val="center"/>
        <w:rPr>
          <w:rFonts w:ascii="Times New Roman" w:eastAsia="仿宋_GB2312"/>
          <w:b w:val="0"/>
          <w:sz w:val="32"/>
          <w:szCs w:val="32"/>
        </w:rPr>
      </w:pPr>
      <w:r>
        <w:drawing>
          <wp:inline distT="0" distB="0" distL="114300" distR="114300">
            <wp:extent cx="5356860" cy="3091180"/>
            <wp:effectExtent l="4445" t="4445" r="10795" b="952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2024年度财政拨款基本支出9,431.41万元，其中：</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人员经费</w:t>
      </w:r>
      <w:r>
        <w:rPr>
          <w:rFonts w:hint="eastAsia" w:ascii="Times New Roman" w:eastAsia="仿宋_GB2312"/>
          <w:b w:val="0"/>
          <w:sz w:val="32"/>
          <w:szCs w:val="32"/>
        </w:rPr>
        <w:t>8,411.18</w:t>
      </w:r>
      <w:r>
        <w:rPr>
          <w:rFonts w:ascii="Times New Roman" w:eastAsia="仿宋_GB2312"/>
          <w:b w:val="0"/>
          <w:sz w:val="32"/>
          <w:szCs w:val="32"/>
        </w:rPr>
        <w:t>万元，主要包括</w:t>
      </w:r>
      <w:r>
        <w:rPr>
          <w:rFonts w:hint="eastAsia" w:ascii="Times New Roman" w:eastAsia="仿宋_GB2312"/>
          <w:b w:val="0"/>
          <w:sz w:val="32"/>
          <w:szCs w:val="32"/>
          <w:lang w:val="en-US" w:eastAsia="zh-CN"/>
        </w:rPr>
        <w:t>基本工资、津贴补贴、奖金、伙食补助费、机关事业单位基本、养老保险缴费、职业年金缴费、职工基本医疗保险缴费、公务员医疗补助缴费、其他社会保障缴费、住房公积金、其他工资福利支出、退休费、生活补助。</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公用经费</w:t>
      </w:r>
      <w:r>
        <w:rPr>
          <w:rFonts w:hint="eastAsia" w:ascii="Times New Roman" w:eastAsia="仿宋_GB2312"/>
          <w:b w:val="0"/>
          <w:sz w:val="32"/>
          <w:szCs w:val="32"/>
        </w:rPr>
        <w:t>1,020.23</w:t>
      </w:r>
      <w:r>
        <w:rPr>
          <w:rFonts w:ascii="Times New Roman" w:eastAsia="仿宋_GB2312"/>
          <w:b w:val="0"/>
          <w:sz w:val="32"/>
          <w:szCs w:val="32"/>
        </w:rPr>
        <w:t>万元，主要包括</w:t>
      </w:r>
      <w:r>
        <w:rPr>
          <w:rFonts w:hint="eastAsia" w:ascii="Times New Roman" w:eastAsia="仿宋_GB2312"/>
          <w:b w:val="0"/>
          <w:sz w:val="32"/>
          <w:szCs w:val="32"/>
          <w:lang w:val="en-US" w:eastAsia="zh-CN"/>
        </w:rPr>
        <w:t>办公费、水费、电费、邮电费、取暖费、差旅费、维修（护）费、 培训费、工会经费、福利费、公务用车运行维护费、其他交通费用、其他商品和服务支出。</w:t>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三公”经费财政拨款支出预算为272.00万元，支出决算为239.31万元，完成预算的88.0%，较预算减少32.69万元，降低12.0%，主要原因是严格执行“过紧日子”政策，厉行节俭，反对浪费，减少公务用车运行维护费支出；较2023年度决算增加73.42万元，增长44.3%，主要原因是公务用车运行维护费支出增加。</w:t>
      </w:r>
    </w:p>
    <w:p>
      <w:pPr>
        <w:widowControl/>
        <w:spacing w:before="0" w:beforeLines="0" w:beforeAutospacing="0" w:after="0" w:afterLines="0" w:afterAutospacing="0" w:line="360" w:lineRule="auto"/>
        <w:ind w:firstLine="643" w:firstLineChars="200"/>
        <w:jc w:val="both"/>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未发生此类支出</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未发生此类支出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272.00万元，支出决算239.31万元，完成预算的88.0%,较预算减少32.69万元，降低12.0%,主要原因是严格落实“过紧日子”政策，厉行节俭，减少公务用车运行维护费支出；较上年增加73.42万元，增长44.3%,主要原因是公务用车运行维护费支出增加。其中：</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仿宋_GB2312"/>
          <w:b/>
          <w:sz w:val="32"/>
          <w:szCs w:val="32"/>
        </w:rPr>
        <w:t>公务用车购置费支出85.08万元：</w:t>
      </w:r>
      <w:r>
        <w:rPr>
          <w:rFonts w:ascii="Times New Roman" w:eastAsia="仿宋_GB2312"/>
          <w:b w:val="0"/>
          <w:sz w:val="32"/>
          <w:szCs w:val="32"/>
        </w:rPr>
        <w:t>本单位2024年度公务用车购置量10辆，发生“公务用车购置”经费支出85.08万元。公务用车购置费支出较预算增加0.00万元，增长0.0%,主要原因是公务用车购置严格按照预算批复数执行；较上年增加58.58万元，增长221.1%,主要原因是2024年与2023年购置的车辆不同，并严格按照预算批复数执行。</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仿宋_GB2312"/>
          <w:b/>
          <w:sz w:val="32"/>
          <w:szCs w:val="32"/>
        </w:rPr>
        <w:t>公务用车运行维护费支出154.23万元：</w:t>
      </w:r>
      <w:r>
        <w:rPr>
          <w:rFonts w:ascii="Times New Roman" w:eastAsia="仿宋_GB2312"/>
          <w:b w:val="0"/>
          <w:sz w:val="32"/>
          <w:szCs w:val="32"/>
        </w:rPr>
        <w:t>本单位2024年度单位公务用车保有量87辆，发生运行维护费支出154.23万元。公车运行维护费支出较预算减少32.69万元，降低17.5%,主要原因是严格落实“过紧日子”政策，厉行节俭，减少公务用车运行维护费支出；较上年增加14.84万元，增长10.6%，主要原因是单位车辆使用年限较长，经常出现各种故障。</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未发生此类支出</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未发生此类支出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本单位2024年度机关运行经费支出1,020.23万元，较2023年度增加199.61万元，增长24.3%。主要原因是单位在职人员增加，公用经费支出增加。</w:t>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2024年度政府采购支出总额753.90万元，从采购类型来看，政府采购货物支出476.36万元、政府采购工程支出137.49万元、政府采购服务支出140.05万元。授予中小企业合同金额687.04万元，占政府采购支出总额的91.1%，其中授予小微企业合同金额687.04万元，占政府采购支出总额的91.1%。</w:t>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截至2024年12月31日，本单位共有车辆87辆，比上年增加10辆，主要是购置了10辆车。其中，副部（省）级及以上领导用车0辆，主要负责人用车0辆，机要通信用车1辆，应急保障用车0辆，执法执勤用车31辆，特种专业技术用车24辆，离退休干部用车0辆，其他用车31辆，其他用车主要是2辆属于后勤保障用车，其他是原单位分为巡警支队和特警支队后，历史遗留问题，属于不在编车辆。单位价值100万元（含）以上设备（不含车辆）0台（套）。</w:t>
      </w:r>
    </w:p>
    <w:p>
      <w:pPr>
        <w:widowControl/>
        <w:spacing w:before="0" w:beforeLines="0" w:beforeAutospacing="0" w:after="0" w:afterLines="0" w:afterAutospacing="0" w:line="360" w:lineRule="auto"/>
        <w:ind w:firstLine="640" w:firstLineChars="200"/>
        <w:jc w:val="both"/>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根据预算绩效管理要求，本单位组织对2024年度本级预算项目支出全面开展绩效自评，共涉及资金2,282.17万元（决算金额）。其中，一般公共预算项目15个，涉及资金2,282.17万元，占一般公共预算项目支出总额的</w:t>
      </w:r>
      <w:r>
        <w:rPr>
          <w:rFonts w:hint="eastAsia" w:ascii="Times New Roman" w:eastAsia="仿宋_GB2312"/>
          <w:b w:val="0"/>
          <w:sz w:val="32"/>
          <w:szCs w:val="32"/>
          <w:lang w:val="en-US" w:eastAsia="zh-CN"/>
        </w:rPr>
        <w:t>92.39</w:t>
      </w:r>
      <w:r>
        <w:rPr>
          <w:rFonts w:ascii="Times New Roman" w:eastAsia="仿宋_GB2312"/>
          <w:b w:val="0"/>
          <w:sz w:val="32"/>
          <w:szCs w:val="32"/>
        </w:rPr>
        <w:t>%；政府性基金预算项目0个，涉及资金0万元，占政府性基金预算项目支出总额的0%；国有资本经营预算项目0个，涉及资金0万元，占国有资本经营预算项目支出总额的0%。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hint="eastAsia" w:ascii="Times New Roman" w:eastAsia="仿宋_GB2312"/>
          <w:b w:val="0"/>
          <w:sz w:val="32"/>
          <w:szCs w:val="32"/>
          <w:lang w:val="en-US" w:eastAsia="zh-CN"/>
        </w:rPr>
        <w:t>本部门</w:t>
      </w:r>
      <w:r>
        <w:rPr>
          <w:rFonts w:ascii="Times New Roman" w:eastAsia="仿宋_GB2312"/>
          <w:b w:val="0"/>
          <w:sz w:val="32"/>
          <w:szCs w:val="32"/>
        </w:rPr>
        <w:t>组织对</w:t>
      </w:r>
      <w:r>
        <w:rPr>
          <w:rFonts w:hint="eastAsia" w:ascii="Times New Roman" w:eastAsia="仿宋_GB2312"/>
          <w:b w:val="0"/>
          <w:sz w:val="32"/>
          <w:szCs w:val="32"/>
          <w:lang w:val="en-US" w:eastAsia="zh-CN"/>
        </w:rPr>
        <w:t>15</w:t>
      </w:r>
      <w:r>
        <w:rPr>
          <w:rFonts w:ascii="Times New Roman" w:eastAsia="仿宋_GB2312"/>
          <w:b w:val="0"/>
          <w:sz w:val="32"/>
          <w:szCs w:val="32"/>
        </w:rPr>
        <w:t>个项目开展了</w:t>
      </w:r>
      <w:r>
        <w:rPr>
          <w:rFonts w:hint="eastAsia" w:ascii="Times New Roman" w:eastAsia="仿宋_GB2312"/>
          <w:b w:val="0"/>
          <w:sz w:val="32"/>
          <w:szCs w:val="32"/>
          <w:lang w:val="en-US" w:eastAsia="zh-CN"/>
        </w:rPr>
        <w:t>绩效评价</w:t>
      </w:r>
      <w:r>
        <w:rPr>
          <w:rFonts w:ascii="Times New Roman" w:eastAsia="仿宋_GB2312"/>
          <w:b w:val="0"/>
          <w:sz w:val="32"/>
          <w:szCs w:val="32"/>
        </w:rPr>
        <w:t>，</w:t>
      </w:r>
      <w:r>
        <w:rPr>
          <w:rFonts w:hint="eastAsia" w:ascii="Times New Roman" w:eastAsia="仿宋_GB2312"/>
          <w:b w:val="0"/>
          <w:sz w:val="32"/>
          <w:szCs w:val="32"/>
          <w:lang w:val="en-US" w:eastAsia="zh-CN"/>
        </w:rPr>
        <w:t>自评得分100分的14个，90分以上1个</w:t>
      </w:r>
      <w:r>
        <w:rPr>
          <w:rFonts w:ascii="Times New Roman" w:eastAsia="仿宋_GB2312"/>
          <w:b w:val="0"/>
          <w:sz w:val="32"/>
          <w:szCs w:val="32"/>
        </w:rPr>
        <w:t>，从评价情况来看，</w:t>
      </w:r>
      <w:r>
        <w:rPr>
          <w:rFonts w:hint="eastAsia" w:ascii="Times New Roman" w:eastAsia="仿宋_GB2312"/>
          <w:b w:val="0"/>
          <w:sz w:val="32"/>
          <w:szCs w:val="32"/>
          <w:lang w:val="en-US" w:eastAsia="zh-CN"/>
        </w:rPr>
        <w:t>较好的完成了部门整体绩效目标</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both"/>
        <w:rPr>
          <w:rFonts w:ascii="Times New Roman" w:eastAsia="仿宋_GB2312"/>
          <w:sz w:val="32"/>
          <w:szCs w:val="32"/>
          <w:highlight w:val="none"/>
        </w:rPr>
      </w:pPr>
      <w:r>
        <w:rPr>
          <w:rFonts w:ascii="Times New Roman" w:eastAsia="仿宋_GB2312"/>
          <w:b/>
          <w:sz w:val="32"/>
          <w:szCs w:val="32"/>
          <w:highlight w:val="none"/>
        </w:rPr>
        <w:t>（二）部门决算中项目绩效自评结果</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本单位在今年部门决算公开中反映办案业务及培训费、警用航空装备购置经费等10个项目绩效自评结果。</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办案业务及培训费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办案业务及培训费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85.20</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85.20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通过项目实施，完成了年初设定的各项绩效目标，完成了日常勤务实战训练的开展和保障任务。未发现问题。</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警用航空装备购置经费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警用航空装备购置经费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99.8</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50</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49.21</w:t>
      </w:r>
      <w:r>
        <w:rPr>
          <w:rFonts w:ascii="Times New Roman" w:eastAsia="仿宋_GB2312"/>
          <w:b w:val="0"/>
          <w:sz w:val="32"/>
          <w:szCs w:val="32"/>
        </w:rPr>
        <w:t>万元，完成预算的</w:t>
      </w:r>
      <w:r>
        <w:rPr>
          <w:rFonts w:hint="eastAsia" w:ascii="Times New Roman" w:eastAsia="仿宋_GB2312"/>
          <w:b w:val="0"/>
          <w:sz w:val="32"/>
          <w:szCs w:val="32"/>
          <w:lang w:val="en-US" w:eastAsia="zh-CN"/>
        </w:rPr>
        <w:t>98.42</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通过项目实施，完成了年初设定的各项绩效目标，完成了警用航空装备的购置，保障了各类指挥和群体性事件的处置。未发现问题。</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委托业务费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委托业务费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149.80</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149.73</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99.95</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单位设施设备、办公场所的维护，保证了办公的正常开展</w:t>
      </w:r>
      <w:r>
        <w:rPr>
          <w:rFonts w:hint="eastAsia" w:ascii="Times New Roman" w:eastAsia="仿宋_GB2312"/>
          <w:b w:val="0"/>
          <w:sz w:val="32"/>
          <w:szCs w:val="32"/>
          <w:lang w:val="en-US" w:eastAsia="zh-CN"/>
        </w:rPr>
        <w:t>。未发现问题。</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特警支队辅警劳务费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特警支队辅警劳务费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1217.57</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1216.69</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99.93</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单位在职辅警人员劳务费用的发放</w:t>
      </w:r>
      <w:r>
        <w:rPr>
          <w:rFonts w:hint="eastAsia" w:ascii="Times New Roman" w:eastAsia="仿宋_GB2312"/>
          <w:b w:val="0"/>
          <w:sz w:val="32"/>
          <w:szCs w:val="32"/>
          <w:lang w:val="en-US" w:eastAsia="zh-CN"/>
        </w:rPr>
        <w:t>。未发现问题。</w:t>
      </w:r>
    </w:p>
    <w:p>
      <w:pPr>
        <w:widowControl/>
        <w:spacing w:before="0" w:beforeLines="0" w:beforeAutospacing="0" w:after="0" w:afterLines="0" w:afterAutospacing="0" w:line="360" w:lineRule="auto"/>
        <w:ind w:firstLine="640" w:firstLineChars="200"/>
        <w:jc w:val="both"/>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专用设备购置费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专用设备购置费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53.27</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53.27</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100</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专用设备的购置，保障了各类会议和训练正常进行</w:t>
      </w:r>
      <w:r>
        <w:rPr>
          <w:rFonts w:hint="eastAsia" w:ascii="Times New Roman" w:eastAsia="仿宋_GB2312"/>
          <w:b w:val="0"/>
          <w:sz w:val="32"/>
          <w:szCs w:val="32"/>
          <w:lang w:val="en-US" w:eastAsia="zh-CN"/>
        </w:rPr>
        <w:t>。未发现问题。</w:t>
      </w:r>
    </w:p>
    <w:p>
      <w:pPr>
        <w:widowControl/>
        <w:spacing w:before="0" w:beforeLines="0" w:beforeAutospacing="0" w:after="0" w:afterLines="0" w:afterAutospacing="0" w:line="360" w:lineRule="auto"/>
        <w:ind w:firstLine="640" w:firstLineChars="200"/>
        <w:jc w:val="both"/>
        <w:rPr>
          <w:rFonts w:hint="default"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特警支队修缮改造项目资金</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特警支队修缮改造项目资金</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193.32</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192.73</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99.69</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院落修缮改造，提升办公环境</w:t>
      </w:r>
      <w:r>
        <w:rPr>
          <w:rFonts w:hint="eastAsia" w:ascii="Times New Roman" w:eastAsia="仿宋_GB2312"/>
          <w:b w:val="0"/>
          <w:sz w:val="32"/>
          <w:szCs w:val="32"/>
          <w:lang w:val="en-US" w:eastAsia="zh-CN"/>
        </w:rPr>
        <w:t>。未发现问题。</w:t>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物业管理费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物业管理费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77.11</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77.11</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100</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物业服务的管理，支队办公环境进一步得到了优化</w:t>
      </w:r>
      <w:r>
        <w:rPr>
          <w:rFonts w:hint="eastAsia" w:ascii="Times New Roman" w:eastAsia="仿宋_GB2312"/>
          <w:b w:val="0"/>
          <w:sz w:val="32"/>
          <w:szCs w:val="32"/>
          <w:lang w:val="en-US" w:eastAsia="zh-CN"/>
        </w:rPr>
        <w:t>。未发现问题。</w:t>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警用服装和装备购置经费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警用服装和装备购置经费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200</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200</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100</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警用服装和装备的购置，提升了特警的形象和战斗力</w:t>
      </w:r>
      <w:r>
        <w:rPr>
          <w:rFonts w:hint="eastAsia" w:ascii="Times New Roman" w:eastAsia="仿宋_GB2312"/>
          <w:b w:val="0"/>
          <w:sz w:val="32"/>
          <w:szCs w:val="32"/>
          <w:lang w:val="en-US" w:eastAsia="zh-CN"/>
        </w:rPr>
        <w:t>。未发现问题。</w:t>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训练保障经费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训练保障经费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50</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49.96</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99.92</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保障任务、训练，确保任务、训练的正常开展</w:t>
      </w:r>
      <w:r>
        <w:rPr>
          <w:rFonts w:hint="eastAsia" w:ascii="Times New Roman" w:eastAsia="仿宋_GB2312"/>
          <w:b w:val="0"/>
          <w:sz w:val="32"/>
          <w:szCs w:val="32"/>
          <w:lang w:val="en-US" w:eastAsia="zh-CN"/>
        </w:rPr>
        <w:t>。未发现问题。</w:t>
      </w:r>
    </w:p>
    <w:p>
      <w:pPr>
        <w:adjustRightInd w:val="0"/>
        <w:snapToGrid w:val="0"/>
        <w:spacing w:line="560" w:lineRule="exact"/>
        <w:ind w:firstLine="640" w:firstLineChars="200"/>
        <w:rPr>
          <w:rFonts w:hint="eastAsia" w:ascii="Times New Roman" w:eastAsia="仿宋_GB2312"/>
          <w:b w:val="0"/>
          <w:sz w:val="32"/>
          <w:szCs w:val="32"/>
          <w:lang w:val="en-US" w:eastAsia="zh-CN"/>
        </w:rPr>
      </w:pPr>
      <w:r>
        <w:rPr>
          <w:rFonts w:hint="eastAsia" w:ascii="仿宋_GB2312" w:hAnsi="仿宋_GB2312" w:eastAsia="仿宋_GB2312" w:cs="仿宋_GB2312"/>
          <w:color w:val="000000" w:themeColor="text1" w:themeShade="80"/>
          <w:sz w:val="32"/>
          <w:szCs w:val="32"/>
          <w:highlight w:val="none"/>
          <w:lang w:val="en-US" w:eastAsia="zh-CN"/>
        </w:rPr>
        <w:t>公务用车购置经费</w:t>
      </w: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000000" w:themeColor="text1" w:themeShade="80"/>
          <w:sz w:val="32"/>
          <w:szCs w:val="32"/>
          <w:highlight w:val="none"/>
          <w:lang w:val="en-US" w:eastAsia="zh-CN"/>
        </w:rPr>
        <w:t>公务用车购置经费</w:t>
      </w:r>
      <w:r>
        <w:rPr>
          <w:rFonts w:ascii="Times New Roman" w:eastAsia="仿宋_GB2312"/>
          <w:b w:val="0"/>
          <w:sz w:val="32"/>
          <w:szCs w:val="32"/>
        </w:rPr>
        <w:t>项目绩效自评得分为</w:t>
      </w:r>
      <w:r>
        <w:rPr>
          <w:rFonts w:hint="eastAsia" w:ascii="仿宋_GB2312" w:hAnsi="仿宋_GB2312" w:eastAsia="仿宋_GB2312" w:cs="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000000" w:themeColor="text1" w:themeShade="80"/>
          <w:sz w:val="32"/>
          <w:szCs w:val="32"/>
          <w:highlight w:val="none"/>
          <w:lang w:val="en-US" w:eastAsia="zh-CN"/>
        </w:rPr>
        <w:t>85.08</w:t>
      </w:r>
      <w:r>
        <w:rPr>
          <w:rFonts w:ascii="Times New Roman" w:eastAsia="仿宋_GB2312"/>
          <w:b w:val="0"/>
          <w:sz w:val="32"/>
          <w:szCs w:val="32"/>
        </w:rPr>
        <w:t>万元，执行数为</w:t>
      </w:r>
      <w:r>
        <w:rPr>
          <w:rFonts w:hint="eastAsia" w:ascii="仿宋_GB2312" w:hAnsi="仿宋_GB2312" w:eastAsia="仿宋_GB2312" w:cs="仿宋_GB2312"/>
          <w:color w:val="000000" w:themeColor="text1" w:themeShade="80"/>
          <w:sz w:val="32"/>
          <w:szCs w:val="32"/>
          <w:highlight w:val="none"/>
          <w:lang w:val="en-US" w:eastAsia="zh-CN"/>
        </w:rPr>
        <w:t>85.08</w:t>
      </w:r>
      <w:r>
        <w:rPr>
          <w:rFonts w:ascii="Times New Roman" w:eastAsia="仿宋_GB2312"/>
          <w:b w:val="0"/>
          <w:sz w:val="32"/>
          <w:szCs w:val="32"/>
        </w:rPr>
        <w:t>万元，完成预算</w:t>
      </w:r>
      <w:r>
        <w:rPr>
          <w:rFonts w:hint="eastAsia" w:ascii="仿宋_GB2312" w:hAnsi="仿宋_GB2312" w:eastAsia="仿宋_GB2312" w:cs="仿宋_GB2312"/>
          <w:b w:val="0"/>
          <w:sz w:val="32"/>
          <w:szCs w:val="32"/>
        </w:rPr>
        <w:t>的</w:t>
      </w:r>
      <w:r>
        <w:rPr>
          <w:rFonts w:hint="eastAsia" w:ascii="仿宋_GB2312" w:hAnsi="仿宋_GB2312" w:eastAsia="仿宋_GB2312" w:cs="仿宋_GB2312"/>
          <w:b w:val="0"/>
          <w:sz w:val="32"/>
          <w:szCs w:val="32"/>
          <w:lang w:val="en-US" w:eastAsia="zh-CN"/>
        </w:rPr>
        <w:t>100</w:t>
      </w:r>
      <w:r>
        <w:rPr>
          <w:rFonts w:hint="eastAsia" w:ascii="仿宋_GB2312" w:hAnsi="仿宋_GB2312" w:eastAsia="仿宋_GB2312" w:cs="仿宋_GB2312"/>
          <w:b w:val="0"/>
          <w:sz w:val="32"/>
          <w:szCs w:val="32"/>
        </w:rPr>
        <w:t>%</w:t>
      </w:r>
      <w:r>
        <w:rPr>
          <w:rFonts w:ascii="Times New Roman" w:eastAsia="仿宋_GB2312"/>
          <w:b w:val="0"/>
          <w:sz w:val="32"/>
          <w:szCs w:val="32"/>
        </w:rPr>
        <w:t>。</w:t>
      </w:r>
      <w:r>
        <w:rPr>
          <w:rFonts w:hint="eastAsia" w:ascii="Times New Roman" w:eastAsia="仿宋_GB2312"/>
          <w:b w:val="0"/>
          <w:sz w:val="32"/>
          <w:szCs w:val="32"/>
          <w:lang w:val="en-US" w:eastAsia="zh-CN"/>
        </w:rPr>
        <w:t>通过项目实施，完成了年初设定的各项绩效目标，完成了</w:t>
      </w:r>
      <w:r>
        <w:rPr>
          <w:rFonts w:hint="eastAsia" w:ascii="仿宋_GB2312" w:hAnsi="仿宋_GB2312" w:eastAsia="仿宋_GB2312" w:cs="仿宋_GB2312"/>
          <w:color w:val="000000" w:themeColor="text1" w:themeShade="80"/>
          <w:sz w:val="32"/>
          <w:szCs w:val="32"/>
          <w:highlight w:val="none"/>
          <w:lang w:val="en-US" w:eastAsia="zh-CN"/>
        </w:rPr>
        <w:t>公务用车的购置，提升了单位执法执勤能力</w:t>
      </w:r>
      <w:r>
        <w:rPr>
          <w:rFonts w:hint="eastAsia" w:ascii="Times New Roman" w:eastAsia="仿宋_GB2312"/>
          <w:b w:val="0"/>
          <w:sz w:val="32"/>
          <w:szCs w:val="32"/>
          <w:lang w:val="en-US" w:eastAsia="zh-CN"/>
        </w:rPr>
        <w:t>。未发现问题。</w:t>
      </w:r>
    </w:p>
    <w:p>
      <w:pPr>
        <w:widowControl/>
        <w:spacing w:before="0" w:beforeLines="0" w:beforeAutospacing="0" w:after="0" w:afterLines="0" w:afterAutospacing="0" w:line="360" w:lineRule="auto"/>
        <w:ind w:firstLine="643" w:firstLineChars="200"/>
        <w:jc w:val="both"/>
        <w:rPr>
          <w:rFonts w:hint="eastAsia" w:ascii="Times New Roman" w:eastAsia="仿宋_GB2312"/>
          <w:b/>
          <w:sz w:val="32"/>
          <w:szCs w:val="32"/>
          <w:lang w:val="en-US" w:eastAsia="zh-CN"/>
        </w:rPr>
      </w:pPr>
      <w:r>
        <w:rPr>
          <w:rFonts w:hint="eastAsia" w:ascii="Times New Roman" w:eastAsia="仿宋_GB2312"/>
          <w:b/>
          <w:sz w:val="32"/>
          <w:szCs w:val="32"/>
          <w:lang w:val="en-US" w:eastAsia="zh-CN"/>
        </w:rPr>
        <w:t>附绩效自评表如下：</w:t>
      </w:r>
    </w:p>
    <w:p>
      <w:pPr>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br w:type="page"/>
      </w:r>
    </w:p>
    <w:p>
      <w:pPr>
        <w:widowControl/>
        <w:spacing w:before="0" w:beforeLines="0" w:beforeAutospacing="0" w:after="0" w:afterLines="0" w:afterAutospacing="0" w:line="360" w:lineRule="auto"/>
        <w:ind w:firstLine="640" w:firstLineChars="200"/>
        <w:jc w:val="both"/>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办案业务及培训费</w:t>
      </w:r>
    </w:p>
    <w:tbl>
      <w:tblPr>
        <w:tblW w:w="11025" w:type="dxa"/>
        <w:jc w:val="center"/>
        <w:tblInd w:w="-961" w:type="dxa"/>
        <w:shd w:val="clear"/>
        <w:tblLayout w:type="fixed"/>
        <w:tblCellMar>
          <w:top w:w="0" w:type="dxa"/>
          <w:left w:w="0" w:type="dxa"/>
          <w:bottom w:w="0" w:type="dxa"/>
          <w:right w:w="0" w:type="dxa"/>
        </w:tblCellMar>
      </w:tblPr>
      <w:tblGrid>
        <w:gridCol w:w="1365"/>
        <w:gridCol w:w="1155"/>
        <w:gridCol w:w="1140"/>
        <w:gridCol w:w="1545"/>
        <w:gridCol w:w="1620"/>
        <w:gridCol w:w="1245"/>
        <w:gridCol w:w="1335"/>
        <w:gridCol w:w="1620"/>
      </w:tblGrid>
      <w:tr>
        <w:tblPrEx>
          <w:shd w:val="clear"/>
          <w:tblLayout w:type="fixed"/>
          <w:tblCellMar>
            <w:top w:w="0" w:type="dxa"/>
            <w:left w:w="0" w:type="dxa"/>
            <w:bottom w:w="0" w:type="dxa"/>
            <w:right w:w="0" w:type="dxa"/>
          </w:tblCellMar>
        </w:tblPrEx>
        <w:trPr>
          <w:trHeight w:val="23" w:hRule="atLeast"/>
          <w:jc w:val="center"/>
        </w:trPr>
        <w:tc>
          <w:tcPr>
            <w:tcW w:w="11025"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shd w:val="clear"/>
          <w:tblLayout w:type="fixed"/>
          <w:tblCellMar>
            <w:top w:w="0" w:type="dxa"/>
            <w:left w:w="0" w:type="dxa"/>
            <w:bottom w:w="0" w:type="dxa"/>
            <w:right w:w="0" w:type="dxa"/>
          </w:tblCellMar>
        </w:tblPrEx>
        <w:trPr>
          <w:trHeight w:val="23" w:hRule="atLeast"/>
          <w:jc w:val="center"/>
        </w:trPr>
        <w:tc>
          <w:tcPr>
            <w:tcW w:w="11025"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23" w:hRule="atLeast"/>
          <w:jc w:val="center"/>
        </w:trPr>
        <w:tc>
          <w:tcPr>
            <w:tcW w:w="3660"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shd w:val="clear"/>
          <w:tblLayout w:type="fixed"/>
          <w:tblCellMar>
            <w:top w:w="0" w:type="dxa"/>
            <w:left w:w="0" w:type="dxa"/>
            <w:bottom w:w="0" w:type="dxa"/>
            <w:right w:w="0" w:type="dxa"/>
          </w:tblCellMar>
        </w:tblPrEx>
        <w:trPr>
          <w:trHeight w:val="23"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办案业务及培训费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（不是专项资金）</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shd w:val="clear"/>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85.20 </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shd w:val="clear"/>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通过日常警务实战训练的开展，保障任务的完成。</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训练次数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≥180次</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264次</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完成率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完成时间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2024年12月底前</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85.2万元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85.2万元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140"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维护社会治安稳定</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保障得到提升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可持续影响指标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特警影响力</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特警在人民心目中形象较上年提升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14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使用人员满意度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3"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警用航空装备购置经费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shd w:val="clear"/>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tblLayout w:type="fixed"/>
          <w:tblCellMar>
            <w:top w:w="0" w:type="dxa"/>
            <w:left w:w="0" w:type="dxa"/>
            <w:bottom w:w="0" w:type="dxa"/>
            <w:right w:w="0" w:type="dxa"/>
          </w:tblCellMar>
        </w:tblPrEx>
        <w:trPr>
          <w:trHeight w:val="23"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23"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警用航空装备购置经费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49.21</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98%</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49.21</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通过对警用航空装备的购置，保障了各类指挥和群体性事件处置的正常进行。</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98%</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航空装备的数量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≥20件</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20件</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航空装备的合格率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采购完成时间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2024年12月底前完成</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预算控制数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50万元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49.21万元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9.8</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Style w:val="25"/>
                <w:rFonts w:hint="eastAsia" w:ascii="仿宋_GB2312" w:hAnsi="仿宋_GB2312" w:eastAsia="仿宋_GB2312" w:cs="仿宋_GB2312"/>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提升单位指挥和群体性事件处置的能力</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购置对单位指挥和群体性事件处置能力是否提升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单位服务对象的满意度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99.8</w:t>
            </w:r>
          </w:p>
        </w:tc>
      </w:tr>
      <w:tr>
        <w:tblPrEx>
          <w:tblLayout w:type="fixed"/>
          <w:tblCellMar>
            <w:top w:w="0" w:type="dxa"/>
            <w:left w:w="0" w:type="dxa"/>
            <w:bottom w:w="0" w:type="dxa"/>
            <w:right w:w="0" w:type="dxa"/>
          </w:tblCellMar>
        </w:tblPrEx>
        <w:trPr>
          <w:trHeight w:val="23"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br w:type="page"/>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委托业务费</w:t>
      </w:r>
    </w:p>
    <w:tbl>
      <w:tblPr>
        <w:tblW w:w="11004" w:type="dxa"/>
        <w:jc w:val="center"/>
        <w:tblInd w:w="-951" w:type="dxa"/>
        <w:shd w:val="clear"/>
        <w:tblLayout w:type="fixed"/>
        <w:tblCellMar>
          <w:top w:w="0" w:type="dxa"/>
          <w:left w:w="0" w:type="dxa"/>
          <w:bottom w:w="0" w:type="dxa"/>
          <w:right w:w="0" w:type="dxa"/>
        </w:tblCellMar>
      </w:tblPr>
      <w:tblGrid>
        <w:gridCol w:w="1365"/>
        <w:gridCol w:w="1155"/>
        <w:gridCol w:w="1140"/>
        <w:gridCol w:w="1545"/>
        <w:gridCol w:w="1599"/>
        <w:gridCol w:w="1245"/>
        <w:gridCol w:w="1335"/>
        <w:gridCol w:w="1620"/>
      </w:tblGrid>
      <w:tr>
        <w:tblPrEx>
          <w:shd w:val="clear"/>
          <w:tblLayout w:type="fixed"/>
          <w:tblCellMar>
            <w:top w:w="0" w:type="dxa"/>
            <w:left w:w="0" w:type="dxa"/>
            <w:bottom w:w="0" w:type="dxa"/>
            <w:right w:w="0" w:type="dxa"/>
          </w:tblCellMar>
        </w:tblPrEx>
        <w:trPr>
          <w:trHeight w:val="540" w:hRule="atLeast"/>
          <w:jc w:val="center"/>
        </w:trPr>
        <w:tc>
          <w:tcPr>
            <w:tcW w:w="11004"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315" w:hRule="atLeast"/>
          <w:jc w:val="center"/>
        </w:trPr>
        <w:tc>
          <w:tcPr>
            <w:tcW w:w="11004"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260" w:hRule="atLeast"/>
          <w:jc w:val="center"/>
        </w:trPr>
        <w:tc>
          <w:tcPr>
            <w:tcW w:w="3660"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委托业务费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（不是专项资金）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shd w:val="clear"/>
          <w:tblLayout w:type="fixed"/>
          <w:tblCellMar>
            <w:top w:w="0" w:type="dxa"/>
            <w:left w:w="0" w:type="dxa"/>
            <w:bottom w:w="0" w:type="dxa"/>
            <w:right w:w="0"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149.80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149.80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149.73</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149.80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149.80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149.73</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通过对单位办公场所的维护，保障单位办公场所的正常运行。</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委托业务数量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≥5个</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15个</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服务合格率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提供服务时间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2024年1月-12月</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一年</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149.80万元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149.73万元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140"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办公环境改善</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单位办公环境水平较上年改善</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得到改善</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140"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单位人员的满意度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019"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800"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639"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特警支队辅警劳务费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shd w:val="clear"/>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tblLayout w:type="fixed"/>
          <w:tblCellMar>
            <w:top w:w="0" w:type="dxa"/>
            <w:left w:w="0" w:type="dxa"/>
            <w:bottom w:w="0" w:type="dxa"/>
            <w:right w:w="0" w:type="dxa"/>
          </w:tblCellMar>
        </w:tblPrEx>
        <w:trPr>
          <w:trHeight w:val="23"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23"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特警支队辅警劳务费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1217.57</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1217.57</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1216.69</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1217.57</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1217.57</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1216.69</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通过对单位辅警人员劳务费用的发放，提高了单位的整体战斗力。</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在职人数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≤400人</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167人</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发放效率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发放时间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每个月月底前发放</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月底前已发放</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1217.57万元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1216.69万元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维护社会治安</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≥200次</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491次</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服务对象的满意度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3"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br w:type="page"/>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专用设备购置费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tblLayout w:type="fixed"/>
          <w:tblCellMar>
            <w:top w:w="0" w:type="dxa"/>
            <w:left w:w="0" w:type="dxa"/>
            <w:bottom w:w="0" w:type="dxa"/>
            <w:right w:w="0" w:type="dxa"/>
          </w:tblCellMar>
        </w:tblPrEx>
        <w:trPr>
          <w:trHeight w:val="540"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shd w:val="clear"/>
          <w:tblLayout w:type="fixed"/>
          <w:tblCellMar>
            <w:top w:w="0" w:type="dxa"/>
            <w:left w:w="0" w:type="dxa"/>
            <w:bottom w:w="0" w:type="dxa"/>
            <w:right w:w="0" w:type="dxa"/>
          </w:tblCellMar>
        </w:tblPrEx>
        <w:trPr>
          <w:trHeight w:val="315"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260"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专用设备购置费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通过对专用设备的购置，保障了各类指挥和办公的正常进行。</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设备购置的数量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≥100个</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120个</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设备购置的合格率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设备到位的时间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2024年12月底之前</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预算控制数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53.27万元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提升单位指挥和办公水平</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单位服务对象的满意度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800"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特警支队修缮改造项目资金</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shd w:val="clear"/>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tblLayout w:type="fixed"/>
          <w:tblCellMar>
            <w:top w:w="0" w:type="dxa"/>
            <w:left w:w="0" w:type="dxa"/>
            <w:bottom w:w="0" w:type="dxa"/>
            <w:right w:w="0" w:type="dxa"/>
          </w:tblCellMar>
        </w:tblPrEx>
        <w:trPr>
          <w:trHeight w:val="23"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23"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特警支队修缮改造项目资金</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shd w:val="clear"/>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193.32</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193.32</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192.73</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193.32</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193.32</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192.73</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通过对支队3号楼的修缮改造，提高支队的整体环境，保障正常的工作秩序。</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修缮工程量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1个</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1个</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工程质量合格率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施工时限</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193.32万元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192.73万元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提升单位的办公水平</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服务对象满意度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3"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br w:type="page"/>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物业管理费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shd w:val="clear"/>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23"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tblLayout w:type="fixed"/>
          <w:tblCellMar>
            <w:top w:w="0" w:type="dxa"/>
            <w:left w:w="0" w:type="dxa"/>
            <w:bottom w:w="0" w:type="dxa"/>
            <w:right w:w="0" w:type="dxa"/>
          </w:tblCellMar>
        </w:tblPrEx>
        <w:trPr>
          <w:trHeight w:val="23"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23"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物业管理费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shd w:val="clear"/>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通过物业服务的管理，支队办公环境进一步优化。</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312"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23"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物业服务天数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365天</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365天</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物业服务质量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物业服务的时间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成本总量控制</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77.11万元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单位院落提升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单位被服务人员满意度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3"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23"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br w:type="page"/>
      </w: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警用服装和装备购置经费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shd w:val="clear"/>
          <w:tblLayout w:type="fixed"/>
          <w:tblCellMar>
            <w:top w:w="0" w:type="dxa"/>
            <w:left w:w="0" w:type="dxa"/>
            <w:bottom w:w="0" w:type="dxa"/>
            <w:right w:w="0" w:type="dxa"/>
          </w:tblCellMar>
        </w:tblPrEx>
        <w:trPr>
          <w:trHeight w:val="540"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315"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260"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警用服装和装备购置经费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shd w:val="clear"/>
          <w:tblLayout w:type="fixed"/>
          <w:tblCellMar>
            <w:top w:w="0" w:type="dxa"/>
            <w:left w:w="0" w:type="dxa"/>
            <w:bottom w:w="0" w:type="dxa"/>
            <w:right w:w="0"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200.00 </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通过对警用服装和装备的购买，提升了执勤中的安全性。</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采购数量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≥100件</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200件</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采购验收合格率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采购完成时间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2024年12月底之前</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2024年12月</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200万元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200万元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提升警员任务的安全性</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服务对象的满意度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800"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p>
    <w:p>
      <w:pPr>
        <w:adjustRightInd w:val="0"/>
        <w:snapToGrid w:val="0"/>
        <w:spacing w:line="560" w:lineRule="exact"/>
        <w:ind w:firstLine="640" w:firstLineChars="200"/>
        <w:rPr>
          <w:rFonts w:hint="eastAsia" w:ascii="仿宋_GB2312" w:hAnsi="仿宋_GB2312" w:eastAsia="仿宋_GB2312" w:cs="仿宋_GB2312"/>
          <w:color w:val="000000" w:themeColor="text1" w:themeShade="80"/>
          <w:sz w:val="32"/>
          <w:szCs w:val="32"/>
          <w:highlight w:val="none"/>
          <w:lang w:val="en-US" w:eastAsia="zh-CN"/>
        </w:rPr>
      </w:pPr>
      <w:r>
        <w:rPr>
          <w:rFonts w:hint="eastAsia" w:ascii="仿宋_GB2312" w:hAnsi="仿宋_GB2312" w:eastAsia="仿宋_GB2312" w:cs="仿宋_GB2312"/>
          <w:color w:val="000000" w:themeColor="text1" w:themeShade="80"/>
          <w:sz w:val="32"/>
          <w:szCs w:val="32"/>
          <w:highlight w:val="none"/>
          <w:lang w:val="en-US" w:eastAsia="zh-CN"/>
        </w:rPr>
        <w:t>训练保障经费</w:t>
      </w:r>
    </w:p>
    <w:tbl>
      <w:tblPr>
        <w:tblW w:w="11090" w:type="dxa"/>
        <w:jc w:val="center"/>
        <w:tblInd w:w="-994" w:type="dxa"/>
        <w:shd w:val="clear"/>
        <w:tblLayout w:type="fixed"/>
        <w:tblCellMar>
          <w:top w:w="0" w:type="dxa"/>
          <w:left w:w="0" w:type="dxa"/>
          <w:bottom w:w="0" w:type="dxa"/>
          <w:right w:w="0" w:type="dxa"/>
        </w:tblCellMar>
      </w:tblPr>
      <w:tblGrid>
        <w:gridCol w:w="1365"/>
        <w:gridCol w:w="1155"/>
        <w:gridCol w:w="1226"/>
        <w:gridCol w:w="1545"/>
        <w:gridCol w:w="1599"/>
        <w:gridCol w:w="1245"/>
        <w:gridCol w:w="1335"/>
        <w:gridCol w:w="1620"/>
      </w:tblGrid>
      <w:tr>
        <w:tblPrEx>
          <w:tblLayout w:type="fixed"/>
          <w:tblCellMar>
            <w:top w:w="0" w:type="dxa"/>
            <w:left w:w="0" w:type="dxa"/>
            <w:bottom w:w="0" w:type="dxa"/>
            <w:right w:w="0" w:type="dxa"/>
          </w:tblCellMar>
        </w:tblPrEx>
        <w:trPr>
          <w:trHeight w:val="540" w:hRule="atLeast"/>
          <w:jc w:val="center"/>
        </w:trPr>
        <w:tc>
          <w:tcPr>
            <w:tcW w:w="11090"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tblLayout w:type="fixed"/>
          <w:tblCellMar>
            <w:top w:w="0" w:type="dxa"/>
            <w:left w:w="0" w:type="dxa"/>
            <w:bottom w:w="0" w:type="dxa"/>
            <w:right w:w="0" w:type="dxa"/>
          </w:tblCellMar>
        </w:tblPrEx>
        <w:trPr>
          <w:trHeight w:val="315" w:hRule="atLeast"/>
          <w:jc w:val="center"/>
        </w:trPr>
        <w:tc>
          <w:tcPr>
            <w:tcW w:w="11090"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tblLayout w:type="fixed"/>
          <w:tblCellMar>
            <w:top w:w="0" w:type="dxa"/>
            <w:left w:w="0" w:type="dxa"/>
            <w:bottom w:w="0" w:type="dxa"/>
            <w:right w:w="0" w:type="dxa"/>
          </w:tblCellMar>
        </w:tblPrEx>
        <w:trPr>
          <w:trHeight w:val="260"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599"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tblLayout w:type="fixed"/>
          <w:tblCellMar>
            <w:top w:w="0" w:type="dxa"/>
            <w:left w:w="0" w:type="dxa"/>
            <w:bottom w:w="0" w:type="dxa"/>
            <w:right w:w="0"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训练保障经费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tblLayout w:type="fixed"/>
          <w:tblCellMar>
            <w:top w:w="0" w:type="dxa"/>
            <w:left w:w="0" w:type="dxa"/>
            <w:bottom w:w="0" w:type="dxa"/>
            <w:right w:w="0"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49.96</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 xml:space="preserve">50.00 </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49.96</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599"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179"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tblLayout w:type="fixed"/>
          <w:tblCellMar>
            <w:top w:w="0" w:type="dxa"/>
            <w:left w:w="0" w:type="dxa"/>
            <w:bottom w:w="0" w:type="dxa"/>
            <w:right w:w="0" w:type="dxa"/>
          </w:tblCellMar>
        </w:tblPrEx>
        <w:trPr>
          <w:trHeight w:val="2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通过日常警务实战训练，优化训练水平，提升危机处理能力，保障工作任务的顺利开展。</w:t>
            </w:r>
          </w:p>
        </w:tc>
        <w:tc>
          <w:tcPr>
            <w:tcW w:w="4179"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2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2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179"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保障人数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≥300人</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510人</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保障的质量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训练的完成时间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资金总成本</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50万元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49.96万元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76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社会治安稳定的维护</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有效的维护了社会治安稳定</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有效维护</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可持续影响指标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持续提升战斗力</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5%</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144"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单位人员满意度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05"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800"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25"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adjustRightInd w:val="0"/>
        <w:snapToGrid w:val="0"/>
        <w:spacing w:line="560" w:lineRule="exact"/>
        <w:ind w:firstLine="640" w:firstLineChars="200"/>
        <w:rPr>
          <w:rFonts w:hint="default" w:ascii="仿宋_GB2312" w:hAnsi="仿宋_GB2312" w:eastAsia="仿宋_GB2312" w:cs="仿宋_GB2312"/>
          <w:color w:val="000000" w:themeColor="text1" w:themeShade="80"/>
          <w:sz w:val="32"/>
          <w:szCs w:val="32"/>
          <w:highlight w:val="none"/>
          <w:lang w:val="en-US" w:eastAsia="zh-CN"/>
        </w:rPr>
      </w:pPr>
      <w:bookmarkStart w:id="0" w:name="_GoBack"/>
      <w:bookmarkEnd w:id="0"/>
      <w:r>
        <w:rPr>
          <w:rFonts w:hint="eastAsia" w:ascii="仿宋_GB2312" w:hAnsi="仿宋_GB2312" w:eastAsia="仿宋_GB2312" w:cs="仿宋_GB2312"/>
          <w:color w:val="000000" w:themeColor="text1" w:themeShade="80"/>
          <w:sz w:val="32"/>
          <w:szCs w:val="32"/>
          <w:highlight w:val="none"/>
          <w:lang w:val="en-US" w:eastAsia="zh-CN"/>
        </w:rPr>
        <w:t>公务用车购置经费</w:t>
      </w:r>
    </w:p>
    <w:tbl>
      <w:tblPr>
        <w:tblW w:w="11154" w:type="dxa"/>
        <w:jc w:val="center"/>
        <w:tblInd w:w="-1026" w:type="dxa"/>
        <w:shd w:val="clear"/>
        <w:tblLayout w:type="fixed"/>
        <w:tblCellMar>
          <w:top w:w="0" w:type="dxa"/>
          <w:left w:w="0" w:type="dxa"/>
          <w:bottom w:w="0" w:type="dxa"/>
          <w:right w:w="0" w:type="dxa"/>
        </w:tblCellMar>
      </w:tblPr>
      <w:tblGrid>
        <w:gridCol w:w="1365"/>
        <w:gridCol w:w="1155"/>
        <w:gridCol w:w="1226"/>
        <w:gridCol w:w="1545"/>
        <w:gridCol w:w="1663"/>
        <w:gridCol w:w="1245"/>
        <w:gridCol w:w="1335"/>
        <w:gridCol w:w="1620"/>
      </w:tblGrid>
      <w:tr>
        <w:tblPrEx>
          <w:shd w:val="clear"/>
          <w:tblLayout w:type="fixed"/>
          <w:tblCellMar>
            <w:top w:w="0" w:type="dxa"/>
            <w:left w:w="0" w:type="dxa"/>
            <w:bottom w:w="0" w:type="dxa"/>
            <w:right w:w="0" w:type="dxa"/>
          </w:tblCellMar>
        </w:tblPrEx>
        <w:trPr>
          <w:trHeight w:val="540" w:hRule="atLeast"/>
          <w:jc w:val="center"/>
        </w:trPr>
        <w:tc>
          <w:tcPr>
            <w:tcW w:w="11154" w:type="dxa"/>
            <w:gridSpan w:val="8"/>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44"/>
                <w:szCs w:val="44"/>
                <w:u w:val="none"/>
              </w:rPr>
            </w:pPr>
            <w:r>
              <w:rPr>
                <w:rFonts w:hint="eastAsia" w:ascii="仿宋_GB2312" w:hAnsi="仿宋_GB2312" w:eastAsia="仿宋_GB2312" w:cs="仿宋_GB2312"/>
                <w:i w:val="0"/>
                <w:color w:val="000000"/>
                <w:kern w:val="0"/>
                <w:sz w:val="44"/>
                <w:szCs w:val="44"/>
                <w:u w:val="none"/>
                <w:bdr w:val="none" w:color="auto" w:sz="0" w:space="0"/>
                <w:lang w:val="en-US" w:eastAsia="zh-CN" w:bidi="ar"/>
              </w:rPr>
              <w:t>市级部门预算项目绩效自评表</w:t>
            </w:r>
          </w:p>
        </w:tc>
      </w:tr>
      <w:tr>
        <w:tblPrEx>
          <w:shd w:val="clear"/>
          <w:tblLayout w:type="fixed"/>
          <w:tblCellMar>
            <w:top w:w="0" w:type="dxa"/>
            <w:left w:w="0" w:type="dxa"/>
            <w:bottom w:w="0" w:type="dxa"/>
            <w:right w:w="0" w:type="dxa"/>
          </w:tblCellMar>
        </w:tblPrEx>
        <w:trPr>
          <w:trHeight w:val="315" w:hRule="atLeast"/>
          <w:jc w:val="center"/>
        </w:trPr>
        <w:tc>
          <w:tcPr>
            <w:tcW w:w="11154" w:type="dxa"/>
            <w:gridSpan w:val="8"/>
            <w:tcBorders>
              <w:top w:val="nil"/>
              <w:left w:val="nil"/>
              <w:bottom w:val="nil"/>
              <w:right w:val="nil"/>
            </w:tcBorders>
            <w:shd w:val="clear"/>
            <w:noWrap/>
            <w:tcMar>
              <w:top w:w="15" w:type="dxa"/>
              <w:left w:w="15" w:type="dxa"/>
              <w:right w:w="15" w:type="dxa"/>
            </w:tcMar>
            <w:vAlign w:val="bottom"/>
          </w:tcPr>
          <w:p>
            <w:pPr>
              <w:keepNext w:val="0"/>
              <w:keepLines w:val="0"/>
              <w:widowControl/>
              <w:suppressLineNumbers w:val="0"/>
              <w:jc w:val="center"/>
              <w:textAlignment w:val="bottom"/>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（2024年度）</w:t>
            </w:r>
          </w:p>
        </w:tc>
      </w:tr>
      <w:tr>
        <w:tblPrEx>
          <w:shd w:val="clear"/>
          <w:tblLayout w:type="fixed"/>
          <w:tblCellMar>
            <w:top w:w="0" w:type="dxa"/>
            <w:left w:w="0" w:type="dxa"/>
            <w:bottom w:w="0" w:type="dxa"/>
            <w:right w:w="0" w:type="dxa"/>
          </w:tblCellMar>
        </w:tblPrEx>
        <w:trPr>
          <w:trHeight w:val="260" w:hRule="atLeast"/>
          <w:jc w:val="center"/>
        </w:trPr>
        <w:tc>
          <w:tcPr>
            <w:tcW w:w="3746" w:type="dxa"/>
            <w:gridSpan w:val="3"/>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填报单位：石家庄市公安特警支队</w:t>
            </w:r>
          </w:p>
        </w:tc>
        <w:tc>
          <w:tcPr>
            <w:tcW w:w="15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63"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4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335" w:type="dxa"/>
            <w:tcBorders>
              <w:top w:val="nil"/>
              <w:left w:val="nil"/>
              <w:bottom w:val="nil"/>
              <w:right w:val="nil"/>
            </w:tcBorders>
            <w:shd w:val="clear"/>
            <w:noWrap/>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620" w:type="dxa"/>
            <w:tcBorders>
              <w:top w:val="nil"/>
              <w:left w:val="nil"/>
              <w:bottom w:val="nil"/>
              <w:right w:val="nil"/>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单位：万元</w:t>
            </w:r>
          </w:p>
        </w:tc>
      </w:tr>
      <w:tr>
        <w:tblPrEx>
          <w:shd w:val="clear"/>
          <w:tblLayout w:type="fixed"/>
          <w:tblCellMar>
            <w:top w:w="0" w:type="dxa"/>
            <w:left w:w="0" w:type="dxa"/>
            <w:bottom w:w="0" w:type="dxa"/>
            <w:right w:w="0"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一、基本情况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项目名称</w:t>
            </w:r>
          </w:p>
        </w:tc>
        <w:tc>
          <w:tcPr>
            <w:tcW w:w="277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公务用车购置经费</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（专项资金）</w:t>
            </w:r>
          </w:p>
        </w:tc>
        <w:tc>
          <w:tcPr>
            <w:tcW w:w="166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石家庄市公安特警支队</w:t>
            </w:r>
          </w:p>
        </w:tc>
      </w:tr>
      <w:tr>
        <w:tblPrEx>
          <w:tblLayout w:type="fixed"/>
          <w:tblCellMar>
            <w:top w:w="0" w:type="dxa"/>
            <w:left w:w="0" w:type="dxa"/>
            <w:bottom w:w="0" w:type="dxa"/>
            <w:right w:w="0"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二、预算执行情况</w:t>
            </w:r>
          </w:p>
        </w:tc>
        <w:tc>
          <w:tcPr>
            <w:tcW w:w="2381"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预算安排情况（调整后）</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预算执行进度</w:t>
            </w:r>
          </w:p>
        </w:tc>
      </w:tr>
      <w:tr>
        <w:tblPrEx>
          <w:shd w:val="clear"/>
          <w:tblLayout w:type="fixed"/>
          <w:tblCellMar>
            <w:top w:w="0" w:type="dxa"/>
            <w:left w:w="0" w:type="dxa"/>
            <w:bottom w:w="0" w:type="dxa"/>
            <w:right w:w="0"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预算数：</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到位数：</w:t>
            </w:r>
          </w:p>
        </w:tc>
        <w:tc>
          <w:tcPr>
            <w:tcW w:w="166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tblLayout w:type="fixed"/>
          <w:tblCellMar>
            <w:top w:w="0" w:type="dxa"/>
            <w:left w:w="0" w:type="dxa"/>
            <w:bottom w:w="0" w:type="dxa"/>
            <w:right w:w="0"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66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w:t>
            </w: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663"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shd w:val="clear"/>
          <w:tblLayout w:type="fixed"/>
          <w:tblCellMar>
            <w:top w:w="0" w:type="dxa"/>
            <w:left w:w="0" w:type="dxa"/>
            <w:bottom w:w="0" w:type="dxa"/>
            <w:right w:w="0"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三、目标完成情况</w:t>
            </w:r>
          </w:p>
        </w:tc>
        <w:tc>
          <w:tcPr>
            <w:tcW w:w="3926"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年度预期目标</w:t>
            </w:r>
          </w:p>
        </w:tc>
        <w:tc>
          <w:tcPr>
            <w:tcW w:w="4243" w:type="dxa"/>
            <w:gridSpan w:val="3"/>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总体完成率</w:t>
            </w:r>
          </w:p>
        </w:tc>
      </w:tr>
      <w:tr>
        <w:tblPrEx>
          <w:shd w:val="clear"/>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通过公务用车购置，提升单位执法执勤能力。</w:t>
            </w:r>
          </w:p>
        </w:tc>
        <w:tc>
          <w:tcPr>
            <w:tcW w:w="4243" w:type="dxa"/>
            <w:gridSpan w:val="3"/>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对照年初设定目标，完成了全年总体绩效目标。</w:t>
            </w:r>
          </w:p>
        </w:tc>
        <w:tc>
          <w:tcPr>
            <w:tcW w:w="162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243"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1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3926"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4243" w:type="dxa"/>
            <w:gridSpan w:val="3"/>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left"/>
              <w:rPr>
                <w:rFonts w:hint="eastAsia" w:ascii="仿宋_GB2312" w:hAnsi="仿宋_GB2312" w:eastAsia="仿宋_GB2312" w:cs="仿宋_GB2312"/>
                <w:i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r>
      <w:tr>
        <w:tblPrEx>
          <w:tblLayout w:type="fixed"/>
          <w:tblCellMar>
            <w:top w:w="0" w:type="dxa"/>
            <w:left w:w="0" w:type="dxa"/>
            <w:bottom w:w="0" w:type="dxa"/>
            <w:right w:w="0"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四、年度绩效指标完成情况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一级指标</w:t>
            </w: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二级指标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自评得分</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产出指标（40）</w:t>
            </w:r>
          </w:p>
        </w:tc>
        <w:tc>
          <w:tcPr>
            <w:tcW w:w="1226" w:type="dxa"/>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数量指标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购买数量</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8辆</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8辆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质量标准</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时效指标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完成时间</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2024年10月底之前</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2024年10月</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成本指标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预算控制数</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85.08万元</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85.08万元</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84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nil"/>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r>
              <w:rPr>
                <w:rFonts w:hint="eastAsia" w:ascii="仿宋_GB2312" w:hAnsi="仿宋_GB2312" w:eastAsia="仿宋_GB2312" w:cs="仿宋_GB2312"/>
                <w:i w:val="0"/>
                <w:color w:val="000000"/>
                <w:kern w:val="0"/>
                <w:sz w:val="20"/>
                <w:szCs w:val="20"/>
                <w:u w:val="none"/>
                <w:bdr w:val="none" w:color="auto" w:sz="0" w:space="0"/>
                <w:lang w:val="en-US" w:eastAsia="zh-CN" w:bidi="ar"/>
              </w:rPr>
              <w:t>%</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restart"/>
            <w:tcBorders>
              <w:top w:val="nil"/>
              <w:left w:val="single" w:color="000000" w:sz="4" w:space="0"/>
              <w:bottom w:val="nil"/>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效益指标（40）</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社会效益指标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维护社会稳定水平</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得到提升</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vMerge w:val="continue"/>
            <w:tcBorders>
              <w:top w:val="nil"/>
              <w:left w:val="single" w:color="000000" w:sz="4" w:space="0"/>
              <w:bottom w:val="nil"/>
              <w:right w:val="single" w:color="000000" w:sz="4" w:space="0"/>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可持续影响指标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车辆可持续使用</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可持续使用</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可持续使用</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20</w:t>
            </w:r>
          </w:p>
        </w:tc>
      </w:tr>
      <w:tr>
        <w:tblPrEx>
          <w:shd w:val="clear"/>
          <w:tblLayout w:type="fixed"/>
          <w:tblCellMar>
            <w:top w:w="0" w:type="dxa"/>
            <w:left w:w="0" w:type="dxa"/>
            <w:bottom w:w="0" w:type="dxa"/>
            <w:right w:w="0"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r>
              <w:rPr>
                <w:rFonts w:hint="eastAsia" w:ascii="仿宋_GB2312" w:hAnsi="仿宋_GB2312" w:eastAsia="仿宋_GB2312" w:cs="仿宋_GB2312"/>
                <w:i w:val="0"/>
                <w:color w:val="000000"/>
                <w:kern w:val="0"/>
                <w:sz w:val="20"/>
                <w:szCs w:val="20"/>
                <w:u w:val="none"/>
                <w:bdr w:val="none" w:color="auto" w:sz="0" w:space="0"/>
                <w:lang w:val="en-US" w:eastAsia="zh-CN" w:bidi="ar"/>
              </w:rPr>
              <w:br w:type="textWrapping"/>
            </w:r>
            <w:r>
              <w:rPr>
                <w:rFonts w:hint="eastAsia" w:ascii="仿宋_GB2312" w:hAnsi="仿宋_GB2312" w:eastAsia="仿宋_GB2312" w:cs="仿宋_GB2312"/>
                <w:i w:val="0"/>
                <w:color w:val="000000"/>
                <w:kern w:val="0"/>
                <w:sz w:val="20"/>
                <w:szCs w:val="20"/>
                <w:u w:val="none"/>
                <w:bdr w:val="none" w:color="auto" w:sz="0" w:space="0"/>
                <w:lang w:val="en-US" w:eastAsia="zh-CN" w:bidi="ar"/>
              </w:rPr>
              <w:t>（10分）</w:t>
            </w:r>
          </w:p>
        </w:tc>
        <w:tc>
          <w:tcPr>
            <w:tcW w:w="1226" w:type="dxa"/>
            <w:tcBorders>
              <w:top w:val="single" w:color="000000" w:sz="4" w:space="0"/>
              <w:left w:val="nil"/>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满意度指标</w:t>
            </w:r>
          </w:p>
        </w:tc>
        <w:tc>
          <w:tcPr>
            <w:tcW w:w="3208" w:type="dxa"/>
            <w:gridSpan w:val="2"/>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单位服务对象的满意度</w:t>
            </w:r>
          </w:p>
        </w:tc>
        <w:tc>
          <w:tcPr>
            <w:tcW w:w="124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w:t>
            </w:r>
          </w:p>
        </w:tc>
      </w:tr>
      <w:tr>
        <w:tblPrEx>
          <w:shd w:val="clear"/>
          <w:tblLayout w:type="fixed"/>
          <w:tblCellMar>
            <w:top w:w="0" w:type="dxa"/>
            <w:left w:w="0" w:type="dxa"/>
            <w:bottom w:w="0" w:type="dxa"/>
            <w:right w:w="0"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tcMar>
              <w:top w:w="15" w:type="dxa"/>
              <w:left w:w="15" w:type="dxa"/>
              <w:right w:w="15" w:type="dxa"/>
            </w:tcMar>
            <w:vAlign w:val="center"/>
          </w:tcPr>
          <w:p>
            <w:pPr>
              <w:jc w:val="center"/>
              <w:rPr>
                <w:rFonts w:hint="eastAsia" w:ascii="仿宋_GB2312" w:hAnsi="仿宋_GB2312" w:eastAsia="仿宋_GB2312" w:cs="仿宋_GB2312"/>
                <w:i w:val="0"/>
                <w:color w:val="000000"/>
                <w:sz w:val="20"/>
                <w:szCs w:val="20"/>
                <w:u w:val="none"/>
              </w:rPr>
            </w:pPr>
          </w:p>
        </w:tc>
        <w:tc>
          <w:tcPr>
            <w:tcW w:w="8169" w:type="dxa"/>
            <w:gridSpan w:val="6"/>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100</w:t>
            </w:r>
          </w:p>
        </w:tc>
      </w:tr>
      <w:tr>
        <w:tblPrEx>
          <w:shd w:val="clear"/>
          <w:tblLayout w:type="fixed"/>
          <w:tblCellMar>
            <w:top w:w="0" w:type="dxa"/>
            <w:left w:w="0" w:type="dxa"/>
            <w:bottom w:w="0" w:type="dxa"/>
            <w:right w:w="0" w:type="dxa"/>
          </w:tblCellMar>
        </w:tblPrEx>
        <w:trPr>
          <w:trHeight w:val="800" w:hRule="atLeast"/>
          <w:jc w:val="center"/>
        </w:trPr>
        <w:tc>
          <w:tcPr>
            <w:tcW w:w="1365"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五、存在问题、原因及下一步整改措施</w:t>
            </w:r>
          </w:p>
        </w:tc>
        <w:tc>
          <w:tcPr>
            <w:tcW w:w="9789" w:type="dxa"/>
            <w:gridSpan w:val="7"/>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sz w:val="20"/>
                <w:szCs w:val="20"/>
                <w:u w:val="none"/>
              </w:rPr>
            </w:pPr>
            <w:r>
              <w:rPr>
                <w:rFonts w:hint="eastAsia" w:ascii="仿宋_GB2312" w:hAnsi="仿宋_GB2312" w:eastAsia="仿宋_GB2312" w:cs="仿宋_GB2312"/>
                <w:i w:val="0"/>
                <w:color w:val="000000"/>
                <w:kern w:val="0"/>
                <w:sz w:val="20"/>
                <w:szCs w:val="20"/>
                <w:u w:val="none"/>
                <w:bdr w:val="none" w:color="auto" w:sz="0" w:space="0"/>
                <w:lang w:val="en-US" w:eastAsia="zh-CN" w:bidi="ar"/>
              </w:rPr>
              <w:t>合理制定预算，提高预算执行率。</w:t>
            </w:r>
          </w:p>
        </w:tc>
      </w:tr>
    </w:tbl>
    <w:p>
      <w:pPr>
        <w:widowControl/>
        <w:spacing w:before="0" w:beforeLines="0" w:beforeAutospacing="0" w:after="0" w:afterLines="0" w:afterAutospacing="0" w:line="360" w:lineRule="auto"/>
        <w:ind w:firstLine="643" w:firstLineChars="200"/>
        <w:jc w:val="both"/>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无</w:t>
      </w:r>
    </w:p>
    <w:p>
      <w:pPr>
        <w:widowControl/>
        <w:spacing w:before="0" w:beforeLines="0" w:beforeAutospacing="0" w:after="0" w:afterLines="0" w:afterAutospacing="0" w:line="360" w:lineRule="auto"/>
        <w:ind w:firstLine="640" w:firstLineChars="200"/>
        <w:jc w:val="both"/>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both"/>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F1AE9C6-6D62-4F8F-9A49-6B70AEA62ADB}"/>
  </w:font>
  <w:font w:name="黑体">
    <w:panose1 w:val="02010609060101010101"/>
    <w:charset w:val="86"/>
    <w:family w:val="auto"/>
    <w:pitch w:val="default"/>
    <w:sig w:usb0="800002BF" w:usb1="38CF7CFA" w:usb2="00000016" w:usb3="00000000" w:csb0="00040001" w:csb1="00000000"/>
    <w:embedRegular r:id="rId2" w:fontKey="{05F3E412-A496-4F7A-B98A-59F08821D23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32BC301-FC81-4389-A843-F6FA7682CD85}"/>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4" w:fontKey="{A635595E-1B73-47E1-8940-F56BBCFAF438}"/>
  </w:font>
  <w:font w:name="方正小标宋_GBK">
    <w:panose1 w:val="02000000000000000000"/>
    <w:charset w:val="86"/>
    <w:family w:val="script"/>
    <w:pitch w:val="default"/>
    <w:sig w:usb0="00000000" w:usb1="00000000" w:usb2="00000000" w:usb3="00000000" w:csb0="00000000" w:csb1="00000000"/>
    <w:embedRegular r:id="rId5" w:fontKey="{4974D8E7-80C8-4659-9333-A1E30317644A}"/>
  </w:font>
  <w:font w:name="方正小标宋简体">
    <w:panose1 w:val="03000509000000000000"/>
    <w:charset w:val="86"/>
    <w:family w:val="auto"/>
    <w:pitch w:val="default"/>
    <w:sig w:usb0="00000001" w:usb1="080E0000" w:usb2="00000000" w:usb3="00000000" w:csb0="00040000" w:csb1="00000000"/>
    <w:embedRegular r:id="rId6" w:fontKey="{215EB309-3A1B-44D4-A681-0F978B3B38C2}"/>
  </w:font>
  <w:font w:name="仿宋_GB2312">
    <w:panose1 w:val="02010609030101010101"/>
    <w:charset w:val="86"/>
    <w:family w:val="auto"/>
    <w:pitch w:val="default"/>
    <w:sig w:usb0="00000001" w:usb1="080E0000" w:usb2="00000000" w:usb3="00000000" w:csb0="00040000" w:csb1="00000000"/>
    <w:embedRegular r:id="rId7" w:fontKey="{80729042-DCB9-4AE5-9B96-33D43B3CFC44}"/>
  </w:font>
  <w:font w:name="ArialUnicodeMS">
    <w:altName w:val="Malgun Gothic"/>
    <w:panose1 w:val="00000000000000000000"/>
    <w:charset w:val="81"/>
    <w:family w:val="auto"/>
    <w:pitch w:val="default"/>
    <w:sig w:usb0="00000000" w:usb1="00000000" w:usb2="00000010" w:usb3="00000000" w:csb0="00080001" w:csb1="00000000"/>
    <w:embedRegular r:id="rId8" w:fontKey="{560A36C0-C8B4-4E0C-A042-82DAD7C91DD2}"/>
  </w:font>
  <w:font w:name="方正仿宋_GB2312">
    <w:panose1 w:val="02000000000000000000"/>
    <w:charset w:val="86"/>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00"/>
    <w:family w:val="auto"/>
    <w:pitch w:val="default"/>
    <w:sig w:usb0="00000000" w:usb1="00000000" w:usb2="00000000" w:usb3="00000000" w:csb0="00000000" w:csb1="00000000"/>
  </w:font>
  <w:font w:name="方正小标宋_GBK">
    <w:panose1 w:val="02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0F212CA"/>
    <w:rsid w:val="01A03C5A"/>
    <w:rsid w:val="01A5267D"/>
    <w:rsid w:val="01AF6A8D"/>
    <w:rsid w:val="024808A2"/>
    <w:rsid w:val="025C3821"/>
    <w:rsid w:val="02DA3B1B"/>
    <w:rsid w:val="02E57B4D"/>
    <w:rsid w:val="03450B90"/>
    <w:rsid w:val="037B12D4"/>
    <w:rsid w:val="03804D63"/>
    <w:rsid w:val="03FB73B0"/>
    <w:rsid w:val="040774A0"/>
    <w:rsid w:val="04806B11"/>
    <w:rsid w:val="049C1B9D"/>
    <w:rsid w:val="04BD008C"/>
    <w:rsid w:val="04C55939"/>
    <w:rsid w:val="04DA28BB"/>
    <w:rsid w:val="04F17F91"/>
    <w:rsid w:val="04F528BE"/>
    <w:rsid w:val="050E10CE"/>
    <w:rsid w:val="054F2DFB"/>
    <w:rsid w:val="05991C82"/>
    <w:rsid w:val="05CD1EC8"/>
    <w:rsid w:val="05DE68FC"/>
    <w:rsid w:val="061416A9"/>
    <w:rsid w:val="061D60A6"/>
    <w:rsid w:val="06236884"/>
    <w:rsid w:val="06B07006"/>
    <w:rsid w:val="06D375B2"/>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0F170BD"/>
    <w:rsid w:val="11177F57"/>
    <w:rsid w:val="11217C97"/>
    <w:rsid w:val="11464C20"/>
    <w:rsid w:val="115E4926"/>
    <w:rsid w:val="118A1FFA"/>
    <w:rsid w:val="11E35B5A"/>
    <w:rsid w:val="11E42DD6"/>
    <w:rsid w:val="125F5A1B"/>
    <w:rsid w:val="126979D6"/>
    <w:rsid w:val="129E45A7"/>
    <w:rsid w:val="12C5335C"/>
    <w:rsid w:val="13074404"/>
    <w:rsid w:val="136A5C00"/>
    <w:rsid w:val="137330C4"/>
    <w:rsid w:val="138B717B"/>
    <w:rsid w:val="13B97B08"/>
    <w:rsid w:val="13C527AC"/>
    <w:rsid w:val="14711797"/>
    <w:rsid w:val="147B6F17"/>
    <w:rsid w:val="14D42061"/>
    <w:rsid w:val="15081C8B"/>
    <w:rsid w:val="15090D5C"/>
    <w:rsid w:val="15CF053D"/>
    <w:rsid w:val="15D00060"/>
    <w:rsid w:val="15E0131A"/>
    <w:rsid w:val="15E11DC0"/>
    <w:rsid w:val="16457D9F"/>
    <w:rsid w:val="17223EFF"/>
    <w:rsid w:val="17AA5F28"/>
    <w:rsid w:val="17B713F6"/>
    <w:rsid w:val="184350A0"/>
    <w:rsid w:val="18935485"/>
    <w:rsid w:val="18A34206"/>
    <w:rsid w:val="18DE396D"/>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04CA9"/>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33361"/>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6232A"/>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215043"/>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C63B0E"/>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2A3E2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291B4D"/>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4E4C72"/>
    <w:rsid w:val="36EC1950"/>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5035C7"/>
    <w:rsid w:val="3C6C0B58"/>
    <w:rsid w:val="3CBE41D5"/>
    <w:rsid w:val="3D1E4934"/>
    <w:rsid w:val="3D446B0E"/>
    <w:rsid w:val="3D745844"/>
    <w:rsid w:val="3D8626D0"/>
    <w:rsid w:val="3D953A6B"/>
    <w:rsid w:val="3DBB5979"/>
    <w:rsid w:val="3DD56F21"/>
    <w:rsid w:val="3DEF047E"/>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3FD52960"/>
    <w:rsid w:val="401F2A58"/>
    <w:rsid w:val="402E7C36"/>
    <w:rsid w:val="40324A0C"/>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A67B70"/>
    <w:rsid w:val="46CB071B"/>
    <w:rsid w:val="46DE140B"/>
    <w:rsid w:val="46E77334"/>
    <w:rsid w:val="46F22E29"/>
    <w:rsid w:val="46F7142F"/>
    <w:rsid w:val="47107AE3"/>
    <w:rsid w:val="473C62ED"/>
    <w:rsid w:val="4740568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C82867"/>
    <w:rsid w:val="58D53944"/>
    <w:rsid w:val="58D65478"/>
    <w:rsid w:val="58F52487"/>
    <w:rsid w:val="590422E6"/>
    <w:rsid w:val="590A5D0B"/>
    <w:rsid w:val="592257E5"/>
    <w:rsid w:val="59655E33"/>
    <w:rsid w:val="59CF5BD9"/>
    <w:rsid w:val="59E20C3C"/>
    <w:rsid w:val="5A1D5B0A"/>
    <w:rsid w:val="5A3B4B4E"/>
    <w:rsid w:val="5A4804CA"/>
    <w:rsid w:val="5A594C85"/>
    <w:rsid w:val="5A7920F3"/>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CB4D87"/>
    <w:rsid w:val="61072DA5"/>
    <w:rsid w:val="611C0817"/>
    <w:rsid w:val="61224A52"/>
    <w:rsid w:val="61520CCB"/>
    <w:rsid w:val="617B5AA1"/>
    <w:rsid w:val="61851A29"/>
    <w:rsid w:val="622D1522"/>
    <w:rsid w:val="622E0574"/>
    <w:rsid w:val="62683B6B"/>
    <w:rsid w:val="62746F86"/>
    <w:rsid w:val="6275761C"/>
    <w:rsid w:val="62816E52"/>
    <w:rsid w:val="62AB7BE6"/>
    <w:rsid w:val="62AC5944"/>
    <w:rsid w:val="631621DE"/>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5B7B8D"/>
    <w:rsid w:val="67770F0C"/>
    <w:rsid w:val="67B03535"/>
    <w:rsid w:val="68174F69"/>
    <w:rsid w:val="682C436A"/>
    <w:rsid w:val="68382778"/>
    <w:rsid w:val="68391F41"/>
    <w:rsid w:val="68436B8C"/>
    <w:rsid w:val="6874463D"/>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0B2FA7"/>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AC0FFC"/>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AEC1C38"/>
    <w:rsid w:val="7B292978"/>
    <w:rsid w:val="7B4A207F"/>
    <w:rsid w:val="7B936F45"/>
    <w:rsid w:val="7BA47419"/>
    <w:rsid w:val="7BB10D45"/>
    <w:rsid w:val="7BB44151"/>
    <w:rsid w:val="7BC30F8E"/>
    <w:rsid w:val="7C656A39"/>
    <w:rsid w:val="7C661E25"/>
    <w:rsid w:val="7CB40114"/>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E:\2025&#24180;\2025&#24180;&#20915;&#31639;&#20844;&#24320;\&#24037;&#20316;&#31807;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9141.33</c:v>
                </c:pt>
                <c:pt idx="1">
                  <c:v>11901.59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explosion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119015853.47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94314141.53</c:v>
                </c:pt>
                <c:pt idx="1">
                  <c:v>24701711.94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9039.56</c:v>
                </c:pt>
                <c:pt idx="1">
                  <c:v>9141.33</c:v>
                </c:pt>
                <c:pt idx="2">
                  <c:v>9039.56</c:v>
                </c:pt>
                <c:pt idx="3">
                  <c:v>9141.33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11901.59</c:v>
                </c:pt>
                <c:pt idx="1">
                  <c:v>11901.59</c:v>
                </c:pt>
                <c:pt idx="2">
                  <c:v>11901.59</c:v>
                </c:pt>
                <c:pt idx="3">
                  <c:v>11901.59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9961.45</c:v>
                </c:pt>
                <c:pt idx="1">
                  <c:v>9961.45</c:v>
                </c:pt>
                <c:pt idx="2">
                  <c:v>9961.45</c:v>
                </c:pt>
                <c:pt idx="3">
                  <c:v>9961.45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11901.59</c:v>
                </c:pt>
                <c:pt idx="1">
                  <c:v>11901.59</c:v>
                </c:pt>
                <c:pt idx="2">
                  <c:v>11901.59</c:v>
                </c:pt>
                <c:pt idx="3">
                  <c:v>11901.59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00" b="0" i="0" u="none" strike="noStrike" kern="1200" spc="0" baseline="0">
                <a:solidFill>
                  <a:schemeClr val="tx1">
                    <a:lumMod val="65000"/>
                    <a:lumOff val="35000"/>
                  </a:schemeClr>
                </a:solidFill>
                <a:latin typeface="+mn-lt"/>
                <a:ea typeface="+mn-ea"/>
                <a:cs typeface="+mn-cs"/>
              </a:defRPr>
            </a:pPr>
            <a:r>
              <a:rPr sz="1200"/>
              <a:t>图</a:t>
            </a:r>
            <a:r>
              <a:rPr lang="en-US" altLang="zh-CN" sz="1200"/>
              <a:t>6</a:t>
            </a:r>
            <a:r>
              <a:rPr altLang="en-US" sz="1200"/>
              <a:t>：</a:t>
            </a:r>
            <a:r>
              <a:rPr sz="1200"/>
              <a:t>财政拨款支出决算构成情况图       </a:t>
            </a:r>
            <a:r>
              <a:rPr sz="600"/>
              <a:t>单位：万元</a:t>
            </a:r>
            <a:endParaRPr sz="600"/>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[工作簿1]Sheet1!$I$8:$I$11</c:f>
              <c:strCache>
                <c:ptCount val="4"/>
                <c:pt idx="0">
                  <c:v>公共安全类（类）支出</c:v>
                </c:pt>
                <c:pt idx="1">
                  <c:v>社会保障和就业（类）支出</c:v>
                </c:pt>
                <c:pt idx="2">
                  <c:v>卫生健康（类）支出</c:v>
                </c:pt>
                <c:pt idx="3">
                  <c:v>住房保障（类）支出</c:v>
                </c:pt>
              </c:strCache>
            </c:strRef>
          </c:cat>
          <c:val>
            <c:numRef>
              <c:f>[工作簿1]Sheet1!$J$8:$J$11</c:f>
              <c:numCache>
                <c:formatCode>#,##0.00</c:formatCode>
                <c:ptCount val="4"/>
                <c:pt idx="0">
                  <c:v>9626.45</c:v>
                </c:pt>
                <c:pt idx="1" c:formatCode="General">
                  <c:v>797.47</c:v>
                </c:pt>
                <c:pt idx="2" c:formatCode="General">
                  <c:v>614.75</c:v>
                </c:pt>
                <c:pt idx="3" c:formatCode="General">
                  <c:v>862.91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8</TotalTime>
  <ScaleCrop>false</ScaleCrop>
  <LinksUpToDate>false</LinksUpToDate>
  <CharactersWithSpaces>2170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2025-09-09T06:44:30Z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