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石家庄市民族宗教事务局部门</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市民族宗教事务局</w:t>
      </w:r>
      <w:bookmarkStart w:id="0" w:name="_GoBack"/>
      <w:bookmarkEnd w:id="0"/>
      <w:r>
        <w:rPr>
          <w:rFonts w:hint="eastAsia" w:ascii="仿宋" w:hAnsi="仿宋" w:eastAsia="仿宋"/>
          <w:sz w:val="32"/>
          <w:szCs w:val="32"/>
          <w:lang w:eastAsia="zh-CN"/>
        </w:rPr>
        <w:t>部门</w:t>
      </w:r>
      <w:r>
        <w:rPr>
          <w:rFonts w:hint="eastAsia" w:ascii="仿宋" w:hAnsi="仿宋" w:eastAsia="仿宋"/>
          <w:sz w:val="32"/>
          <w:szCs w:val="32"/>
          <w:lang w:val="en-US" w:eastAsia="zh-CN"/>
        </w:rPr>
        <w:t>2021年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left="0" w:leftChars="0" w:right="0" w:firstLine="643" w:firstLineChars="200"/>
        <w:textAlignment w:val="auto"/>
        <w:outlineLvl w:val="9"/>
        <w:rPr>
          <w:rFonts w:hint="eastAsia" w:ascii="仿宋_GB2312" w:hAnsi="仿宋" w:eastAsia="仿宋_GB2312"/>
          <w:sz w:val="32"/>
          <w:szCs w:val="32"/>
        </w:rPr>
      </w:pPr>
      <w:r>
        <w:rPr>
          <w:rFonts w:hint="eastAsia" w:ascii="仿宋" w:hAnsi="仿宋" w:eastAsia="仿宋"/>
          <w:b/>
          <w:bCs/>
          <w:sz w:val="32"/>
          <w:szCs w:val="32"/>
          <w:lang w:val="en-US" w:eastAsia="zh-CN"/>
        </w:rPr>
        <w:t>1、主要职责：</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（1）贯彻执行上级民族宗教工作的方针、政策，组织开展民族宗教理论、政策及重大问题的调查研究，提出政策性意见和建议。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（2）负责指导有关部门、有关领域落实民族宗教政策，促进民族宗教工作开展。</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（3）负责起草民族宗教方面的地方性法规、政府规章草案，并督促检查落实情况，保障少数民族和信教群众的合法权益。</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（4）负责组织指导民族宗教政策、民族宗教法律法规和民族宗教基本知识的宣传教育；承办民族团结进步表彰活动，组织协调民族自治地方重大庆典活动。</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（5）负责协调、指导《中华人民共和国民族区域自治法》的贯彻实施。</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（6）研究提出协调民族关系的工作建议，协调处理民族关系中的重大事件，参与协调民族地区的社会稳定工作。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（7）参与拟定少数民族和民族地方经济社会相关领域的发展规划，并监督实施。</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（8）分析少数民族和民族地方经济社会发展中的重大问题并提出政策建议；管理少数民族和民族地方专项资金，组织协调民族地方科技发展、对口支援、经济技术合作等有关工作。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（9）负责指导少数民族语言文字的翻译、出版和民族古籍的搜集、整理、出版有关工作；承办民族统计工作。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（10）负责协调民族宗教领域对外和对港澳台的交流与合作有关工作；参与涉及民族宗教事务对外宣传工作。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（11）参与拟定少数民族人才队伍规划，帮助有关部门做好少数民族干部的培养、教育和使用工作。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（12）依法对宗教事务进行管理，依法保护公民的宗教信仰自由和正常的宗教活动，维护宗教界合法权益，促进宗教关系和谐。</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13）指导宗教团体依法依章开展活动，指导宗教团体加强自身建设，帮助宗教团体培养宗教教职人员；协助做好宗教院校有关工作；推动宗教团体在宗教界开展爱国主义、社会主义、拥护祖国统一和民族团结的自我教育；办理宗教团体需由政府解决或协调的有关事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（14）负责引导、促进宗教团体在法律、法规和政策范围内的活动，防范利用宗教进行非法、违法活动，抵御境外利用宗教进行的渗透活动。</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（15）负责指导、协调、监督管理宗教界依法开展公益、慈善事业；团结和动员广大信教群众为改革开放和经济建设服务。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（16）负责指导各县（市）、区政府及时处理民族宗教方面的突发事件和影响社会稳定的问题。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（17）承办市政府交办的其他事项。</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2、机构情况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部门预算安排单位名称为石家庄市民族宗教事务局，单位性质为行政单位，单位内设职能处室有：办公室、民族科、宗教一科、宗教二科、政策法规科。</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3、人员情况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我单位2021年行政编制26人，事业编制5人。2021年末实有在职人员36人（含事业编5人），退休27人，离休2人。</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b/>
          <w:bCs/>
          <w:sz w:val="32"/>
          <w:szCs w:val="32"/>
          <w:lang w:val="en-US" w:eastAsia="zh-CN"/>
        </w:rPr>
        <w:t>资产情况</w:t>
      </w:r>
    </w:p>
    <w:p>
      <w:pPr>
        <w:widowControl w:val="0"/>
        <w:numPr>
          <w:ilvl w:val="0"/>
          <w:numId w:val="0"/>
        </w:numPr>
        <w:wordWrap/>
        <w:adjustRightInd w:val="0"/>
        <w:snapToGrid w:val="0"/>
        <w:spacing w:line="560" w:lineRule="exact"/>
        <w:ind w:right="0" w:rightChars="0"/>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 xml:space="preserve">    截至2021年12月31日止，固定资产原值137.16万元，固定资产净值85.68万元，无形资产原值1.78万元，无形资产净值1.41万元，流动资产229.24万元，负债0.12万元，2021年未，净资产合计316.21万元。</w:t>
      </w:r>
    </w:p>
    <w:p>
      <w:pPr>
        <w:widowControl w:val="0"/>
        <w:numPr>
          <w:ilvl w:val="0"/>
          <w:numId w:val="2"/>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2021年初财政预算收支1511.18万元，决算收支1262.76万元，支出占比达83.56%。本年一般预算财政拨款收入1253.96万元，其中人员经费796.41万元，占财政拨款收入的63.51%，日常公用经费82.39万元，占财政拨款收入的6.57%，专项经费375.16万元，占财政拨款收入的29.92%。2021年度一般预算财政拨款决算支出1029.84万元，基本支出654.67万元，占支出的63.57%（人员经费支出572.29万元、日常公用经费支出82.38万元），专项经费支出375.16万元，占支出的36.43%。</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财政拨款中，人员经费所占比重较大，主要用于发放在职人员和离休人员工资。</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支出绩效目标</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2021年，市民宗局认真学习贯彻习近平总书记关于加强和改进民族宗教工作重要思想，全面落实中央、省委、市委关于民族宗教工作的新要求、新部署，推动我市民族宗教工作实现高质量发展。在全年绩效目标指引下，深入开展民族团结进步创建，不断铸牢中华民族共同体意识；深入开展宗教领域专项整治和系统治理，解决了一大批多年想解决而没有解决的历史遗留问题；深入开展各级宗教干部、宗教教职人员教育培训活动，有效提升宗教干部、教职人员队伍整体素质，按计划完成了全年绩效目标。</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绩效指标：</w:t>
      </w:r>
    </w:p>
    <w:p>
      <w:pPr>
        <w:widowControl/>
        <w:spacing w:line="448" w:lineRule="atLeast"/>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贯彻执行国家关于少数民族工作的方针政策，协调处理涉及民族关系的有关事宜，开展民族团结进步创建活动，监督办理少数民族权益保障事宜。贯彻执行宣传国家关于宗教工作的方针政策，监督检查宗教活动场所，创建和谐寺观教堂，加强宗教团体建设，培训宗教工作干部，监控、遏制天主教地下分子的非法活动，抵御境外利用宗教渗透，协同管理宗教界人员对外交流等涉外事宜，</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color w:val="auto"/>
          <w:sz w:val="32"/>
          <w:szCs w:val="32"/>
          <w:lang w:val="en-US" w:eastAsia="zh-CN"/>
        </w:rPr>
        <w:t>按照《石家庄市财政局关于开展2021年度专项资金绩效自评工作的通知》要求，根据局领导批示，我局由主管财务副局长牵头，各处室负责人配合，对2021年各专项资金使用效益和管理情况进行绩效自评。年初，对各项资金进行了绩效目标编报，规定了资金使用范围，达到预期目标及支出进度安排。资金下达后，我局将资金相关情况传达到各主管业务处室，由各业务处室根据工作计划严格按要求执行预算安排。具体资金使用由各处室上报局机关，经局领导批准后，财务室按要求进行支付。每一环节由相关处室进行把关，确保财政资金使用效益最大化。</w:t>
      </w:r>
      <w:r>
        <w:rPr>
          <w:rFonts w:hint="eastAsia" w:ascii="仿宋" w:hAnsi="仿宋" w:eastAsia="仿宋" w:cs="仿宋"/>
          <w:sz w:val="32"/>
          <w:szCs w:val="32"/>
          <w:lang w:eastAsia="zh-CN"/>
        </w:rPr>
        <w:t>根据</w:t>
      </w:r>
      <w:r>
        <w:rPr>
          <w:rFonts w:hint="eastAsia" w:ascii="仿宋" w:hAnsi="仿宋" w:eastAsia="仿宋" w:cs="仿宋"/>
          <w:sz w:val="32"/>
          <w:szCs w:val="32"/>
          <w:lang w:val="en-US" w:eastAsia="zh-CN"/>
        </w:rPr>
        <w:t>2021年初设定的绩效目标情况和年底各绩效指标完成情况进行了核实分析，按规定填报《市级部门预算项目绩效自评表》，并形成了绩效自评工作报告。</w:t>
      </w:r>
    </w:p>
    <w:p>
      <w:pPr>
        <w:pStyle w:val="2"/>
        <w:rPr>
          <w:rFonts w:hint="eastAsia"/>
          <w:lang w:eastAsia="zh-CN"/>
        </w:rPr>
      </w:pP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pStyle w:val="3"/>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仿宋" w:hAnsi="仿宋" w:eastAsia="仿宋" w:cs="仿宋"/>
          <w:b w:val="0"/>
          <w:bCs w:val="0"/>
          <w:sz w:val="32"/>
          <w:szCs w:val="32"/>
          <w:lang w:eastAsia="zh-CN"/>
        </w:rPr>
        <w:t>按照资金“谁分配、谁使用、谁负责”原则，切实加强资金使用单位及科室的主体责任，</w:t>
      </w:r>
      <w:r>
        <w:rPr>
          <w:rFonts w:hint="eastAsia" w:ascii="仿宋" w:hAnsi="仿宋" w:eastAsia="仿宋" w:cs="仿宋"/>
          <w:b w:val="0"/>
          <w:bCs w:val="0"/>
          <w:sz w:val="32"/>
          <w:szCs w:val="32"/>
          <w:lang w:val="en-US" w:eastAsia="zh-CN"/>
        </w:rPr>
        <w:t>绩效自评要以年初预算确定的项目绩效目标和绩效指标为依据，逐项进行对比分析，由局财务牵头，各资金单位和科室开展绩效自评工作。</w:t>
      </w:r>
    </w:p>
    <w:p>
      <w:pPr>
        <w:pStyle w:val="2"/>
        <w:rPr>
          <w:rFonts w:hint="eastAsia"/>
        </w:rPr>
      </w:pP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4"/>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2021年预算基本上按进度执行。本部门当年实际收入 11262.75万元，支出 1050.38 万元。其中，人员经费支出 572.29 万元，公用经费支出102.93 万元，项目经费支出 375.16 万元，整体支出情况达到了年初绩效目标。</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人员经费和公用经费的支出保障了部门的运转及工作的需要，满足了日常办公需求，为部门正常开展工作提供了有力保障；项目经费的有效执行有力支持了我单位行使部门职能，发挥部门作用。创建和谐寺观教堂经费、民族宗教工作会议经费、五大宗教团体办公经费和宗教团体办公房屋租赁经费，为我单位贯彻执行党和国家关于宗教工作的基本方针，大力开展和谐寺观教堂和“双创四建”活动，深入推进我国宗教中国化、增进宗教界人士和广大信教群众对伟大祖国、中华民族、中华文化、中国共产党、中国特色社会主义的认同感提供了经费保障。基督教工作专项经费、天主教爱国会专项工作经费、回民公墓临时用地土地租赁费等专项经费为我部门发挥好民族宗教工作桥梁纽带作用，防范化解民族宗教领域风险隐患，增强增进民族宗教领域和谐稳定提供了重要保障。在专项经费的有力支持下，我部门各项工作进展顺利，圆满完成了年初制定的任务目标。</w:t>
      </w:r>
    </w:p>
    <w:p>
      <w:pPr>
        <w:pStyle w:val="2"/>
        <w:rPr>
          <w:rFonts w:hint="default"/>
          <w:lang w:val="en-US"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通过对2021年度专项项目进行绩效自评，我部门9个项目，产出和效果指标都全部完成，完成率较好，但也存在部分指标设置不科学、不合理的问题。特别是民族宗教工作会议经费，预算数是7万元，实际支出4,86万元，支出进度仅为70%左右。虽然有疫情影响等诸多不利原因，但也反映出绩效目标设定缺乏全面综合考虑，预算支出不及时等问题。针对此问题，我单位下一步将进一步优化。今后将全面加强资金管理，加快结转资金支出进度，确保及时支付。同时，举一反三，精打细算，进一步增强预算的科学性，提高预算支出率，确保实现全优的目标。</w:t>
      </w:r>
    </w:p>
    <w:p>
      <w:pPr>
        <w:widowControl w:val="0"/>
        <w:numPr>
          <w:ilvl w:val="0"/>
          <w:numId w:val="5"/>
        </w:numPr>
        <w:wordWrap/>
        <w:spacing w:line="560" w:lineRule="exact"/>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评价结论和评价等级</w:t>
      </w:r>
    </w:p>
    <w:p>
      <w:pPr>
        <w:pStyle w:val="2"/>
        <w:numPr>
          <w:ilvl w:val="0"/>
          <w:numId w:val="0"/>
        </w:num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根据本部门2021年度专项经费执行情况和项目绩效情况，自评得分97分，自我评价为优秀。</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通过此次绩效自评也发现，部分预算绩效目标设定还不够科学，个别项目绩效评价指标不够清晰准确，不够量化，难于评价。其原因是对于个别项目评价点定位不够准确，对于项目可操作性研究不够深入，评价等级划分不够合理。</w:t>
      </w:r>
    </w:p>
    <w:p>
      <w:pPr>
        <w:pStyle w:val="2"/>
      </w:pPr>
    </w:p>
    <w:p>
      <w:pPr>
        <w:widowControl w:val="0"/>
        <w:numPr>
          <w:ilvl w:val="0"/>
          <w:numId w:val="6"/>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今后，我局将进一步加强预算资金管理，对预算的事前、事中、事后进行全过程控制，加大对预算编制与执行的监督管理力度，提高预算资金使用效率。同时，提高单位人员对预算资金使用效益的认识，把预算资金是否发挥使用效益与各岗位是否履职尽责相结合，充分发挥财政资金的经济效益。</w:t>
      </w:r>
    </w:p>
    <w:p>
      <w:pPr>
        <w:ind w:firstLine="640" w:firstLineChars="200"/>
        <w:rPr>
          <w:rFonts w:hint="eastAsia" w:ascii="仿宋" w:hAnsi="仿宋" w:eastAsia="仿宋" w:cs="仿宋"/>
          <w:b w:val="0"/>
          <w:bCs w:val="0"/>
          <w:kern w:val="0"/>
          <w:sz w:val="32"/>
          <w:szCs w:val="32"/>
          <w:lang w:val="en-US" w:eastAsia="zh-CN" w:bidi="ar-SA"/>
        </w:rPr>
      </w:pPr>
      <w:r>
        <w:rPr>
          <w:rFonts w:hint="eastAsia" w:ascii="仿宋" w:hAnsi="仿宋" w:eastAsia="仿宋" w:cs="仿宋"/>
          <w:b w:val="0"/>
          <w:bCs w:val="0"/>
          <w:kern w:val="0"/>
          <w:sz w:val="32"/>
          <w:szCs w:val="32"/>
          <w:lang w:val="en-US" w:eastAsia="zh-CN" w:bidi="ar-SA"/>
        </w:rPr>
        <w:t>针对绩效指标设定中存在的问题，在以后的工作中，要根据年度工作计划制定具体、可衡量、可实现的绩效目标，明确支出的必要性、可行性和有效性，并围绕绩效目标编制清晰、量化、便于考核的绩效指标。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widowControl w:val="0"/>
        <w:wordWrap/>
        <w:adjustRightInd w:val="0"/>
        <w:snapToGrid w:val="0"/>
        <w:spacing w:line="560" w:lineRule="exact"/>
        <w:ind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ind w:firstLine="640" w:firstLineChars="200"/>
        <w:rPr>
          <w:rFonts w:hint="eastAsia" w:ascii="仿宋_GB2312" w:hAnsi="仿宋" w:eastAsia="仿宋_GB2312" w:cs="仿宋"/>
          <w:color w:val="auto"/>
          <w:sz w:val="32"/>
          <w:szCs w:val="32"/>
          <w:highlight w:val="none"/>
          <w:lang w:val="en-US" w:eastAsia="zh-CN"/>
        </w:rPr>
      </w:pPr>
    </w:p>
    <w:tbl>
      <w:tblPr>
        <w:tblStyle w:val="6"/>
        <w:tblW w:w="82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2767"/>
        <w:gridCol w:w="1635"/>
        <w:gridCol w:w="21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c>
          <w:tcPr>
            <w:tcW w:w="2767"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工作单位</w:t>
            </w:r>
          </w:p>
        </w:tc>
        <w:tc>
          <w:tcPr>
            <w:tcW w:w="1635"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2175"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王凤余</w:t>
            </w:r>
          </w:p>
        </w:tc>
        <w:tc>
          <w:tcPr>
            <w:tcW w:w="2767"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市民族宗教事务局</w:t>
            </w:r>
          </w:p>
        </w:tc>
        <w:tc>
          <w:tcPr>
            <w:tcW w:w="1635"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副局长</w:t>
            </w:r>
          </w:p>
        </w:tc>
        <w:tc>
          <w:tcPr>
            <w:tcW w:w="2175" w:type="dxa"/>
            <w:vAlign w:val="top"/>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王凤余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张中华</w:t>
            </w:r>
          </w:p>
        </w:tc>
        <w:tc>
          <w:tcPr>
            <w:tcW w:w="2767" w:type="dxa"/>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市民族宗教事务局</w:t>
            </w:r>
          </w:p>
        </w:tc>
        <w:tc>
          <w:tcPr>
            <w:tcW w:w="1635"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主任科员</w:t>
            </w:r>
          </w:p>
        </w:tc>
        <w:tc>
          <w:tcPr>
            <w:tcW w:w="2175" w:type="dxa"/>
            <w:vAlign w:val="top"/>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张中华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戴晓辉</w:t>
            </w:r>
          </w:p>
        </w:tc>
        <w:tc>
          <w:tcPr>
            <w:tcW w:w="2767"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市民族宗教事务局</w:t>
            </w:r>
          </w:p>
        </w:tc>
        <w:tc>
          <w:tcPr>
            <w:tcW w:w="1635"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科长</w:t>
            </w:r>
          </w:p>
        </w:tc>
        <w:tc>
          <w:tcPr>
            <w:tcW w:w="2175" w:type="dxa"/>
            <w:vAlign w:val="top"/>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戴晓辉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凌向军</w:t>
            </w:r>
          </w:p>
        </w:tc>
        <w:tc>
          <w:tcPr>
            <w:tcW w:w="2767" w:type="dxa"/>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市民族宗教事务局</w:t>
            </w:r>
          </w:p>
        </w:tc>
        <w:tc>
          <w:tcPr>
            <w:tcW w:w="1635" w:type="dxa"/>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科长</w:t>
            </w:r>
          </w:p>
        </w:tc>
        <w:tc>
          <w:tcPr>
            <w:tcW w:w="2175" w:type="dxa"/>
            <w:vAlign w:val="top"/>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凌向军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王坤艳</w:t>
            </w:r>
          </w:p>
        </w:tc>
        <w:tc>
          <w:tcPr>
            <w:tcW w:w="2767" w:type="dxa"/>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市民族宗教事务局</w:t>
            </w:r>
          </w:p>
        </w:tc>
        <w:tc>
          <w:tcPr>
            <w:tcW w:w="1635" w:type="dxa"/>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科长</w:t>
            </w:r>
          </w:p>
        </w:tc>
        <w:tc>
          <w:tcPr>
            <w:tcW w:w="2175" w:type="dxa"/>
            <w:vAlign w:val="top"/>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王坤艳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方秋玲</w:t>
            </w:r>
          </w:p>
        </w:tc>
        <w:tc>
          <w:tcPr>
            <w:tcW w:w="2767" w:type="dxa"/>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市民族宗教事务局</w:t>
            </w:r>
          </w:p>
        </w:tc>
        <w:tc>
          <w:tcPr>
            <w:tcW w:w="1635" w:type="dxa"/>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科长</w:t>
            </w:r>
          </w:p>
        </w:tc>
        <w:tc>
          <w:tcPr>
            <w:tcW w:w="2175" w:type="dxa"/>
            <w:vAlign w:val="top"/>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方秋玲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vAlign w:val="top"/>
          </w:tcPr>
          <w:p>
            <w:pP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左慈</w:t>
            </w:r>
          </w:p>
        </w:tc>
        <w:tc>
          <w:tcPr>
            <w:tcW w:w="2767" w:type="dxa"/>
            <w:vAlign w:val="top"/>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市民族宗教事务局</w:t>
            </w:r>
          </w:p>
        </w:tc>
        <w:tc>
          <w:tcPr>
            <w:tcW w:w="1635" w:type="dxa"/>
            <w:vAlign w:val="top"/>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科员</w:t>
            </w:r>
          </w:p>
        </w:tc>
        <w:tc>
          <w:tcPr>
            <w:tcW w:w="2175" w:type="dxa"/>
            <w:vAlign w:val="top"/>
          </w:tcPr>
          <w:p>
            <w:pP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左慈</w:t>
            </w:r>
          </w:p>
        </w:tc>
      </w:tr>
    </w:tbl>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p>
    <w:p>
      <w:pPr>
        <w:ind w:firstLine="4480" w:firstLineChars="1400"/>
        <w:rPr>
          <w:rFonts w:hint="eastAsia" w:ascii="仿宋" w:hAnsi="仿宋" w:eastAsia="仿宋" w:cs="仿宋"/>
          <w:sz w:val="32"/>
          <w:szCs w:val="32"/>
          <w:lang w:eastAsia="zh-CN"/>
        </w:rPr>
      </w:pPr>
      <w:r>
        <w:rPr>
          <w:rFonts w:hint="eastAsia" w:ascii="仿宋" w:hAnsi="仿宋" w:eastAsia="仿宋" w:cs="仿宋"/>
          <w:sz w:val="32"/>
          <w:szCs w:val="32"/>
          <w:lang w:eastAsia="zh-CN"/>
        </w:rPr>
        <w:t>石家庄市民族宗教事务局</w:t>
      </w:r>
    </w:p>
    <w:p>
      <w:pPr>
        <w:ind w:firstLine="5120" w:firstLineChars="16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2022年3月22日</w:t>
      </w:r>
    </w:p>
    <w:p>
      <w:pPr>
        <w:ind w:firstLine="643" w:firstLineChars="200"/>
        <w:rPr>
          <w:rFonts w:hint="eastAsia" w:ascii="楷体" w:hAnsi="楷体" w:eastAsia="楷体" w:cs="楷体"/>
          <w:b/>
          <w:bCs/>
          <w:sz w:val="32"/>
          <w:szCs w:val="32"/>
        </w:rPr>
      </w:pP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Microsoft YaHei UI">
    <w:altName w:val="宋体"/>
    <w:panose1 w:val="020B0503020204020204"/>
    <w:charset w:val="86"/>
    <w:family w:val="auto"/>
    <w:pitch w:val="default"/>
    <w:sig w:usb0="00000000" w:usb1="00000000" w:usb2="00000016" w:usb3="00000000" w:csb0="0004001F" w:csb1="00000000"/>
  </w:font>
  <w:font w:name="Arial">
    <w:panose1 w:val="020B0604020202020204"/>
    <w:charset w:val="00"/>
    <w:family w:val="swiss"/>
    <w:pitch w:val="default"/>
    <w:sig w:usb0="E0002AFF" w:usb1="C0007843" w:usb2="00000009" w:usb3="00000000" w:csb0="400001FF" w:csb1="FFFF0000"/>
  </w:font>
  <w:font w:name="CESI仿宋-GB2312">
    <w:altName w:val="宋体"/>
    <w:panose1 w:val="02000500000000000000"/>
    <w:charset w:val="86"/>
    <w:family w:val="auto"/>
    <w:pitch w:val="default"/>
    <w:sig w:usb0="00000000" w:usb1="00000000" w:usb2="00000010" w:usb3="00000000" w:csb0="0004000F" w:csb1="00000000"/>
  </w:font>
  <w:font w:name="Microsoft JhengHei">
    <w:panose1 w:val="020B0604030504040204"/>
    <w:charset w:val="88"/>
    <w:family w:val="swiss"/>
    <w:pitch w:val="default"/>
    <w:sig w:usb0="00000087" w:usb1="28AF4000" w:usb2="00000016" w:usb3="00000000" w:csb0="00100009"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2414B86"/>
    <w:multiLevelType w:val="singleLevel"/>
    <w:tmpl w:val="62414B86"/>
    <w:lvl w:ilvl="0" w:tentative="0">
      <w:start w:val="4"/>
      <w:numFmt w:val="chineseCounting"/>
      <w:suff w:val="nothing"/>
      <w:lvlText w:val="%1、"/>
      <w:lvlJc w:val="left"/>
    </w:lvl>
  </w:abstractNum>
  <w:abstractNum w:abstractNumId="3">
    <w:nsid w:val="62414C8E"/>
    <w:multiLevelType w:val="singleLevel"/>
    <w:tmpl w:val="62414C8E"/>
    <w:lvl w:ilvl="0" w:tentative="0">
      <w:start w:val="2"/>
      <w:numFmt w:val="chineseCounting"/>
      <w:suff w:val="nothing"/>
      <w:lvlText w:val="（%1）"/>
      <w:lvlJc w:val="left"/>
    </w:lvl>
  </w:abstractNum>
  <w:abstractNum w:abstractNumId="4">
    <w:nsid w:val="6243FAD2"/>
    <w:multiLevelType w:val="singleLevel"/>
    <w:tmpl w:val="6243FAD2"/>
    <w:lvl w:ilvl="0" w:tentative="0">
      <w:start w:val="4"/>
      <w:numFmt w:val="decimal"/>
      <w:suff w:val="nothing"/>
      <w:lvlText w:val="%1、"/>
      <w:lvlJc w:val="left"/>
    </w:lvl>
  </w:abstractNum>
  <w:abstractNum w:abstractNumId="5">
    <w:nsid w:val="69E53B8C"/>
    <w:multiLevelType w:val="singleLevel"/>
    <w:tmpl w:val="69E53B8C"/>
    <w:lvl w:ilvl="0" w:tentative="0">
      <w:start w:val="2"/>
      <w:numFmt w:val="chineseCounting"/>
      <w:suff w:val="nothing"/>
      <w:lvlText w:val="（%1）"/>
      <w:lvlJc w:val="left"/>
      <w:rPr>
        <w:rFonts w:hint="eastAsia"/>
      </w:rPr>
    </w:lvl>
  </w:abstractNum>
  <w:num w:numId="1">
    <w:abstractNumId w:val="4"/>
  </w:num>
  <w:num w:numId="2">
    <w:abstractNumId w:val="5"/>
  </w:num>
  <w:num w:numId="3">
    <w:abstractNumId w:val="0"/>
  </w:num>
  <w:num w:numId="4">
    <w:abstractNumId w:val="1"/>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E61A16"/>
    <w:rsid w:val="16EE048A"/>
    <w:rsid w:val="1A875622"/>
    <w:rsid w:val="1D3E4E83"/>
    <w:rsid w:val="1F376778"/>
    <w:rsid w:val="28D03CF1"/>
    <w:rsid w:val="28FA2525"/>
    <w:rsid w:val="2FD54A4C"/>
    <w:rsid w:val="5C706794"/>
    <w:rsid w:val="5D8A2F20"/>
    <w:rsid w:val="6A2F1D77"/>
    <w:rsid w:val="6A625F56"/>
    <w:rsid w:val="76D25D8A"/>
    <w:rsid w:val="7CB71420"/>
    <w:rsid w:val="7F915B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unhideWhenUsed/>
    <w:qFormat/>
    <w:uiPriority w:val="0"/>
    <w:pPr>
      <w:spacing w:before="100" w:beforeLines="0" w:beforeAutospacing="1" w:after="100" w:afterLines="0" w:afterAutospacing="1"/>
      <w:jc w:val="left"/>
      <w:outlineLvl w:val="1"/>
    </w:pPr>
    <w:rPr>
      <w:rFonts w:hint="eastAsia" w:ascii="宋体" w:hAnsi="宋体" w:eastAsia="宋体" w:cs="Times New Roman"/>
      <w:b/>
      <w:kern w:val="0"/>
      <w:sz w:val="36"/>
      <w:szCs w:val="36"/>
    </w:rPr>
  </w:style>
  <w:style w:type="character" w:default="1" w:styleId="4">
    <w:name w:val="Default Paragraph Font"/>
    <w:semiHidden/>
    <w:qFormat/>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toa heading"/>
    <w:basedOn w:val="1"/>
    <w:next w:val="1"/>
    <w:qFormat/>
    <w:uiPriority w:val="0"/>
    <w:pPr>
      <w:spacing w:before="120"/>
    </w:pPr>
    <w:rPr>
      <w:rFonts w:ascii="Arial" w:hAnsi="Arial" w:cs="Arial"/>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fontstyle11"/>
    <w:basedOn w:val="4"/>
    <w:qFormat/>
    <w:uiPriority w:val="0"/>
    <w:rPr>
      <w:rFonts w:hint="eastAsia" w:ascii="仿宋" w:hAnsi="仿宋" w:eastAsia="仿宋" w:cs="仿宋"/>
      <w:color w:val="000000"/>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2025-03-05T01:53:30Z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