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宋体" w:hAnsi="宋体" w:cs="宋体"/>
          <w:b/>
          <w:bCs/>
          <w:sz w:val="44"/>
          <w:szCs w:val="44"/>
        </w:rPr>
      </w:pPr>
    </w:p>
    <w:p>
      <w:pPr>
        <w:pStyle w:val="2"/>
        <w:rPr>
          <w:rFonts w:ascii="宋体" w:hAnsi="宋体" w:cs="宋体"/>
          <w:b/>
          <w:bCs/>
          <w:sz w:val="44"/>
          <w:szCs w:val="44"/>
        </w:rPr>
      </w:pPr>
    </w:p>
    <w:p>
      <w:pPr>
        <w:pStyle w:val="2"/>
        <w:rPr>
          <w:rFonts w:ascii="宋体" w:hAnsi="宋体" w:cs="宋体"/>
          <w:b/>
          <w:bCs/>
          <w:sz w:val="44"/>
          <w:szCs w:val="44"/>
        </w:rPr>
      </w:pPr>
      <w:bookmarkStart w:id="0" w:name="_GoBack"/>
      <w:bookmarkEnd w:id="0"/>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中共石家庄市委机构编制委员会办公室</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市委编办</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hint="eastAsia" w:ascii="黑体" w:hAnsi="黑体" w:eastAsia="黑体"/>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rPr>
          <w:rFonts w:hint="eastAsia" w:ascii="仿宋_GB2312" w:hAnsi="仿宋_GB2312" w:eastAsia="仿宋_GB2312" w:cs="仿宋_GB2312"/>
          <w:sz w:val="32"/>
          <w:szCs w:val="36"/>
          <w:lang w:val="en-US" w:eastAsia="zh-CN"/>
        </w:rPr>
      </w:pPr>
      <w:r>
        <w:rPr>
          <w:rFonts w:hint="eastAsia" w:ascii="黑体" w:hAnsi="黑体" w:eastAsia="黑体"/>
          <w:sz w:val="32"/>
          <w:szCs w:val="36"/>
          <w:lang w:val="en-US" w:eastAsia="zh-CN"/>
        </w:rPr>
        <w:t xml:space="preserve">    </w:t>
      </w:r>
      <w:r>
        <w:rPr>
          <w:rFonts w:hint="eastAsia" w:ascii="仿宋_GB2312" w:hAnsi="仿宋_GB2312" w:eastAsia="仿宋_GB2312" w:cs="仿宋_GB2312"/>
          <w:sz w:val="32"/>
          <w:szCs w:val="36"/>
          <w:lang w:val="en-US" w:eastAsia="zh-CN"/>
        </w:rPr>
        <w:t>（一）部门概况</w:t>
      </w:r>
    </w:p>
    <w:p>
      <w:pPr>
        <w:pStyle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sz w:val="32"/>
          <w:szCs w:val="32"/>
          <w:lang w:val="en-US" w:eastAsia="zh-CN"/>
        </w:rPr>
        <w:t xml:space="preserve"> 1.</w:t>
      </w:r>
      <w:r>
        <w:rPr>
          <w:rFonts w:hint="eastAsia" w:ascii="仿宋_GB2312" w:hAnsi="仿宋_GB2312" w:eastAsia="仿宋_GB2312" w:cs="仿宋_GB2312"/>
          <w:b/>
          <w:bCs/>
          <w:sz w:val="32"/>
          <w:szCs w:val="32"/>
          <w:lang w:val="en-US" w:eastAsia="zh-CN"/>
        </w:rPr>
        <w:t>部门职能：</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贯彻落实党中央和省、市委关于行政管理体制和机构改革以及机构编制管理的政策法规，组织起草相关政策规定和地方性法规、规章等规范性文件草案并监督实施。管理和指导全市市纪委监委机关及其派驻纪检监察组、市委各机关、市人大机关、市政府各部门、市政协机关、民主党派市级机关、人民团体市级机关（以下简称“党政群机关”），以及事业单位机构编制工作。组织开展行政管理体制改革、事业单位管理体制改革及机构编制工作基础性、创新性和前瞻性研究。</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（二）组织拟订全市行政管理体制改革和市委、市政府机构改革方案并组织实施。负责全市行政管理体制和机构改革以及机构编制管理工作；负责行政执法体制改革工作。</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规定权限，负责市级党政群机关以及部门派出机构的职能配置、机构设置、人员编制和领导职数管理工作；负责协调市委、市政府各部门职能配置及其调整，协调市委、市政府各部门之间以及市直部门与县（市、区）之间职责分工；负责需要承办的省以下垂直管理部门或双重管理部门（单位）机构编制有关工作。</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组织拟订全市事业单位管理体制改革和机构改革方案。拟订各类事业单位人员编制管理办法并组织实施。按照规定权限，负责市委、市政府直属事业单位和市直部门所属事业单位的职能配置、机构设置、人员编制和领导职数管理工作。</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指导各县（市、区）、乡（镇）的行政管理体制改革、事业单位管理体制改革和机构改革工作，审核机构改革方案。审核各县（市、区）、乡（镇）机构编制分类；负责各县（市、区）党政群机关副科级以上行政机构、事业单位和新设事业单位机构编制管理工作。</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（六）负责全市党政群机关统一社会信用代码赋码管理工作，负责全市事业单位法人登记管理和监督检查工作。</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（七）负责全市开发区（园区）行政管理体制改革工作。组织拟订开发区（园区）机构编制管理办法并组织实施；负责全市省级以上开发区（园区）职能配置、机构设置、人员编制和领导职数审核及上报工作。</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全市机构编制的总量控制、动态管理。组织拟订市本级年度编制使用计划，审核市直及县（市、区）机关事业单位招录、招聘和政策性安置等计划；负责市直机关事业单位编制使用核准；负责机构编制实名制管理工作；建立健全机构编制部门与有关部门的协调配合约束机制。</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负责跟踪评估、监督检查全市各级行政、事业单位管理体制改革、机构改革及机构编制政策执行情况；负责受理违反机构编制法规、纪律的检举、控告和投诉，对违反机构编制法规、纪律问题进行调查处理。</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全市机构编制电子政务和信息化工作。负责全市机构编制统计工作；负责机构编制网站的管理、使用和维护；负责党政群机关、事业单位和其他非营利性单位网上名称管理工作；指导各县（市、区）机构编制部门电子政务建设和信息化建设工作。</w:t>
      </w:r>
    </w:p>
    <w:p>
      <w:pPr>
        <w:pStyle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（十一）完成市委、市政府和市委机构编制委员会交办的其他任务。</w:t>
      </w:r>
    </w:p>
    <w:p>
      <w:pPr>
        <w:pStyle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2.组织机构及人员情况</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市委编办是正县级行政单位，下属一个正科级事业单位（石家庄市机构编制研究中心），经费保障形式为财政性资金定额补助。</w:t>
      </w:r>
    </w:p>
    <w:p>
      <w:pPr>
        <w:numPr>
          <w:ilvl w:val="0"/>
          <w:numId w:val="1"/>
        </w:num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eastAsia="zh-CN"/>
        </w:rPr>
        <w:t>人员情况。我办编制</w:t>
      </w:r>
      <w:r>
        <w:rPr>
          <w:rFonts w:hint="eastAsia" w:ascii="仿宋" w:hAnsi="仿宋" w:eastAsia="仿宋"/>
          <w:sz w:val="32"/>
          <w:szCs w:val="32"/>
          <w:lang w:val="en-US" w:eastAsia="zh-CN"/>
        </w:rPr>
        <w:t>159个，其中，行政编制48人，事业编制111人。年末实有在职人员55人（行政46人，事业9人）。</w:t>
      </w:r>
    </w:p>
    <w:p>
      <w:pPr>
        <w:numPr>
          <w:ilvl w:val="0"/>
          <w:numId w:val="1"/>
        </w:num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部门构成。市委编办现有内设科室10个。</w:t>
      </w:r>
    </w:p>
    <w:p>
      <w:pPr>
        <w:numPr>
          <w:ilvl w:val="0"/>
          <w:numId w:val="1"/>
        </w:num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车辆情况。车辆编制1辆，为应急保障用车。</w:t>
      </w:r>
    </w:p>
    <w:p>
      <w:pPr>
        <w:keepNext w:val="0"/>
        <w:keepLines w:val="0"/>
        <w:widowControl w:val="0"/>
        <w:suppressLineNumbers w:val="0"/>
        <w:adjustRightInd w:val="0"/>
        <w:snapToGrid w:val="0"/>
        <w:spacing w:before="0" w:beforeAutospacing="0" w:after="0" w:afterAutospacing="0" w:line="640" w:lineRule="exact"/>
        <w:ind w:left="0" w:right="0" w:firstLine="640" w:firstLineChars="200"/>
        <w:jc w:val="both"/>
        <w:rPr>
          <w:rFonts w:hint="eastAsia"/>
          <w:lang w:val="en-US" w:eastAsia="zh-CN"/>
        </w:rPr>
      </w:pPr>
      <w:r>
        <w:rPr>
          <w:rFonts w:hint="eastAsia" w:ascii="仿宋_GB2312" w:hAnsi="仿宋_GB2312" w:eastAsia="仿宋_GB2312" w:cs="仿宋_GB2312"/>
          <w:kern w:val="2"/>
          <w:sz w:val="32"/>
          <w:szCs w:val="32"/>
          <w:lang w:val="en-US" w:eastAsia="zh-CN" w:bidi="ar"/>
        </w:rPr>
        <w:t>（4）本年度，我单位固定资产381.92万元，较年初增加了54.7万元,增加了14.32%；变动的原因为单位采购办公设备。</w:t>
      </w:r>
    </w:p>
    <w:p>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numPr>
          <w:ilvl w:val="0"/>
          <w:numId w:val="0"/>
        </w:numPr>
        <w:adjustRightInd w:val="0"/>
        <w:snapToGrid w:val="0"/>
        <w:spacing w:line="560" w:lineRule="exact"/>
        <w:rPr>
          <w:rFonts w:hint="eastAsia" w:ascii="楷体" w:hAnsi="楷体" w:eastAsia="楷体" w:cs="楷体_GB2312"/>
          <w:bCs/>
          <w:sz w:val="32"/>
          <w:szCs w:val="32"/>
          <w:lang w:val="en-US" w:eastAsia="zh-CN"/>
        </w:rPr>
      </w:pPr>
      <w:r>
        <w:rPr>
          <w:rFonts w:hint="eastAsia" w:ascii="楷体" w:hAnsi="楷体" w:eastAsia="楷体" w:cs="楷体_GB2312"/>
          <w:bCs/>
          <w:sz w:val="32"/>
          <w:szCs w:val="32"/>
          <w:lang w:val="en-US" w:eastAsia="zh-CN"/>
        </w:rPr>
        <w:t xml:space="preserve">     2023年石家庄市委编办预算收入决算数1676.45万元， 决算支出数 1676.45 万元。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2023年，是全面贯彻落实党的二十大精神的开局之年，也是石家庄市经济总量过万亿、实现弯道超车的跃升之年、展示之年。市委编办以习近平新时代中国特色社会主义思想为指导，深入贯彻落实中央和省、市委系列部署要求，坚持一手抓学习贯彻习近平新时代中国特色社会主义思想主题教育，一手抓机构改革准备、积极稳妥推进疾控和国防动员等专项体制改革、着力深化事业单位改革准备、持续优化机构编制资源配置</w:t>
      </w:r>
      <w:r>
        <w:rPr>
          <w:rFonts w:hint="eastAsia" w:ascii="仿宋" w:hAnsi="仿宋" w:eastAsia="仿宋"/>
          <w:sz w:val="32"/>
          <w:szCs w:val="32"/>
          <w:lang w:val="en-US" w:eastAsia="zh-CN"/>
        </w:rPr>
        <w:t>等业务工作，</w:t>
      </w:r>
      <w:r>
        <w:rPr>
          <w:rFonts w:hint="eastAsia" w:ascii="仿宋" w:hAnsi="仿宋" w:eastAsia="仿宋"/>
          <w:sz w:val="32"/>
          <w:szCs w:val="32"/>
          <w:lang w:eastAsia="zh-CN"/>
        </w:rPr>
        <w:t>在学思践悟中筑牢政治之魂，在以知促行中践行初心使命。</w:t>
      </w:r>
    </w:p>
    <w:p>
      <w:pPr>
        <w:pStyle w:val="10"/>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1.党政机构职能体系持续完善</w:t>
      </w:r>
    </w:p>
    <w:p>
      <w:pPr>
        <w:pStyle w:val="10"/>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继续深化乡镇街道改革成果，统筹优化党政机构职能设置，坚持系统思维，主动作为，建立“一定三单两办法”，并按照中央编办和省委编办统一部署，积极推进开发区管理体制改革，助力开发区高质量发展。</w:t>
      </w:r>
    </w:p>
    <w:p>
      <w:pPr>
        <w:pStyle w:val="10"/>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印发清单管理办法、分歧处理办法，构建起权界清晰、分工合理、运转高效的职责框架，促进政府部门依法依规高效履职，针对开发区体制机制堵点和管理治理难点，注重加强顶层设计，经反复协调、多方酝酿，探索实行“一区多园”“区区合一”模式。</w:t>
      </w:r>
    </w:p>
    <w:p>
      <w:pPr>
        <w:pStyle w:val="10"/>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2.持续优化机构编制资源配置</w:t>
      </w:r>
    </w:p>
    <w:p>
      <w:pPr>
        <w:pStyle w:val="10"/>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围绕“6+1”专项行动等全市重大战略，为市委当好机构编制资源“大管家”，平衡增减、优化结构，用创新思维统筹调度全市编制资源，有力保障省会各项事业发展需求。建立编制“周转池”盘活编制资源，为重点领域投放编制资源。</w:t>
      </w:r>
    </w:p>
    <w:p>
      <w:pPr>
        <w:pStyle w:val="10"/>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用于保障行政、教育、卫生健康、人才等4个重点领域引才用编需求，历史性地解决了编制资源长期闲置、政策性超编突出、干部队伍结构不优等问题，使沉睡的编制数字转化为促进事业发展的有效抓手，为加快城市更新、实现经济总量过万亿，提供了支撑保障作用。</w:t>
      </w:r>
    </w:p>
    <w:p>
      <w:pPr>
        <w:pStyle w:val="10"/>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3.稳妥做好公益类事业单位改革准备工作</w:t>
      </w:r>
    </w:p>
    <w:p>
      <w:pPr>
        <w:pStyle w:val="10"/>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绩效目标：全面做好公益类事业单位改革准备，着手建立《公益类事业单位改革工作台账》，在全省率先高质量完成行政复议体制改革，为全面推进行政复议规范化、专业化、信息化建设提供了机构编制保障。</w:t>
      </w:r>
    </w:p>
    <w:p>
      <w:pPr>
        <w:pStyle w:val="10"/>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绩效指标：系统分析36个部门336个事业单位精简、调整情况等关键数据，按照不同精简比例，拟定多套改革方案，做好了改革前各项准备。</w:t>
      </w:r>
    </w:p>
    <w:p>
      <w:pPr>
        <w:pStyle w:val="10"/>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4.细化管理挖潜编制资源</w:t>
      </w:r>
    </w:p>
    <w:p>
      <w:pPr>
        <w:pStyle w:val="10"/>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建立行政、事业单位“户口本”，为市直部门和411个市直事业单位建档立卡，实现全息“画像”，为科学调整机构编制打好基础。有序开展编制配比标准研究，利用数据分析方法，形成各部门编制配备参考标准，提升机构编制管理规范化水平。</w:t>
      </w:r>
    </w:p>
    <w:p>
      <w:pPr>
        <w:pStyle w:val="10"/>
        <w:keepNext w:val="0"/>
        <w:keepLines w:val="0"/>
        <w:pageBreakBefore w:val="0"/>
        <w:widowControl/>
        <w:kinsoku/>
        <w:wordWrap/>
        <w:overflowPunct/>
        <w:topLinePunct w:val="0"/>
        <w:autoSpaceDE/>
        <w:autoSpaceDN/>
        <w:bidi w:val="0"/>
        <w:adjustRightInd/>
        <w:snapToGrid/>
        <w:spacing w:line="500" w:lineRule="exact"/>
        <w:ind w:left="0" w:leftChars="0" w:right="0" w:rightChars="0" w:firstLine="560" w:firstLineChars="200"/>
        <w:jc w:val="left"/>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组织机构编制执行情况和使用效益评估，探索制定不同县区、不同类别部门差异化评估指标，引进第三方评估机制，相关经验被省委编办在全省推广。每月编印《机构编制研究动态》，提炼总结各地机构编制亮点工作和前沿成果，指导机构编制工作实践。</w:t>
      </w:r>
    </w:p>
    <w:p>
      <w:pPr>
        <w:pStyle w:val="2"/>
        <w:rPr>
          <w:rFonts w:hint="eastAsia"/>
          <w:lang w:eastAsia="zh-CN"/>
        </w:rPr>
      </w:pP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keepNext w:val="0"/>
        <w:keepLines w:val="0"/>
        <w:widowControl w:val="0"/>
        <w:suppressLineNumbers w:val="0"/>
        <w:spacing w:before="0" w:beforeAutospacing="0" w:after="0" w:afterAutospacing="0" w:line="640" w:lineRule="exact"/>
        <w:ind w:left="0" w:right="0" w:firstLine="640" w:firstLineChars="200"/>
        <w:jc w:val="both"/>
        <w:rPr>
          <w:rFonts w:hint="eastAsia" w:ascii="仿宋_GB2312" w:hAnsi="仿宋_GB2312" w:eastAsia="仿宋_GB2312" w:cs="仿宋_GB2312"/>
          <w:sz w:val="32"/>
          <w:szCs w:val="32"/>
          <w:lang w:val="en-US"/>
        </w:rPr>
      </w:pPr>
      <w:r>
        <w:rPr>
          <w:rFonts w:hint="eastAsia" w:ascii="仿宋" w:hAnsi="仿宋" w:eastAsia="仿宋" w:cs="楷体_GB2312"/>
          <w:b/>
          <w:bCs/>
          <w:sz w:val="32"/>
          <w:szCs w:val="32"/>
        </w:rPr>
        <w:t xml:space="preserve">    </w:t>
      </w:r>
      <w:r>
        <w:rPr>
          <w:rFonts w:hint="eastAsia" w:ascii="仿宋_GB2312" w:hAnsi="仿宋_GB2312" w:eastAsia="仿宋_GB2312" w:cs="仿宋_GB2312"/>
          <w:kern w:val="2"/>
          <w:sz w:val="32"/>
          <w:szCs w:val="32"/>
          <w:lang w:val="en-US" w:eastAsia="zh-CN" w:bidi="ar"/>
        </w:rPr>
        <w:t>为进一步提高我办绩效预算管理工作，根据《石家庄市市级部门预算项目绩效自评管理办法》（石财绩〔2020〕5号）要求，成立绩效评价工作组，按照全覆盖原则，对我办2022年度所有专项项目开展绩效自评工作。石家庄市委编办2022年度预算共安排项目经费12个，涉及资金357万元。</w:t>
      </w:r>
    </w:p>
    <w:p>
      <w:pPr>
        <w:keepNext w:val="0"/>
        <w:keepLines w:val="0"/>
        <w:widowControl w:val="0"/>
        <w:suppressLineNumbers w:val="0"/>
        <w:spacing w:before="0" w:beforeAutospacing="0" w:after="0" w:afterAutospacing="0" w:line="640" w:lineRule="exact"/>
        <w:ind w:left="0" w:right="0" w:firstLine="640" w:firstLineChars="200"/>
        <w:jc w:val="both"/>
        <w:rPr>
          <w:rFonts w:hint="eastAsia" w:ascii="仿宋_GB2312" w:hAnsi="仿宋_GB2312" w:eastAsia="仿宋_GB2312" w:cs="仿宋_GB2312"/>
          <w:sz w:val="32"/>
          <w:szCs w:val="32"/>
          <w:lang w:val="en-US"/>
        </w:rPr>
      </w:pPr>
      <w:r>
        <w:rPr>
          <w:rFonts w:hint="eastAsia" w:ascii="仿宋_GB2312" w:hAnsi="仿宋_GB2312" w:eastAsia="仿宋_GB2312" w:cs="仿宋_GB2312"/>
          <w:kern w:val="2"/>
          <w:sz w:val="32"/>
          <w:szCs w:val="32"/>
          <w:lang w:val="en-US" w:eastAsia="zh-CN" w:bidi="ar"/>
        </w:rPr>
        <w:t>1.评价过程。根据相关文件规定，以项目申报预期绩效目标和工作要求作为评价标准，采取定量和定性评价相结合的方法，对项目资料进行审核、分析。</w:t>
      </w:r>
    </w:p>
    <w:p>
      <w:pPr>
        <w:keepNext w:val="0"/>
        <w:keepLines w:val="0"/>
        <w:widowControl w:val="0"/>
        <w:suppressLineNumbers w:val="0"/>
        <w:spacing w:before="0" w:beforeAutospacing="0" w:after="0" w:afterAutospacing="0" w:line="640" w:lineRule="exact"/>
        <w:ind w:left="0" w:right="0" w:firstLine="640" w:firstLineChars="200"/>
        <w:jc w:val="both"/>
        <w:rPr>
          <w:rFonts w:hint="eastAsia" w:ascii="仿宋_GB2312" w:hAnsi="仿宋_GB2312" w:eastAsia="仿宋_GB2312" w:cs="仿宋_GB2312"/>
          <w:sz w:val="32"/>
          <w:szCs w:val="32"/>
          <w:lang w:val="en-US"/>
        </w:rPr>
      </w:pPr>
      <w:r>
        <w:rPr>
          <w:rFonts w:hint="eastAsia" w:ascii="仿宋_GB2312" w:hAnsi="仿宋_GB2312" w:eastAsia="仿宋_GB2312" w:cs="仿宋_GB2312"/>
          <w:kern w:val="2"/>
          <w:sz w:val="32"/>
          <w:szCs w:val="32"/>
          <w:lang w:val="en-US" w:eastAsia="zh-CN" w:bidi="ar"/>
        </w:rPr>
        <w:t>2.评价中做到重点突出。在评价工作中，紧抓评价工作的六个重点内容：预算执行情况、绩效目标完成情况、各项绩效指标完成情况、各项绩效指标评价等级、项目满意度、存在的问题及改进措施。严格按照相关文件和评价体系的要求，全面收集，系统整理预算项目完成信息，并且实事求是、客观公正的进行绩效评价工作。</w:t>
      </w:r>
    </w:p>
    <w:p>
      <w:pPr>
        <w:keepNext w:val="0"/>
        <w:keepLines w:val="0"/>
        <w:widowControl w:val="0"/>
        <w:suppressLineNumbers w:val="0"/>
        <w:spacing w:before="0" w:beforeAutospacing="0" w:after="0" w:afterAutospacing="0" w:line="640" w:lineRule="exact"/>
        <w:ind w:left="0" w:right="0" w:firstLine="640" w:firstLineChars="200"/>
        <w:jc w:val="both"/>
        <w:rPr>
          <w:rFonts w:ascii="楷体" w:hAnsi="楷体" w:eastAsia="楷体" w:cs="楷体_GB2312"/>
          <w:bCs/>
          <w:sz w:val="32"/>
          <w:szCs w:val="32"/>
        </w:rPr>
      </w:pPr>
      <w:r>
        <w:rPr>
          <w:rFonts w:hint="eastAsia" w:ascii="仿宋_GB2312" w:hAnsi="仿宋_GB2312" w:eastAsia="仿宋_GB2312" w:cs="仿宋_GB2312"/>
          <w:kern w:val="2"/>
          <w:sz w:val="32"/>
          <w:szCs w:val="32"/>
          <w:lang w:val="en-US" w:eastAsia="zh-CN" w:bidi="ar"/>
        </w:rPr>
        <w:t>3.客观分析。首先根据评价项目的实际情况与指标体系进行分析、比对，评判实际达到的绩效目标给出适当得分，并充分考虑以下几方面：预算资金是否按进度执行、项目是否按计划落实推进、是否达到预定目标效果、项目满意度等。根据单项指标实际完成情况相应赋予分值。逐项评定每项指标得分，汇总形成单个项目绩效自评得分。</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widowControl w:val="0"/>
        <w:suppressLineNumbers w:val="0"/>
        <w:spacing w:before="0" w:beforeAutospacing="0" w:after="0" w:afterAutospacing="0" w:line="640" w:lineRule="exact"/>
        <w:ind w:left="0" w:right="0" w:firstLine="640" w:firstLineChars="200"/>
        <w:jc w:val="both"/>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2023年，“数字编办”建设和《义务教育阶段教师编制中长期保障机制》课题研究受到中央编办肯定；全面深化改革工作机构编制系统考核连续位列全省第一；省委编办赋予的权责清单管理信息化建设和事业单位法人电子证照应用试点任务圆满完成、石家庄经开区综合行政执法改革试点工作有序推进；设立市科技创新发展院做法被省委编办列为主题教育全省唯一正面典型案例；全市机构编制系统在《中国机构编制》等中央和省、市各类杂志媒体刊发稿件221篇，“石家庄机构编制网”点击量累计659.3万人次；年度机构编制研究课题获奖、立项、结项数量均位列全省机构编制系统首位；驻村工作队获得全省乡村振兴“先进驻村工作队”称号。</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pStyle w:val="12"/>
        <w:keepNext w:val="0"/>
        <w:keepLines w:val="0"/>
        <w:pageBreakBefore w:val="0"/>
        <w:widowControl w:val="0"/>
        <w:numPr>
          <w:ilvl w:val="0"/>
          <w:numId w:val="4"/>
        </w:numPr>
        <w:kinsoku/>
        <w:wordWrap/>
        <w:overflowPunct/>
        <w:topLinePunct w:val="0"/>
        <w:autoSpaceDE/>
        <w:autoSpaceDN/>
        <w:bidi w:val="0"/>
        <w:adjustRightInd/>
        <w:snapToGrid/>
        <w:spacing w:line="640" w:lineRule="exact"/>
        <w:ind w:firstLine="680"/>
        <w:textAlignment w:val="auto"/>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color w:val="auto"/>
          <w:kern w:val="0"/>
          <w:sz w:val="32"/>
          <w:szCs w:val="32"/>
        </w:rPr>
        <w:t>着眼健全完善机构职能体系和体制机制，统筹推进各项改革工作</w:t>
      </w:r>
      <w:r>
        <w:rPr>
          <w:rFonts w:hint="eastAsia" w:ascii="仿宋_GB2312" w:hAnsi="仿宋_GB2312" w:eastAsia="仿宋_GB2312" w:cs="仿宋_GB2312"/>
          <w:color w:val="auto"/>
          <w:kern w:val="0"/>
          <w:sz w:val="32"/>
          <w:szCs w:val="32"/>
          <w:lang w:eastAsia="zh-CN"/>
        </w:rPr>
        <w:t>。紧紧围绕“</w:t>
      </w:r>
      <w:r>
        <w:rPr>
          <w:rFonts w:hint="eastAsia" w:ascii="仿宋_GB2312" w:hAnsi="仿宋_GB2312" w:eastAsia="仿宋_GB2312" w:cs="仿宋_GB2312"/>
          <w:color w:val="auto"/>
          <w:kern w:val="0"/>
          <w:sz w:val="32"/>
          <w:szCs w:val="32"/>
        </w:rPr>
        <w:t>健全与中国式现代化相适应的机构职能体系和体制机制</w:t>
      </w:r>
      <w:r>
        <w:rPr>
          <w:rFonts w:hint="eastAsia" w:ascii="仿宋_GB2312" w:hAnsi="仿宋_GB2312" w:eastAsia="仿宋_GB2312" w:cs="仿宋_GB2312"/>
          <w:color w:val="auto"/>
          <w:kern w:val="0"/>
          <w:sz w:val="32"/>
          <w:szCs w:val="32"/>
          <w:lang w:eastAsia="zh-CN"/>
        </w:rPr>
        <w:t>”这个新时代机构编制工作</w:t>
      </w:r>
      <w:r>
        <w:rPr>
          <w:rFonts w:hint="eastAsia" w:ascii="仿宋_GB2312" w:hAnsi="仿宋_GB2312" w:eastAsia="仿宋_GB2312" w:cs="仿宋_GB2312"/>
          <w:color w:val="auto"/>
          <w:kern w:val="0"/>
          <w:sz w:val="32"/>
          <w:szCs w:val="32"/>
        </w:rPr>
        <w:t>中心任务</w:t>
      </w:r>
      <w:r>
        <w:rPr>
          <w:rFonts w:hint="eastAsia" w:ascii="仿宋_GB2312" w:hAnsi="仿宋_GB2312" w:eastAsia="仿宋_GB2312" w:cs="仿宋_GB2312"/>
          <w:color w:val="auto"/>
          <w:kern w:val="0"/>
          <w:sz w:val="32"/>
          <w:szCs w:val="32"/>
          <w:lang w:eastAsia="zh-CN"/>
        </w:rPr>
        <w:t>，按照</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val="en-US" w:eastAsia="zh-CN"/>
        </w:rPr>
        <w:t>不折不扣落实、实事求是谋划、积极稳妥推进</w:t>
      </w:r>
      <w:r>
        <w:rPr>
          <w:rFonts w:hint="eastAsia" w:ascii="仿宋_GB2312" w:hAnsi="仿宋_GB2312" w:eastAsia="仿宋_GB2312" w:cs="仿宋_GB2312"/>
          <w:color w:val="auto"/>
          <w:kern w:val="0"/>
          <w:sz w:val="32"/>
          <w:szCs w:val="32"/>
        </w:rPr>
        <w:t>”原则，以全局观念和系统思维，坚定不移</w:t>
      </w:r>
      <w:r>
        <w:rPr>
          <w:rFonts w:hint="eastAsia" w:ascii="仿宋_GB2312" w:hAnsi="仿宋_GB2312" w:eastAsia="仿宋_GB2312" w:cs="仿宋_GB2312"/>
          <w:color w:val="auto"/>
          <w:kern w:val="0"/>
          <w:sz w:val="32"/>
          <w:szCs w:val="32"/>
          <w:lang w:eastAsia="zh-CN"/>
        </w:rPr>
        <w:t>将</w:t>
      </w:r>
      <w:r>
        <w:rPr>
          <w:rFonts w:hint="eastAsia" w:ascii="仿宋_GB2312" w:hAnsi="仿宋_GB2312" w:eastAsia="仿宋_GB2312" w:cs="仿宋_GB2312"/>
          <w:color w:val="auto"/>
          <w:kern w:val="0"/>
          <w:sz w:val="32"/>
          <w:szCs w:val="32"/>
        </w:rPr>
        <w:t>机构改革推向</w:t>
      </w:r>
      <w:r>
        <w:rPr>
          <w:rFonts w:hint="eastAsia" w:ascii="仿宋_GB2312" w:hAnsi="仿宋_GB2312" w:eastAsia="仿宋_GB2312" w:cs="仿宋_GB2312"/>
          <w:color w:val="auto"/>
          <w:kern w:val="0"/>
          <w:sz w:val="32"/>
          <w:szCs w:val="32"/>
          <w:lang w:eastAsia="zh-CN"/>
        </w:rPr>
        <w:t>前进。</w:t>
      </w:r>
      <w:r>
        <w:rPr>
          <w:rFonts w:hint="eastAsia" w:ascii="楷体_GB2312" w:hAnsi="楷体_GB2312" w:eastAsia="楷体_GB2312" w:cs="楷体_GB2312"/>
          <w:b/>
          <w:bCs/>
          <w:color w:val="auto"/>
          <w:kern w:val="0"/>
          <w:sz w:val="32"/>
          <w:szCs w:val="32"/>
        </w:rPr>
        <w:t>一是有序推进党政机构改革。</w:t>
      </w:r>
      <w:r>
        <w:rPr>
          <w:rFonts w:hint="eastAsia" w:ascii="仿宋_GB2312" w:hAnsi="仿宋_GB2312" w:eastAsia="仿宋_GB2312" w:cs="仿宋_GB2312"/>
          <w:color w:val="auto"/>
          <w:kern w:val="0"/>
          <w:sz w:val="32"/>
          <w:szCs w:val="32"/>
          <w:lang w:val="en-US" w:eastAsia="zh-CN"/>
        </w:rPr>
        <w:t>在深刻理解党和国家机构改革重大意义、科学研判当前形势任务基础上，扎实做好党政机构改革准备。组建由市委编办牵头，市委办公室、市委组织部等部门组成的市机构改革工作专班，全力以赴协同打好改革攻坚战，形成“改革戏大家唱”生动局面。先后对21个县（市、区）、17个市直部门机构设置、人员编制等进行深入调研，梳理体制机制阻点，掌握第一手资料。加强与省机构改革工作专班沟通对接，围绕重点领域改革、清理规范议事协调机构和持续深化行政执法体制改革等任务，谋划起草改革方案及任务清单、工作计划等配套文件，组织改革推演，确保各项工作环环相扣、有序衔接，努力做到“发令前做足准备，发令后迅速行动”。</w:t>
      </w:r>
      <w:r>
        <w:rPr>
          <w:rFonts w:hint="eastAsia" w:ascii="楷体_GB2312" w:hAnsi="楷体_GB2312" w:eastAsia="楷体_GB2312" w:cs="楷体_GB2312"/>
          <w:b/>
          <w:bCs/>
          <w:color w:val="auto"/>
          <w:kern w:val="0"/>
          <w:sz w:val="32"/>
          <w:szCs w:val="32"/>
        </w:rPr>
        <w:t>二是不断</w:t>
      </w:r>
      <w:r>
        <w:rPr>
          <w:rFonts w:hint="eastAsia" w:ascii="楷体_GB2312" w:hAnsi="楷体_GB2312" w:eastAsia="楷体_GB2312" w:cs="楷体_GB2312"/>
          <w:b/>
          <w:bCs/>
          <w:color w:val="auto"/>
          <w:kern w:val="0"/>
          <w:sz w:val="32"/>
          <w:szCs w:val="32"/>
          <w:lang w:eastAsia="zh-CN"/>
        </w:rPr>
        <w:t>完善</w:t>
      </w:r>
      <w:r>
        <w:rPr>
          <w:rFonts w:hint="eastAsia" w:ascii="楷体_GB2312" w:hAnsi="楷体_GB2312" w:eastAsia="楷体_GB2312" w:cs="楷体_GB2312"/>
          <w:b/>
          <w:bCs/>
          <w:color w:val="auto"/>
          <w:kern w:val="0"/>
          <w:sz w:val="32"/>
          <w:szCs w:val="32"/>
        </w:rPr>
        <w:t>开发区管理体制。</w:t>
      </w:r>
      <w:r>
        <w:rPr>
          <w:rFonts w:hint="eastAsia" w:ascii="仿宋_GB2312" w:hAnsi="仿宋_GB2312" w:eastAsia="仿宋_GB2312" w:cs="仿宋_GB2312"/>
          <w:color w:val="auto"/>
          <w:kern w:val="0"/>
          <w:sz w:val="32"/>
          <w:szCs w:val="32"/>
          <w:lang w:val="en-US" w:eastAsia="zh-CN"/>
        </w:rPr>
        <w:t>着眼推动开发区效率变革、动力变革，对全市开发区管理机构进行动态调整，促进形成新的集聚效应和增长动能。编制全市开发区权责清单，设立石家庄高新区药品医疗器械技术服务中心，将鹿泉经开区管理机构升格为正县级，从机构编制资源配置上加强对开发区创新发展、转型升级的正向引导。推动授予石家庄经开区管委会市级管理权限，协调推进石家庄经开区托管岗上镇事宜，推进石家庄经开区综合行政执法改革试点工作，有效提升经开区治理能力和水平。</w:t>
      </w:r>
      <w:r>
        <w:rPr>
          <w:rFonts w:hint="eastAsia" w:ascii="楷体_GB2312" w:hAnsi="楷体_GB2312" w:eastAsia="楷体_GB2312" w:cs="楷体_GB2312"/>
          <w:b/>
          <w:bCs/>
          <w:color w:val="auto"/>
          <w:kern w:val="0"/>
          <w:sz w:val="32"/>
          <w:szCs w:val="32"/>
        </w:rPr>
        <w:t>三是系统谋划公益类事业单位改革。</w:t>
      </w:r>
      <w:r>
        <w:rPr>
          <w:rFonts w:hint="eastAsia" w:ascii="仿宋_GB2312" w:hAnsi="仿宋_GB2312" w:eastAsia="仿宋_GB2312" w:cs="仿宋_GB2312"/>
          <w:color w:val="auto"/>
          <w:kern w:val="0"/>
          <w:sz w:val="32"/>
          <w:szCs w:val="32"/>
          <w:lang w:val="en-US" w:eastAsia="zh-CN"/>
        </w:rPr>
        <w:t>认真学习领会习近平总书记关于公益类事业单位改革的七个方面总要求，稳步深化改革准备。聚焦事业单位管理标准不统一、要素不齐全、程序不完善等问题，起草《石家庄市事业单位机构编制管理办法》，构建事业单位管理“1+2”制度体系（一个办法、学校和医院两个专项细则），为规范事业单位机构编制管理奠定扎实基础。系统梳理历次改革沿革及外地经验做法，着眼“三个到位”（配套政策、规范标准、系统培训），围绕撤并整合、收回编制、规范名称等内容，制定工作预案，细化完善改革前后“比照表”，为科学决策提供现实依据。</w:t>
      </w:r>
      <w:r>
        <w:rPr>
          <w:rFonts w:hint="eastAsia" w:ascii="楷体_GB2312" w:hAnsi="楷体_GB2312" w:eastAsia="楷体_GB2312" w:cs="楷体_GB2312"/>
          <w:b/>
          <w:bCs/>
          <w:color w:val="auto"/>
          <w:kern w:val="0"/>
          <w:sz w:val="32"/>
          <w:szCs w:val="32"/>
        </w:rPr>
        <w:t>四是统筹推进其他专项改革和权责清单建设。</w:t>
      </w:r>
      <w:r>
        <w:rPr>
          <w:rFonts w:hint="eastAsia" w:ascii="仿宋_GB2312" w:hAnsi="仿宋_GB2312" w:eastAsia="仿宋_GB2312" w:cs="仿宋_GB2312"/>
          <w:color w:val="auto"/>
          <w:kern w:val="0"/>
          <w:sz w:val="32"/>
          <w:szCs w:val="32"/>
          <w:lang w:val="en-US" w:eastAsia="zh-CN"/>
        </w:rPr>
        <w:t>按照“整体推进、全省最快”目标，在全省率先完成市县两级国防动员体制调整工作，高效完成职责理顺、人员划转、“三定”规定印发等，为构建石家庄国防动员新格局提供了有力保障。严格落实疾控体系改革部署精神，按程序和时限完成市县两级疾病预防控制局挂牌、疾控中心和卫生监督局整合工作等。持续巩固深化权责清单制度建设成果，对市委办等8个部门125项清单事项进行动态调整，圆满完成全省权责清单管理信息化建设试点任务，相关经验做法在全省转发。</w:t>
      </w:r>
    </w:p>
    <w:p>
      <w:pPr>
        <w:keepNext w:val="0"/>
        <w:keepLines w:val="0"/>
        <w:pageBreakBefore w:val="0"/>
        <w:widowControl w:val="0"/>
        <w:kinsoku/>
        <w:wordWrap/>
        <w:overflowPunct/>
        <w:topLinePunct w:val="0"/>
        <w:autoSpaceDE/>
        <w:autoSpaceDN/>
        <w:bidi w:val="0"/>
        <w:adjustRightInd/>
        <w:snapToGrid/>
        <w:spacing w:line="640" w:lineRule="exact"/>
        <w:ind w:left="0" w:leftChars="0" w:right="0" w:rightChars="0" w:firstLine="640" w:firstLineChars="200"/>
        <w:jc w:val="both"/>
        <w:textAlignment w:val="auto"/>
        <w:outlineLvl w:val="9"/>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eastAsia="zh-CN"/>
        </w:rPr>
        <w:t>二、着眼</w:t>
      </w:r>
      <w:r>
        <w:rPr>
          <w:rFonts w:hint="eastAsia" w:ascii="仿宋_GB2312" w:hAnsi="仿宋_GB2312" w:eastAsia="仿宋_GB2312" w:cs="仿宋_GB2312"/>
          <w:color w:val="auto"/>
          <w:kern w:val="0"/>
          <w:sz w:val="32"/>
          <w:szCs w:val="32"/>
        </w:rPr>
        <w:t>服务保障省会高质量发展，持续优化机构编制资源配置</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树立“一盘棋”思想，坚持“用活存量、盘活增量、激活变量”并举，将宝贵的编制资源投放到事业发展主战场、关键点，投放到关系民生福祉、强基固本的薄弱环节，一以贯之为全市高质量发展提供机构编制保障。一是精准保障重点领域机构编制需求。</w:t>
      </w:r>
      <w:r>
        <w:rPr>
          <w:rFonts w:hint="eastAsia" w:ascii="仿宋_GB2312" w:hAnsi="仿宋_GB2312" w:eastAsia="仿宋_GB2312" w:cs="仿宋_GB2312"/>
          <w:color w:val="auto"/>
          <w:kern w:val="0"/>
          <w:sz w:val="32"/>
          <w:szCs w:val="32"/>
          <w:lang w:val="en-US" w:eastAsia="zh-CN"/>
        </w:rPr>
        <w:t>着眼围绕中心、服务大局，多措并举统筹编制资源，采取周转池编制支持、发动部门使用空余编制等多种措施，保障全市公开招录招聘编制1万余名。</w:t>
      </w:r>
      <w:r>
        <w:rPr>
          <w:rFonts w:hint="eastAsia" w:ascii="仿宋_GB2312" w:hAnsi="仿宋_GB2312" w:eastAsia="仿宋_GB2312" w:cs="仿宋_GB2312"/>
          <w:color w:val="auto"/>
          <w:kern w:val="0"/>
          <w:sz w:val="32"/>
          <w:szCs w:val="32"/>
        </w:rPr>
        <w:t>围绕省会</w:t>
      </w:r>
      <w:r>
        <w:rPr>
          <w:rFonts w:hint="eastAsia" w:ascii="仿宋_GB2312" w:hAnsi="仿宋_GB2312" w:eastAsia="仿宋_GB2312" w:cs="仿宋_GB2312"/>
          <w:color w:val="auto"/>
          <w:kern w:val="0"/>
          <w:sz w:val="32"/>
          <w:szCs w:val="32"/>
          <w:lang w:val="en-US" w:eastAsia="zh-CN"/>
        </w:rPr>
        <w:t>“6+2+2”</w:t>
      </w:r>
      <w:r>
        <w:rPr>
          <w:rFonts w:hint="eastAsia" w:ascii="仿宋_GB2312" w:hAnsi="仿宋_GB2312" w:eastAsia="仿宋_GB2312" w:cs="仿宋_GB2312"/>
          <w:color w:val="auto"/>
          <w:kern w:val="0"/>
          <w:sz w:val="32"/>
          <w:szCs w:val="32"/>
          <w:lang w:eastAsia="zh-CN"/>
        </w:rPr>
        <w:t>重点</w:t>
      </w:r>
      <w:r>
        <w:rPr>
          <w:rFonts w:hint="eastAsia" w:ascii="仿宋_GB2312" w:hAnsi="仿宋_GB2312" w:eastAsia="仿宋_GB2312" w:cs="仿宋_GB2312"/>
          <w:color w:val="auto"/>
          <w:kern w:val="0"/>
          <w:sz w:val="32"/>
          <w:szCs w:val="32"/>
        </w:rPr>
        <w:t>项目，厘清城市更新促进中心职能、调整内设机构，增加滹沱河运维中心编制和职数</w:t>
      </w:r>
      <w:r>
        <w:rPr>
          <w:rFonts w:hint="eastAsia" w:ascii="仿宋_GB2312" w:hAnsi="仿宋_GB2312" w:eastAsia="仿宋_GB2312" w:cs="仿宋_GB2312"/>
          <w:color w:val="auto"/>
          <w:kern w:val="0"/>
          <w:sz w:val="32"/>
          <w:szCs w:val="32"/>
          <w:lang w:eastAsia="zh-CN"/>
        </w:rPr>
        <w:t>等</w:t>
      </w:r>
      <w:r>
        <w:rPr>
          <w:rFonts w:hint="eastAsia" w:ascii="仿宋_GB2312" w:hAnsi="仿宋_GB2312" w:eastAsia="仿宋_GB2312" w:cs="仿宋_GB2312"/>
          <w:color w:val="auto"/>
          <w:kern w:val="0"/>
          <w:sz w:val="32"/>
          <w:szCs w:val="32"/>
        </w:rPr>
        <w:t>，为城市</w:t>
      </w:r>
      <w:r>
        <w:rPr>
          <w:rFonts w:hint="eastAsia" w:ascii="仿宋_GB2312" w:hAnsi="仿宋_GB2312" w:eastAsia="仿宋_GB2312" w:cs="仿宋_GB2312"/>
          <w:color w:val="auto"/>
          <w:kern w:val="0"/>
          <w:sz w:val="32"/>
          <w:szCs w:val="32"/>
          <w:lang w:eastAsia="zh-CN"/>
        </w:rPr>
        <w:t>更新</w:t>
      </w:r>
      <w:r>
        <w:rPr>
          <w:rFonts w:hint="eastAsia" w:ascii="仿宋_GB2312" w:hAnsi="仿宋_GB2312" w:eastAsia="仿宋_GB2312" w:cs="仿宋_GB2312"/>
          <w:color w:val="auto"/>
          <w:kern w:val="0"/>
          <w:sz w:val="32"/>
          <w:szCs w:val="32"/>
        </w:rPr>
        <w:t>保驾护航。持续支持民生领域发展，</w:t>
      </w:r>
      <w:r>
        <w:rPr>
          <w:rFonts w:hint="eastAsia" w:ascii="仿宋_GB2312" w:hAnsi="仿宋_GB2312" w:eastAsia="仿宋_GB2312" w:cs="仿宋_GB2312"/>
          <w:color w:val="auto"/>
          <w:kern w:val="0"/>
          <w:sz w:val="32"/>
          <w:szCs w:val="32"/>
          <w:lang w:val="en-US" w:eastAsia="zh-CN"/>
        </w:rPr>
        <w:t>健全完善中小学教职工编制动态调整机制，近3年</w:t>
      </w:r>
      <w:r>
        <w:rPr>
          <w:rFonts w:hint="eastAsia" w:ascii="仿宋_GB2312" w:hAnsi="仿宋_GB2312" w:eastAsia="仿宋_GB2312" w:cs="仿宋_GB2312"/>
          <w:color w:val="auto"/>
          <w:kern w:val="0"/>
          <w:sz w:val="32"/>
          <w:szCs w:val="32"/>
        </w:rPr>
        <w:t>调整</w:t>
      </w:r>
      <w:r>
        <w:rPr>
          <w:rFonts w:hint="eastAsia" w:ascii="仿宋_GB2312" w:hAnsi="仿宋_GB2312" w:eastAsia="仿宋_GB2312" w:cs="仿宋_GB2312"/>
          <w:color w:val="auto"/>
          <w:kern w:val="0"/>
          <w:sz w:val="32"/>
          <w:szCs w:val="32"/>
          <w:lang w:val="en-US" w:eastAsia="zh-CN"/>
        </w:rPr>
        <w:t>中小学</w:t>
      </w:r>
      <w:r>
        <w:rPr>
          <w:rFonts w:hint="eastAsia" w:ascii="仿宋_GB2312" w:hAnsi="仿宋_GB2312" w:eastAsia="仿宋_GB2312" w:cs="仿宋_GB2312"/>
          <w:color w:val="auto"/>
          <w:kern w:val="0"/>
          <w:sz w:val="32"/>
          <w:szCs w:val="32"/>
        </w:rPr>
        <w:t>教职工编制</w:t>
      </w:r>
      <w:r>
        <w:rPr>
          <w:rFonts w:hint="eastAsia" w:ascii="仿宋_GB2312" w:hAnsi="仿宋_GB2312" w:eastAsia="仿宋_GB2312" w:cs="仿宋_GB2312"/>
          <w:color w:val="auto"/>
          <w:kern w:val="0"/>
          <w:sz w:val="32"/>
          <w:szCs w:val="32"/>
          <w:lang w:val="en-US" w:eastAsia="zh-CN"/>
        </w:rPr>
        <w:t>6411名，对未来3年调整趋势进行预测评估</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val="en-US" w:eastAsia="zh-CN"/>
        </w:rPr>
        <w:t>扩源挖潜、合理保障，探索出一条全市中小学教职工编制资源统筹配置的新路径。</w:t>
      </w:r>
      <w:r>
        <w:rPr>
          <w:rFonts w:hint="eastAsia" w:ascii="仿宋_GB2312" w:hAnsi="仿宋_GB2312" w:eastAsia="仿宋_GB2312" w:cs="仿宋_GB2312"/>
          <w:color w:val="auto"/>
          <w:kern w:val="0"/>
          <w:sz w:val="32"/>
          <w:szCs w:val="32"/>
        </w:rPr>
        <w:t>统筹推进</w:t>
      </w:r>
      <w:r>
        <w:rPr>
          <w:rFonts w:hint="eastAsia" w:ascii="仿宋_GB2312" w:hAnsi="仿宋_GB2312" w:eastAsia="仿宋_GB2312" w:cs="仿宋_GB2312"/>
          <w:color w:val="auto"/>
          <w:kern w:val="0"/>
          <w:sz w:val="32"/>
          <w:szCs w:val="32"/>
          <w:lang w:val="en-US" w:eastAsia="zh-CN"/>
        </w:rPr>
        <w:t>4</w:t>
      </w:r>
      <w:r>
        <w:rPr>
          <w:rFonts w:hint="eastAsia" w:ascii="仿宋_GB2312" w:hAnsi="仿宋_GB2312" w:eastAsia="仿宋_GB2312" w:cs="仿宋_GB2312"/>
          <w:color w:val="auto"/>
          <w:kern w:val="0"/>
          <w:sz w:val="32"/>
          <w:szCs w:val="32"/>
        </w:rPr>
        <w:t>所市属高校内设机构更名备案事宜，</w:t>
      </w:r>
      <w:r>
        <w:rPr>
          <w:rFonts w:hint="eastAsia" w:ascii="仿宋_GB2312" w:hAnsi="仿宋_GB2312" w:eastAsia="仿宋_GB2312" w:cs="仿宋_GB2312"/>
          <w:color w:val="auto"/>
          <w:kern w:val="0"/>
          <w:sz w:val="32"/>
          <w:szCs w:val="32"/>
          <w:lang w:eastAsia="zh-CN"/>
        </w:rPr>
        <w:t>出台《石家庄公办中小学校和幼儿园名称管理办法》，</w:t>
      </w:r>
      <w:r>
        <w:rPr>
          <w:rFonts w:hint="eastAsia" w:ascii="仿宋_GB2312" w:hAnsi="仿宋_GB2312" w:eastAsia="仿宋_GB2312" w:cs="仿宋_GB2312"/>
          <w:color w:val="auto"/>
          <w:kern w:val="0"/>
          <w:sz w:val="32"/>
          <w:szCs w:val="32"/>
          <w:lang w:val="en-US" w:eastAsia="zh-CN"/>
        </w:rPr>
        <w:t>先后批复</w:t>
      </w:r>
      <w:r>
        <w:rPr>
          <w:rFonts w:hint="eastAsia" w:ascii="仿宋_GB2312" w:hAnsi="仿宋_GB2312" w:eastAsia="仿宋_GB2312" w:cs="仿宋_GB2312"/>
          <w:color w:val="auto"/>
          <w:kern w:val="0"/>
          <w:sz w:val="32"/>
          <w:szCs w:val="32"/>
        </w:rPr>
        <w:t>设立中小学、幼儿园24个，</w:t>
      </w:r>
      <w:r>
        <w:rPr>
          <w:rFonts w:hint="eastAsia" w:ascii="仿宋_GB2312" w:hAnsi="仿宋_GB2312" w:eastAsia="仿宋_GB2312" w:cs="仿宋_GB2312"/>
          <w:color w:val="auto"/>
          <w:kern w:val="0"/>
          <w:sz w:val="32"/>
          <w:szCs w:val="32"/>
          <w:lang w:eastAsia="zh-CN"/>
        </w:rPr>
        <w:t>以实际行动回应群众关切</w:t>
      </w:r>
      <w:r>
        <w:rPr>
          <w:rFonts w:hint="eastAsia" w:ascii="仿宋_GB2312" w:hAnsi="仿宋_GB2312" w:eastAsia="仿宋_GB2312" w:cs="仿宋_GB2312"/>
          <w:color w:val="auto"/>
          <w:kern w:val="0"/>
          <w:sz w:val="32"/>
          <w:szCs w:val="32"/>
        </w:rPr>
        <w:t>。持续巩固红色资源优势，重塑西柏坡红色旅游区组织架构和职责任务，有效破除制约西柏坡红色旅游区发展的体制机制障碍。全年共设立、撤销、调整行政机构和事业单位</w:t>
      </w:r>
      <w:r>
        <w:rPr>
          <w:rFonts w:hint="eastAsia" w:ascii="仿宋_GB2312" w:hAnsi="仿宋_GB2312" w:eastAsia="仿宋_GB2312" w:cs="仿宋_GB2312"/>
          <w:color w:val="auto"/>
          <w:kern w:val="0"/>
          <w:sz w:val="32"/>
          <w:szCs w:val="32"/>
          <w:lang w:val="en-US" w:eastAsia="zh-CN"/>
        </w:rPr>
        <w:t>8</w:t>
      </w:r>
      <w:r>
        <w:rPr>
          <w:rFonts w:hint="eastAsia" w:ascii="仿宋_GB2312" w:hAnsi="仿宋_GB2312" w:eastAsia="仿宋_GB2312" w:cs="仿宋_GB2312"/>
          <w:color w:val="auto"/>
          <w:kern w:val="0"/>
          <w:sz w:val="32"/>
          <w:szCs w:val="32"/>
        </w:rPr>
        <w:t>个、</w:t>
      </w:r>
      <w:r>
        <w:rPr>
          <w:rFonts w:hint="eastAsia" w:ascii="仿宋_GB2312" w:hAnsi="仿宋_GB2312" w:eastAsia="仿宋_GB2312" w:cs="仿宋_GB2312"/>
          <w:color w:val="auto"/>
          <w:kern w:val="0"/>
          <w:sz w:val="32"/>
          <w:szCs w:val="32"/>
          <w:lang w:val="en-US" w:eastAsia="zh-CN"/>
        </w:rPr>
        <w:t>6</w:t>
      </w:r>
      <w:r>
        <w:rPr>
          <w:rFonts w:hint="eastAsia" w:ascii="仿宋_GB2312" w:hAnsi="仿宋_GB2312" w:eastAsia="仿宋_GB2312" w:cs="仿宋_GB2312"/>
          <w:color w:val="auto"/>
          <w:kern w:val="0"/>
          <w:sz w:val="32"/>
          <w:szCs w:val="32"/>
        </w:rPr>
        <w:t>个、</w:t>
      </w:r>
      <w:r>
        <w:rPr>
          <w:rFonts w:hint="eastAsia" w:ascii="仿宋_GB2312" w:hAnsi="仿宋_GB2312" w:eastAsia="仿宋_GB2312" w:cs="仿宋_GB2312"/>
          <w:color w:val="auto"/>
          <w:kern w:val="0"/>
          <w:sz w:val="32"/>
          <w:szCs w:val="32"/>
          <w:lang w:val="en-US" w:eastAsia="zh-CN"/>
        </w:rPr>
        <w:t>86</w:t>
      </w:r>
      <w:r>
        <w:rPr>
          <w:rFonts w:hint="eastAsia" w:ascii="仿宋_GB2312" w:hAnsi="仿宋_GB2312" w:eastAsia="仿宋_GB2312" w:cs="仿宋_GB2312"/>
          <w:color w:val="auto"/>
          <w:kern w:val="0"/>
          <w:sz w:val="32"/>
          <w:szCs w:val="32"/>
        </w:rPr>
        <w:t>个，使用、收回各类编制</w:t>
      </w:r>
      <w:r>
        <w:rPr>
          <w:rFonts w:hint="eastAsia" w:ascii="仿宋_GB2312" w:hAnsi="仿宋_GB2312" w:eastAsia="仿宋_GB2312" w:cs="仿宋_GB2312"/>
          <w:color w:val="auto"/>
          <w:kern w:val="0"/>
          <w:sz w:val="32"/>
          <w:szCs w:val="32"/>
          <w:lang w:val="en-US" w:eastAsia="zh-CN"/>
        </w:rPr>
        <w:t>915名</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val="en-US" w:eastAsia="zh-CN"/>
        </w:rPr>
        <w:t>527名</w:t>
      </w:r>
      <w:r>
        <w:rPr>
          <w:rFonts w:hint="eastAsia" w:ascii="仿宋_GB2312" w:hAnsi="仿宋_GB2312" w:eastAsia="仿宋_GB2312" w:cs="仿宋_GB2312"/>
          <w:color w:val="auto"/>
          <w:kern w:val="0"/>
          <w:sz w:val="32"/>
          <w:szCs w:val="32"/>
        </w:rPr>
        <w:t>，机构编制资源配置更加优化</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保障更加有力。二是创新举措</w:t>
      </w:r>
      <w:r>
        <w:rPr>
          <w:rFonts w:hint="eastAsia" w:ascii="仿宋_GB2312" w:hAnsi="仿宋_GB2312" w:eastAsia="仿宋_GB2312" w:cs="仿宋_GB2312"/>
          <w:color w:val="auto"/>
          <w:kern w:val="0"/>
          <w:sz w:val="32"/>
          <w:szCs w:val="32"/>
          <w:lang w:eastAsia="zh-CN"/>
        </w:rPr>
        <w:t>搭建招才引智平台</w:t>
      </w:r>
      <w:r>
        <w:rPr>
          <w:rFonts w:hint="eastAsia" w:ascii="仿宋_GB2312" w:hAnsi="仿宋_GB2312" w:eastAsia="仿宋_GB2312" w:cs="仿宋_GB2312"/>
          <w:color w:val="auto"/>
          <w:kern w:val="0"/>
          <w:sz w:val="32"/>
          <w:szCs w:val="32"/>
        </w:rPr>
        <w:t>。站位深入实施人才强市战略历史节点，以更大力度、更实举措推动机构编制</w:t>
      </w:r>
      <w:r>
        <w:rPr>
          <w:rFonts w:hint="eastAsia" w:ascii="仿宋_GB2312" w:hAnsi="仿宋_GB2312" w:eastAsia="仿宋_GB2312" w:cs="仿宋_GB2312"/>
          <w:color w:val="auto"/>
          <w:kern w:val="0"/>
          <w:sz w:val="32"/>
          <w:szCs w:val="32"/>
          <w:lang w:eastAsia="zh-CN"/>
        </w:rPr>
        <w:t>管理</w:t>
      </w:r>
      <w:r>
        <w:rPr>
          <w:rFonts w:hint="eastAsia" w:ascii="仿宋_GB2312" w:hAnsi="仿宋_GB2312" w:eastAsia="仿宋_GB2312" w:cs="仿宋_GB2312"/>
          <w:color w:val="auto"/>
          <w:kern w:val="0"/>
          <w:sz w:val="32"/>
          <w:szCs w:val="32"/>
        </w:rPr>
        <w:t>创新</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探索设立市科技创新发展院，出台《石家庄市科技创新发展院引进专业人才管理办法》，助力打造人才聚集之地、向往之地。支持县级科技创新，完成长安区科技创新服务中心规格调整</w:t>
      </w:r>
      <w:r>
        <w:rPr>
          <w:rFonts w:hint="eastAsia" w:ascii="仿宋_GB2312" w:hAnsi="仿宋_GB2312" w:eastAsia="仿宋_GB2312" w:cs="仿宋_GB2312"/>
          <w:color w:val="auto"/>
          <w:kern w:val="0"/>
          <w:sz w:val="32"/>
          <w:szCs w:val="32"/>
          <w:lang w:eastAsia="zh-CN"/>
        </w:rPr>
        <w:t>等</w:t>
      </w:r>
      <w:r>
        <w:rPr>
          <w:rFonts w:hint="eastAsia" w:ascii="仿宋_GB2312" w:hAnsi="仿宋_GB2312" w:eastAsia="仿宋_GB2312" w:cs="仿宋_GB2312"/>
          <w:color w:val="auto"/>
          <w:kern w:val="0"/>
          <w:sz w:val="32"/>
          <w:szCs w:val="32"/>
        </w:rPr>
        <w:t>，为开辟发展新领域新赛道，塑造发展新动能提供了机构编制支撑。完善机构编制“周转池”制度体系，</w:t>
      </w:r>
      <w:r>
        <w:rPr>
          <w:rFonts w:hint="eastAsia" w:ascii="仿宋_GB2312" w:hAnsi="仿宋_GB2312" w:eastAsia="仿宋_GB2312" w:cs="仿宋_GB2312"/>
          <w:color w:val="auto"/>
          <w:kern w:val="0"/>
          <w:sz w:val="32"/>
          <w:szCs w:val="32"/>
          <w:lang w:eastAsia="zh-CN"/>
        </w:rPr>
        <w:t>拿出</w:t>
      </w:r>
      <w:r>
        <w:rPr>
          <w:rFonts w:hint="eastAsia" w:ascii="仿宋_GB2312" w:hAnsi="仿宋_GB2312" w:eastAsia="仿宋_GB2312" w:cs="仿宋_GB2312"/>
          <w:color w:val="auto"/>
          <w:kern w:val="0"/>
          <w:sz w:val="32"/>
          <w:szCs w:val="32"/>
          <w:lang w:val="en-US" w:eastAsia="zh-CN"/>
        </w:rPr>
        <w:t>3000名事业编制专项用于人才引进，</w:t>
      </w:r>
      <w:r>
        <w:rPr>
          <w:rFonts w:hint="eastAsia" w:ascii="仿宋_GB2312" w:hAnsi="仿宋_GB2312" w:eastAsia="仿宋_GB2312" w:cs="仿宋_GB2312"/>
          <w:color w:val="auto"/>
          <w:kern w:val="0"/>
          <w:sz w:val="32"/>
          <w:szCs w:val="32"/>
        </w:rPr>
        <w:t>使用</w:t>
      </w:r>
      <w:r>
        <w:rPr>
          <w:rFonts w:hint="eastAsia" w:ascii="仿宋_GB2312" w:hAnsi="仿宋_GB2312" w:eastAsia="仿宋_GB2312" w:cs="仿宋_GB2312"/>
          <w:color w:val="auto"/>
          <w:kern w:val="0"/>
          <w:sz w:val="32"/>
          <w:szCs w:val="32"/>
          <w:lang w:val="en-US" w:eastAsia="zh-CN"/>
        </w:rPr>
        <w:t>355名周转编制</w:t>
      </w:r>
      <w:r>
        <w:rPr>
          <w:rFonts w:hint="eastAsia" w:ascii="仿宋_GB2312" w:hAnsi="仿宋_GB2312" w:eastAsia="仿宋_GB2312" w:cs="仿宋_GB2312"/>
          <w:color w:val="auto"/>
          <w:kern w:val="0"/>
          <w:sz w:val="32"/>
          <w:szCs w:val="32"/>
          <w:lang w:eastAsia="zh-CN"/>
        </w:rPr>
        <w:t>保障</w:t>
      </w:r>
      <w:r>
        <w:rPr>
          <w:rFonts w:hint="eastAsia" w:ascii="仿宋_GB2312" w:hAnsi="仿宋_GB2312" w:eastAsia="仿宋_GB2312" w:cs="仿宋_GB2312"/>
          <w:color w:val="auto"/>
          <w:kern w:val="0"/>
          <w:sz w:val="32"/>
          <w:szCs w:val="32"/>
        </w:rPr>
        <w:t>城市更新、科技创新等部门引才纳才，以编引才进入新阶段。三是探索路径</w:t>
      </w:r>
      <w:r>
        <w:rPr>
          <w:rFonts w:hint="eastAsia" w:ascii="仿宋_GB2312" w:hAnsi="仿宋_GB2312" w:eastAsia="仿宋_GB2312" w:cs="仿宋_GB2312"/>
          <w:color w:val="auto"/>
          <w:kern w:val="0"/>
          <w:sz w:val="32"/>
          <w:szCs w:val="32"/>
          <w:lang w:eastAsia="zh-CN"/>
        </w:rPr>
        <w:t>提升</w:t>
      </w:r>
      <w:r>
        <w:rPr>
          <w:rFonts w:hint="eastAsia" w:ascii="仿宋_GB2312" w:hAnsi="仿宋_GB2312" w:eastAsia="仿宋_GB2312" w:cs="仿宋_GB2312"/>
          <w:color w:val="auto"/>
          <w:kern w:val="0"/>
          <w:sz w:val="32"/>
          <w:szCs w:val="32"/>
        </w:rPr>
        <w:t>事业单位法人登记</w:t>
      </w:r>
      <w:r>
        <w:rPr>
          <w:rFonts w:hint="eastAsia" w:ascii="仿宋_GB2312" w:hAnsi="仿宋_GB2312" w:eastAsia="仿宋_GB2312" w:cs="仿宋_GB2312"/>
          <w:color w:val="auto"/>
          <w:kern w:val="0"/>
          <w:sz w:val="32"/>
          <w:szCs w:val="32"/>
          <w:lang w:eastAsia="zh-CN"/>
        </w:rPr>
        <w:t>服务效能</w:t>
      </w:r>
      <w:r>
        <w:rPr>
          <w:rFonts w:hint="eastAsia" w:ascii="仿宋_GB2312" w:hAnsi="仿宋_GB2312" w:eastAsia="仿宋_GB2312" w:cs="仿宋_GB2312"/>
          <w:color w:val="auto"/>
          <w:kern w:val="0"/>
          <w:sz w:val="32"/>
          <w:szCs w:val="32"/>
        </w:rPr>
        <w:t>。紧跟市委</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市政府重大决策</w:t>
      </w:r>
      <w:r>
        <w:rPr>
          <w:rFonts w:hint="eastAsia" w:ascii="仿宋_GB2312" w:hAnsi="仿宋_GB2312" w:eastAsia="仿宋_GB2312" w:cs="仿宋_GB2312"/>
          <w:color w:val="auto"/>
          <w:kern w:val="0"/>
          <w:sz w:val="32"/>
          <w:szCs w:val="32"/>
          <w:lang w:eastAsia="zh-CN"/>
        </w:rPr>
        <w:t>部署</w:t>
      </w:r>
      <w:r>
        <w:rPr>
          <w:rFonts w:hint="eastAsia" w:ascii="仿宋_GB2312" w:hAnsi="仿宋_GB2312" w:eastAsia="仿宋_GB2312" w:cs="仿宋_GB2312"/>
          <w:color w:val="auto"/>
          <w:kern w:val="0"/>
          <w:sz w:val="32"/>
          <w:szCs w:val="32"/>
        </w:rPr>
        <w:t>，助力优化营商环境，以“河北工业大学创新发展院（石家庄）”登记为契机，探索事业单位法人登记服务新路径</w:t>
      </w:r>
      <w:r>
        <w:rPr>
          <w:rFonts w:hint="eastAsia" w:ascii="仿宋_GB2312" w:hAnsi="仿宋_GB2312" w:eastAsia="仿宋_GB2312" w:cs="仿宋_GB2312"/>
          <w:color w:val="auto"/>
          <w:kern w:val="0"/>
          <w:sz w:val="32"/>
          <w:szCs w:val="32"/>
          <w:lang w:eastAsia="zh-CN"/>
        </w:rPr>
        <w:t>。积极承担全省</w:t>
      </w:r>
      <w:r>
        <w:rPr>
          <w:rFonts w:hint="eastAsia" w:ascii="仿宋_GB2312" w:hAnsi="仿宋_GB2312" w:eastAsia="仿宋_GB2312" w:cs="仿宋_GB2312"/>
          <w:color w:val="auto"/>
          <w:kern w:val="0"/>
          <w:sz w:val="32"/>
          <w:szCs w:val="32"/>
        </w:rPr>
        <w:t>事业单位法人电子证照应用试点</w:t>
      </w:r>
      <w:r>
        <w:rPr>
          <w:rFonts w:hint="eastAsia" w:ascii="仿宋_GB2312" w:hAnsi="仿宋_GB2312" w:eastAsia="仿宋_GB2312" w:cs="仿宋_GB2312"/>
          <w:color w:val="auto"/>
          <w:kern w:val="0"/>
          <w:sz w:val="32"/>
          <w:szCs w:val="32"/>
          <w:lang w:eastAsia="zh-CN"/>
        </w:rPr>
        <w:t>任务</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eastAsia="zh-CN"/>
        </w:rPr>
        <w:t>进一步提升事业单位监管服务效能</w:t>
      </w:r>
      <w:r>
        <w:rPr>
          <w:rFonts w:hint="eastAsia" w:ascii="仿宋_GB2312" w:hAnsi="仿宋_GB2312" w:eastAsia="仿宋_GB2312" w:cs="仿宋_GB2312"/>
          <w:color w:val="auto"/>
          <w:kern w:val="0"/>
          <w:sz w:val="32"/>
          <w:szCs w:val="32"/>
        </w:rPr>
        <w:t>。在全省率先编印《事业单位登记管理局工作人员手册》，</w:t>
      </w:r>
      <w:r>
        <w:rPr>
          <w:rFonts w:hint="eastAsia" w:ascii="仿宋_GB2312" w:hAnsi="仿宋_GB2312" w:eastAsia="仿宋_GB2312" w:cs="仿宋_GB2312"/>
          <w:color w:val="auto"/>
          <w:kern w:val="0"/>
          <w:sz w:val="32"/>
          <w:szCs w:val="32"/>
          <w:lang w:eastAsia="zh-CN"/>
        </w:rPr>
        <w:t>规范</w:t>
      </w:r>
      <w:r>
        <w:rPr>
          <w:rFonts w:hint="eastAsia" w:ascii="仿宋_GB2312" w:hAnsi="仿宋_GB2312" w:eastAsia="仿宋_GB2312" w:cs="仿宋_GB2312"/>
          <w:color w:val="auto"/>
          <w:kern w:val="0"/>
          <w:sz w:val="32"/>
          <w:szCs w:val="32"/>
        </w:rPr>
        <w:t>登记程序，加强业务指导</w:t>
      </w:r>
      <w:r>
        <w:rPr>
          <w:rFonts w:hint="eastAsia" w:ascii="仿宋_GB2312" w:hAnsi="仿宋_GB2312" w:eastAsia="仿宋_GB2312" w:cs="仿宋_GB2312"/>
          <w:color w:val="auto"/>
          <w:kern w:val="0"/>
          <w:sz w:val="32"/>
          <w:szCs w:val="32"/>
          <w:lang w:eastAsia="zh-CN"/>
        </w:rPr>
        <w:t>。全年</w:t>
      </w:r>
      <w:r>
        <w:rPr>
          <w:rFonts w:hint="eastAsia" w:ascii="仿宋_GB2312" w:hAnsi="仿宋_GB2312" w:eastAsia="仿宋_GB2312" w:cs="仿宋_GB2312"/>
          <w:color w:val="auto"/>
          <w:kern w:val="0"/>
          <w:sz w:val="32"/>
          <w:szCs w:val="32"/>
        </w:rPr>
        <w:t>共办结</w:t>
      </w:r>
      <w:r>
        <w:rPr>
          <w:rFonts w:hint="eastAsia" w:ascii="仿宋_GB2312" w:hAnsi="仿宋_GB2312" w:eastAsia="仿宋_GB2312" w:cs="仿宋_GB2312"/>
          <w:color w:val="auto"/>
          <w:kern w:val="0"/>
          <w:sz w:val="32"/>
          <w:szCs w:val="32"/>
          <w:lang w:eastAsia="zh-CN"/>
        </w:rPr>
        <w:t>登记赋码</w:t>
      </w:r>
      <w:r>
        <w:rPr>
          <w:rFonts w:hint="eastAsia" w:ascii="仿宋_GB2312" w:hAnsi="仿宋_GB2312" w:eastAsia="仿宋_GB2312" w:cs="仿宋_GB2312"/>
          <w:color w:val="auto"/>
          <w:kern w:val="0"/>
          <w:sz w:val="32"/>
          <w:szCs w:val="32"/>
        </w:rPr>
        <w:t>业务</w:t>
      </w:r>
      <w:r>
        <w:rPr>
          <w:rFonts w:hint="eastAsia" w:ascii="仿宋_GB2312" w:hAnsi="仿宋_GB2312" w:eastAsia="仿宋_GB2312" w:cs="仿宋_GB2312"/>
          <w:color w:val="auto"/>
          <w:kern w:val="0"/>
          <w:sz w:val="32"/>
          <w:szCs w:val="32"/>
          <w:lang w:val="en-US" w:eastAsia="zh-CN"/>
        </w:rPr>
        <w:t>310</w:t>
      </w:r>
      <w:r>
        <w:rPr>
          <w:rFonts w:hint="eastAsia" w:ascii="仿宋_GB2312" w:hAnsi="仿宋_GB2312" w:eastAsia="仿宋_GB2312" w:cs="仿宋_GB2312"/>
          <w:color w:val="auto"/>
          <w:kern w:val="0"/>
          <w:sz w:val="32"/>
          <w:szCs w:val="32"/>
        </w:rPr>
        <w:t>项,整理移交档案356份，高质量完成</w:t>
      </w:r>
      <w:r>
        <w:rPr>
          <w:rFonts w:hint="eastAsia" w:ascii="仿宋_GB2312" w:hAnsi="仿宋_GB2312" w:eastAsia="仿宋_GB2312" w:cs="仿宋_GB2312"/>
          <w:color w:val="auto"/>
          <w:kern w:val="0"/>
          <w:sz w:val="32"/>
          <w:szCs w:val="32"/>
          <w:lang w:val="en-US" w:eastAsia="zh-CN"/>
        </w:rPr>
        <w:t>2022年度</w:t>
      </w:r>
      <w:r>
        <w:rPr>
          <w:rFonts w:hint="eastAsia" w:ascii="仿宋_GB2312" w:hAnsi="仿宋_GB2312" w:eastAsia="仿宋_GB2312" w:cs="仿宋_GB2312"/>
          <w:color w:val="auto"/>
          <w:kern w:val="0"/>
          <w:sz w:val="32"/>
          <w:szCs w:val="32"/>
        </w:rPr>
        <w:t>事业单位法人年度报告公示</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“双随机、一公开”监督检查工作。</w:t>
      </w:r>
    </w:p>
    <w:p>
      <w:pPr>
        <w:keepNext w:val="0"/>
        <w:keepLines w:val="0"/>
        <w:pageBreakBefore w:val="0"/>
        <w:widowControl w:val="0"/>
        <w:kinsoku/>
        <w:wordWrap/>
        <w:overflowPunct/>
        <w:topLinePunct w:val="0"/>
        <w:autoSpaceDE/>
        <w:autoSpaceDN/>
        <w:bidi w:val="0"/>
        <w:adjustRightInd/>
        <w:snapToGrid/>
        <w:spacing w:line="640" w:lineRule="exact"/>
        <w:ind w:firstLine="70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三、</w:t>
      </w:r>
      <w:r>
        <w:rPr>
          <w:rFonts w:hint="eastAsia" w:ascii="仿宋_GB2312" w:hAnsi="仿宋_GB2312" w:eastAsia="仿宋_GB2312" w:cs="仿宋_GB2312"/>
          <w:color w:val="auto"/>
          <w:kern w:val="0"/>
          <w:sz w:val="32"/>
          <w:szCs w:val="32"/>
          <w:lang w:eastAsia="zh-CN"/>
        </w:rPr>
        <w:t>着眼强化机构编制刚性约束，以数字技术赋能机构编制管理。</w:t>
      </w:r>
      <w:r>
        <w:rPr>
          <w:rFonts w:hint="eastAsia" w:ascii="仿宋_GB2312" w:hAnsi="仿宋_GB2312" w:eastAsia="仿宋_GB2312" w:cs="仿宋_GB2312"/>
          <w:color w:val="auto"/>
          <w:kern w:val="0"/>
          <w:sz w:val="32"/>
          <w:szCs w:val="32"/>
        </w:rPr>
        <w:t>依托涉密内网，</w:t>
      </w:r>
      <w:r>
        <w:rPr>
          <w:rFonts w:hint="eastAsia" w:ascii="仿宋_GB2312" w:hAnsi="仿宋_GB2312" w:eastAsia="仿宋_GB2312" w:cs="仿宋_GB2312"/>
          <w:color w:val="auto"/>
          <w:kern w:val="0"/>
          <w:sz w:val="32"/>
          <w:szCs w:val="32"/>
          <w:lang w:val="en-US" w:eastAsia="zh-CN"/>
        </w:rPr>
        <w:t>率先探索“信息安全与数字智能相结合”新路径，率先探索涵盖“业务系统、内部管理和机关党建”</w:t>
      </w:r>
      <w:r>
        <w:rPr>
          <w:rFonts w:hint="eastAsia" w:ascii="仿宋_GB2312" w:hAnsi="仿宋_GB2312" w:eastAsia="仿宋_GB2312" w:cs="仿宋_GB2312"/>
          <w:color w:val="auto"/>
          <w:kern w:val="0"/>
          <w:sz w:val="32"/>
          <w:szCs w:val="32"/>
        </w:rPr>
        <w:t>全链条“数字编办”</w:t>
      </w:r>
      <w:r>
        <w:rPr>
          <w:rFonts w:hint="eastAsia" w:ascii="仿宋_GB2312" w:hAnsi="仿宋_GB2312" w:eastAsia="仿宋_GB2312" w:cs="仿宋_GB2312"/>
          <w:color w:val="auto"/>
          <w:kern w:val="0"/>
          <w:sz w:val="32"/>
          <w:szCs w:val="32"/>
          <w:lang w:val="en-US" w:eastAsia="zh-CN"/>
        </w:rPr>
        <w:t>建设</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val="en-US" w:eastAsia="zh-CN"/>
        </w:rPr>
        <w:t>强基础、优服务、促规范，</w:t>
      </w:r>
      <w:r>
        <w:rPr>
          <w:rFonts w:hint="eastAsia" w:ascii="仿宋_GB2312" w:hAnsi="仿宋_GB2312" w:eastAsia="仿宋_GB2312" w:cs="仿宋_GB2312"/>
          <w:color w:val="auto"/>
          <w:kern w:val="0"/>
          <w:sz w:val="32"/>
          <w:szCs w:val="32"/>
        </w:rPr>
        <w:t>以数字化推动管理理念、管理方式创新，机构编制刚性约束因数字赋能而更显威力。一是夯实基础，建立机构编制“数据库”。按照“分类采集、动态归集、多源汇集”思路，将市县两级电子“户口本”信息嵌入平台，并将机构编制统计和分析、</w:t>
      </w:r>
      <w:r>
        <w:rPr>
          <w:rFonts w:hint="eastAsia" w:ascii="仿宋_GB2312" w:hAnsi="仿宋_GB2312" w:eastAsia="仿宋_GB2312" w:cs="仿宋_GB2312"/>
          <w:color w:val="auto"/>
          <w:kern w:val="0"/>
          <w:sz w:val="32"/>
          <w:szCs w:val="32"/>
          <w:lang w:val="en-US" w:eastAsia="zh-CN"/>
        </w:rPr>
        <w:t>机关</w:t>
      </w:r>
      <w:r>
        <w:rPr>
          <w:rFonts w:hint="eastAsia" w:ascii="仿宋_GB2312" w:hAnsi="仿宋_GB2312" w:eastAsia="仿宋_GB2312" w:cs="仿宋_GB2312"/>
          <w:color w:val="auto"/>
          <w:kern w:val="0"/>
          <w:sz w:val="32"/>
          <w:szCs w:val="32"/>
        </w:rPr>
        <w:t>事业单位登记数据、权责清单数据等各类数据资源进行整合，构建完整、准确、统一的基础信息数据库，为深入挖潜编制资源、优化资源配置打牢数据支撑。二是</w:t>
      </w:r>
      <w:r>
        <w:rPr>
          <w:rFonts w:hint="eastAsia" w:ascii="仿宋_GB2312" w:hAnsi="仿宋_GB2312" w:eastAsia="仿宋_GB2312" w:cs="仿宋_GB2312"/>
          <w:color w:val="auto"/>
          <w:kern w:val="0"/>
          <w:sz w:val="32"/>
          <w:szCs w:val="32"/>
          <w:lang w:eastAsia="zh-CN"/>
        </w:rPr>
        <w:t>完善功能</w:t>
      </w:r>
      <w:r>
        <w:rPr>
          <w:rFonts w:hint="eastAsia" w:ascii="仿宋_GB2312" w:hAnsi="仿宋_GB2312" w:eastAsia="仿宋_GB2312" w:cs="仿宋_GB2312"/>
          <w:color w:val="auto"/>
          <w:kern w:val="0"/>
          <w:sz w:val="32"/>
          <w:szCs w:val="32"/>
        </w:rPr>
        <w:t>，实现机构编制事项办理“一条龙”。聚焦数据开发与业务应用深度融合，设置“业务办理、运行监测、分析评估、内部管理、智控中心、数据中心”6大功能模块</w:t>
      </w:r>
      <w:r>
        <w:rPr>
          <w:rFonts w:hint="eastAsia" w:ascii="仿宋_GB2312" w:hAnsi="仿宋_GB2312" w:eastAsia="仿宋_GB2312" w:cs="仿宋_GB2312"/>
          <w:color w:val="auto"/>
          <w:kern w:val="0"/>
          <w:sz w:val="32"/>
          <w:szCs w:val="32"/>
          <w:lang w:eastAsia="zh-CN"/>
        </w:rPr>
        <w:t>。嵌入</w:t>
      </w:r>
      <w:r>
        <w:rPr>
          <w:rFonts w:hint="eastAsia" w:ascii="仿宋_GB2312" w:hAnsi="仿宋_GB2312" w:eastAsia="仿宋_GB2312" w:cs="仿宋_GB2312"/>
          <w:color w:val="auto"/>
          <w:kern w:val="0"/>
          <w:sz w:val="32"/>
          <w:szCs w:val="32"/>
        </w:rPr>
        <w:t>机构编制事项办理</w:t>
      </w:r>
      <w:r>
        <w:rPr>
          <w:rFonts w:hint="eastAsia" w:ascii="仿宋_GB2312" w:hAnsi="仿宋_GB2312" w:eastAsia="仿宋_GB2312" w:cs="仿宋_GB2312"/>
          <w:color w:val="auto"/>
          <w:kern w:val="0"/>
          <w:sz w:val="32"/>
          <w:szCs w:val="32"/>
          <w:lang w:eastAsia="zh-CN"/>
        </w:rPr>
        <w:t>模块，将办理程序细化为</w:t>
      </w:r>
      <w:r>
        <w:rPr>
          <w:rFonts w:hint="eastAsia" w:ascii="仿宋_GB2312" w:hAnsi="仿宋_GB2312" w:eastAsia="仿宋_GB2312" w:cs="仿宋_GB2312"/>
          <w:color w:val="auto"/>
          <w:kern w:val="0"/>
          <w:sz w:val="32"/>
          <w:szCs w:val="32"/>
        </w:rPr>
        <w:t>5个阶段</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17个步骤，</w:t>
      </w:r>
      <w:r>
        <w:rPr>
          <w:rFonts w:hint="eastAsia" w:ascii="仿宋_GB2312" w:hAnsi="仿宋_GB2312" w:eastAsia="仿宋_GB2312" w:cs="仿宋_GB2312"/>
          <w:color w:val="auto"/>
          <w:kern w:val="0"/>
          <w:sz w:val="32"/>
          <w:szCs w:val="32"/>
          <w:lang w:eastAsia="zh-CN"/>
        </w:rPr>
        <w:t>强化与市直部门、县（市、区）的互联互通，推动</w:t>
      </w:r>
      <w:r>
        <w:rPr>
          <w:rFonts w:hint="eastAsia" w:ascii="仿宋_GB2312" w:hAnsi="仿宋_GB2312" w:eastAsia="仿宋_GB2312" w:cs="仿宋_GB2312"/>
          <w:color w:val="auto"/>
          <w:kern w:val="0"/>
          <w:sz w:val="32"/>
          <w:szCs w:val="32"/>
        </w:rPr>
        <w:t>实现机构编制事项</w:t>
      </w:r>
      <w:r>
        <w:rPr>
          <w:rFonts w:hint="eastAsia" w:ascii="仿宋_GB2312" w:hAnsi="仿宋_GB2312" w:eastAsia="仿宋_GB2312" w:cs="仿宋_GB2312"/>
          <w:color w:val="auto"/>
          <w:kern w:val="0"/>
          <w:sz w:val="32"/>
          <w:szCs w:val="32"/>
          <w:lang w:eastAsia="zh-CN"/>
        </w:rPr>
        <w:t>网上</w:t>
      </w:r>
      <w:r>
        <w:rPr>
          <w:rFonts w:hint="eastAsia" w:ascii="仿宋_GB2312" w:hAnsi="仿宋_GB2312" w:eastAsia="仿宋_GB2312" w:cs="仿宋_GB2312"/>
          <w:color w:val="auto"/>
          <w:kern w:val="0"/>
          <w:sz w:val="32"/>
          <w:szCs w:val="32"/>
        </w:rPr>
        <w:t>闭环管理。三是制度严密，搭建监督检查“新框架”。严格落实机构编制监督检查制度规定，坚持“线上”与“线下”监督同步推进。在线上，设置“问题跟踪监测”模块，实时追踪机构编制违规问题，自动生成问题台账。</w:t>
      </w:r>
      <w:r>
        <w:rPr>
          <w:rFonts w:hint="eastAsia" w:ascii="仿宋_GB2312" w:hAnsi="仿宋_GB2312" w:eastAsia="仿宋_GB2312" w:cs="仿宋_GB2312"/>
          <w:color w:val="auto"/>
          <w:kern w:val="0"/>
          <w:sz w:val="32"/>
          <w:szCs w:val="32"/>
          <w:lang w:eastAsia="zh-CN"/>
        </w:rPr>
        <w:t>加强网上巡察，完成</w:t>
      </w:r>
      <w:r>
        <w:rPr>
          <w:rFonts w:hint="eastAsia" w:ascii="仿宋_GB2312" w:hAnsi="仿宋_GB2312" w:eastAsia="仿宋_GB2312" w:cs="仿宋_GB2312"/>
          <w:color w:val="auto"/>
          <w:kern w:val="0"/>
          <w:sz w:val="32"/>
          <w:szCs w:val="32"/>
          <w:lang w:val="en-US" w:eastAsia="zh-CN"/>
        </w:rPr>
        <w:t>21个县（市、区）4923个事业单位清理规范。</w:t>
      </w:r>
      <w:r>
        <w:rPr>
          <w:rFonts w:hint="eastAsia" w:ascii="仿宋_GB2312" w:hAnsi="仿宋_GB2312" w:eastAsia="仿宋_GB2312" w:cs="仿宋_GB2312"/>
          <w:color w:val="auto"/>
          <w:kern w:val="0"/>
          <w:sz w:val="32"/>
          <w:szCs w:val="32"/>
        </w:rPr>
        <w:t>在线下，</w:t>
      </w:r>
      <w:r>
        <w:rPr>
          <w:rFonts w:hint="eastAsia" w:ascii="仿宋_GB2312" w:hAnsi="仿宋_GB2312" w:eastAsia="仿宋_GB2312" w:cs="仿宋_GB2312"/>
          <w:color w:val="auto"/>
          <w:kern w:val="0"/>
          <w:sz w:val="32"/>
          <w:szCs w:val="32"/>
          <w:lang w:eastAsia="zh-CN"/>
        </w:rPr>
        <w:t>建立省委巡视、</w:t>
      </w:r>
      <w:r>
        <w:rPr>
          <w:rFonts w:hint="eastAsia" w:ascii="仿宋_GB2312" w:hAnsi="仿宋_GB2312" w:eastAsia="仿宋_GB2312" w:cs="仿宋_GB2312"/>
          <w:color w:val="auto"/>
          <w:kern w:val="0"/>
          <w:sz w:val="32"/>
          <w:szCs w:val="32"/>
        </w:rPr>
        <w:t>市委专项巡察</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lang w:val="en-US" w:eastAsia="zh-CN"/>
        </w:rPr>
        <w:t>机构编制</w:t>
      </w:r>
      <w:r>
        <w:rPr>
          <w:rFonts w:hint="eastAsia" w:ascii="仿宋_GB2312" w:hAnsi="仿宋_GB2312" w:eastAsia="仿宋_GB2312" w:cs="仿宋_GB2312"/>
          <w:color w:val="auto"/>
          <w:kern w:val="0"/>
          <w:sz w:val="32"/>
          <w:szCs w:val="32"/>
        </w:rPr>
        <w:t>批复事项“回头看”</w:t>
      </w:r>
      <w:r>
        <w:rPr>
          <w:rFonts w:hint="eastAsia" w:ascii="仿宋_GB2312" w:hAnsi="仿宋_GB2312" w:eastAsia="仿宋_GB2312" w:cs="仿宋_GB2312"/>
          <w:color w:val="auto"/>
          <w:kern w:val="0"/>
          <w:sz w:val="32"/>
          <w:szCs w:val="32"/>
          <w:lang w:eastAsia="zh-CN"/>
        </w:rPr>
        <w:t>等系列问题清单，加强督查督办，初步实现</w:t>
      </w:r>
      <w:r>
        <w:rPr>
          <w:rFonts w:hint="eastAsia" w:ascii="仿宋_GB2312" w:hAnsi="仿宋_GB2312" w:eastAsia="仿宋_GB2312" w:cs="仿宋_GB2312"/>
          <w:color w:val="auto"/>
          <w:kern w:val="0"/>
          <w:sz w:val="32"/>
          <w:szCs w:val="32"/>
        </w:rPr>
        <w:t>线上线下监督</w:t>
      </w:r>
      <w:r>
        <w:rPr>
          <w:rFonts w:hint="eastAsia" w:ascii="仿宋_GB2312" w:hAnsi="仿宋_GB2312" w:eastAsia="仿宋_GB2312" w:cs="仿宋_GB2312"/>
          <w:color w:val="auto"/>
          <w:kern w:val="0"/>
          <w:sz w:val="32"/>
          <w:szCs w:val="32"/>
          <w:lang w:eastAsia="zh-CN"/>
        </w:rPr>
        <w:t>同步</w:t>
      </w:r>
      <w:r>
        <w:rPr>
          <w:rFonts w:hint="eastAsia" w:ascii="仿宋_GB2312" w:hAnsi="仿宋_GB2312" w:eastAsia="仿宋_GB2312" w:cs="仿宋_GB2312"/>
          <w:color w:val="auto"/>
          <w:kern w:val="0"/>
          <w:sz w:val="32"/>
          <w:szCs w:val="32"/>
        </w:rPr>
        <w:t>发力，“编制就是法律”意识进一步增强。</w:t>
      </w:r>
    </w:p>
    <w:p>
      <w:pPr>
        <w:pStyle w:val="12"/>
        <w:keepNext w:val="0"/>
        <w:keepLines w:val="0"/>
        <w:pageBreakBefore w:val="0"/>
        <w:widowControl w:val="0"/>
        <w:kinsoku/>
        <w:wordWrap/>
        <w:overflowPunct/>
        <w:topLinePunct w:val="0"/>
        <w:autoSpaceDE/>
        <w:autoSpaceDN/>
        <w:bidi w:val="0"/>
        <w:adjustRightInd/>
        <w:snapToGrid/>
        <w:spacing w:line="640" w:lineRule="exact"/>
        <w:ind w:firstLine="680"/>
        <w:textAlignment w:val="auto"/>
        <w:rPr>
          <w:rFonts w:hint="eastAsia" w:eastAsia="仿宋_GB2312"/>
          <w:lang w:val="en-US" w:eastAsia="zh-CN"/>
        </w:rPr>
      </w:pPr>
      <w:r>
        <w:rPr>
          <w:rFonts w:hint="eastAsia" w:ascii="仿宋_GB2312" w:hAnsi="仿宋_GB2312" w:eastAsia="仿宋_GB2312" w:cs="仿宋_GB2312"/>
          <w:color w:val="auto"/>
          <w:kern w:val="0"/>
          <w:sz w:val="32"/>
          <w:szCs w:val="32"/>
          <w:lang w:eastAsia="zh-CN"/>
        </w:rPr>
        <w:t>四、</w:t>
      </w:r>
      <w:r>
        <w:rPr>
          <w:rFonts w:hint="eastAsia" w:ascii="仿宋_GB2312" w:hAnsi="仿宋_GB2312" w:eastAsia="仿宋_GB2312" w:cs="仿宋_GB2312"/>
          <w:color w:val="auto"/>
          <w:kern w:val="0"/>
          <w:sz w:val="32"/>
          <w:szCs w:val="32"/>
          <w:lang w:val="en-US" w:eastAsia="zh-CN" w:bidi="ar-SA"/>
        </w:rPr>
        <w:t>着眼打造政治强业务精作风优的模范机关，持续加强机关自身建设。深入贯彻落实习近平总书记关于加强机构编制部门自身建设的新要求，围绕“抓党建、带队伍、强作风”目标任务，不断提升履职能力和工作水平，打造践行“两个维护”的第一方阵。一是锲而不舍加强机关党的建设。牢固树立“抓好党建是本职”意识，组织理论学习中心组学习会16次，党支部集中学习48次，政治判断力、政治领悟力、政治执行力不断提升。高质量召开领导班子民主生活会、党支部组织生活会，开展谈心谈话128次，自我净化、自我完善、自我革新、自我提高能力进一步增强。高标准组织开展中国机构编制管理研究会主题党日和省市县三级党委编办联学共建活动，引导党员干部将初心使命刻在脑子里、融入血液中、落到行动上。二是锲而不舍加强干部队伍能力建设。持续开展素质提升活动，着眼“站起来能说、坐下来能写、走出去能干”目标，精心组织主题演讲、公文写作、业务竞赛等系列活动，让干部在切磋比武中强素质、提内功、树形象。组织开展全市机构编制工作素质能力提升培训班，补短板、强弱项、增动能，努力成为本职工作的“政策通”“活字典”“一口清”。坚持走出去学回来，全年组织4批20余人次到先进地区学习调研，拓宽思路促提升。坚持树立正确用人导向，注重选拔担当作为、踏实肯干、实绩突出的优秀干部，全年干部调整22人，营造团结奋进、务实担当、干事创业的浓厚氛围。三是锲而不舍加强机关作风建设。保持和发扬严、实作风，在提升工作效能上出实招、求实效。坚持清单管理，严格落实市领导批示、办主要领导交办、年度重点任务等4本台账，挂单督办，实时提醒，限时办结，确保重点工作落地落实。坚持底线思维，组织开展国家安全、保密教育等活动，加强涉密部门实名制数据管理，全办人员安全意识和防范能力进一步提升。坚持精益求精，全年流转公文3410件，整理文书档案3220卷（件），办理7529人次出入编及信息变更业务，做到零差错，为建设现代化、国际化美丽省会城市贡献了机构编制力量。</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pStyle w:val="13"/>
        <w:widowControl/>
        <w:spacing w:line="640" w:lineRule="exact"/>
        <w:ind w:left="0" w:firstLine="640" w:firstLineChars="200"/>
        <w:rPr>
          <w:rFonts w:hint="eastAsia" w:ascii="仿宋" w:hAnsi="仿宋" w:eastAsia="仿宋"/>
          <w:sz w:val="32"/>
          <w:szCs w:val="32"/>
          <w:lang w:eastAsia="zh-CN"/>
        </w:rPr>
      </w:pPr>
      <w:r>
        <w:rPr>
          <w:rFonts w:hint="eastAsia" w:ascii="仿宋_GB2312" w:hAnsi="仿宋_GB2312" w:eastAsia="仿宋_GB2312" w:cs="仿宋_GB2312"/>
          <w:color w:val="000000"/>
          <w:shd w:val="clear" w:fill="FFFFFF"/>
          <w:lang w:eastAsia="zh-CN"/>
        </w:rPr>
        <w:t>根据各项目执行情况和项目绩效情况，我单位各项资金项目绩效评价得分均在</w:t>
      </w:r>
      <w:r>
        <w:rPr>
          <w:rFonts w:hint="eastAsia" w:ascii="仿宋_GB2312" w:hAnsi="仿宋_GB2312" w:eastAsia="仿宋_GB2312" w:cs="仿宋_GB2312"/>
          <w:color w:val="000000"/>
          <w:shd w:val="clear" w:fill="FFFFFF"/>
          <w:lang w:val="en-US"/>
        </w:rPr>
        <w:t>95</w:t>
      </w:r>
      <w:r>
        <w:rPr>
          <w:rFonts w:hint="eastAsia" w:ascii="仿宋_GB2312" w:hAnsi="仿宋_GB2312" w:eastAsia="仿宋_GB2312" w:cs="仿宋_GB2312"/>
          <w:color w:val="000000"/>
          <w:shd w:val="clear" w:fill="FFFFFF"/>
          <w:lang w:eastAsia="zh-CN"/>
        </w:rPr>
        <w:t>分以上，我单位</w:t>
      </w:r>
      <w:r>
        <w:rPr>
          <w:rFonts w:hint="eastAsia" w:ascii="仿宋_GB2312" w:hAnsi="仿宋_GB2312" w:eastAsia="仿宋_GB2312" w:cs="仿宋_GB2312"/>
          <w:color w:val="000000"/>
          <w:shd w:val="clear" w:fill="FFFFFF"/>
          <w:lang w:val="en-US"/>
        </w:rPr>
        <w:t>202</w:t>
      </w:r>
      <w:r>
        <w:rPr>
          <w:rFonts w:hint="eastAsia" w:ascii="仿宋_GB2312" w:hAnsi="仿宋_GB2312" w:eastAsia="仿宋_GB2312" w:cs="仿宋_GB2312"/>
          <w:color w:val="000000"/>
          <w:shd w:val="clear" w:fill="FFFFFF"/>
          <w:lang w:val="en-US" w:eastAsia="zh-CN"/>
        </w:rPr>
        <w:t>3</w:t>
      </w:r>
      <w:r>
        <w:rPr>
          <w:rFonts w:hint="eastAsia" w:ascii="仿宋_GB2312" w:hAnsi="仿宋_GB2312" w:eastAsia="仿宋_GB2312" w:cs="仿宋_GB2312"/>
          <w:color w:val="000000"/>
          <w:shd w:val="clear" w:fill="FFFFFF"/>
          <w:lang w:eastAsia="zh-CN"/>
        </w:rPr>
        <w:t>年部门年度绩效自评等级为优秀。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keepNext w:val="0"/>
        <w:keepLines w:val="0"/>
        <w:pageBreakBefore w:val="0"/>
        <w:kinsoku/>
        <w:wordWrap/>
        <w:overflowPunct/>
        <w:topLinePunct w:val="0"/>
        <w:autoSpaceDE/>
        <w:autoSpaceDN/>
        <w:bidi w:val="0"/>
        <w:spacing w:line="640" w:lineRule="exact"/>
        <w:ind w:left="0" w:leftChars="0"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 xml:space="preserve"> 1.绩效目标设定工作有待提升。因事前绩效评估不足，项目库数据不够全面、完整，导致部分项目绩效目标设置不够简明扼要，清晰直观，不便于理解和衡量。</w:t>
      </w:r>
    </w:p>
    <w:p>
      <w:pPr>
        <w:pStyle w:val="2"/>
        <w:rPr>
          <w:rFonts w:hint="eastAsia"/>
          <w:lang w:val="en-US"/>
        </w:rPr>
      </w:pPr>
      <w:r>
        <w:rPr>
          <w:rFonts w:hint="eastAsia" w:ascii="仿宋_GB2312" w:hAnsi="仿宋_GB2312" w:eastAsia="仿宋_GB2312" w:cs="仿宋_GB2312"/>
          <w:kern w:val="2"/>
          <w:sz w:val="32"/>
          <w:szCs w:val="32"/>
          <w:lang w:val="en-US" w:eastAsia="zh-CN" w:bidi="ar-SA"/>
        </w:rPr>
        <w:t xml:space="preserve">   2.绩效工作管理有待加强。绩效工作管理还存在一定的薄弱环节，绩效管理相关制度不健全，个别科室绩效理念尚未全面树立、绩效管理职责不明确，绩效指标激励约束作用不强，存在重投入轻管理、重支出轻绩效的问题，绩效工资管理的广度和深度不足。</w:t>
      </w:r>
    </w:p>
    <w:p>
      <w:pPr>
        <w:numPr>
          <w:ilvl w:val="0"/>
          <w:numId w:val="3"/>
        </w:num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numPr>
          <w:ilvl w:val="0"/>
          <w:numId w:val="0"/>
        </w:numPr>
        <w:spacing w:line="560" w:lineRule="exact"/>
        <w:rPr>
          <w:rFonts w:hint="eastAsia" w:ascii="仿宋_GB2312" w:hAnsi="仿宋_GB2312" w:eastAsia="仿宋_GB2312" w:cs="仿宋_GB2312"/>
          <w:kern w:val="2"/>
          <w:sz w:val="32"/>
          <w:szCs w:val="32"/>
          <w:lang w:val="en-US" w:eastAsia="zh-CN" w:bidi="ar-SA"/>
        </w:rPr>
      </w:pPr>
      <w:r>
        <w:rPr>
          <w:rFonts w:hint="eastAsia" w:ascii="楷体" w:hAnsi="楷体" w:eastAsia="楷体"/>
          <w:bCs/>
          <w:sz w:val="32"/>
          <w:szCs w:val="32"/>
          <w:lang w:val="en-US" w:eastAsia="zh-CN"/>
        </w:rPr>
        <w:t xml:space="preserve">     </w:t>
      </w:r>
      <w:r>
        <w:rPr>
          <w:rFonts w:hint="eastAsia" w:ascii="仿宋_GB2312" w:hAnsi="仿宋_GB2312" w:eastAsia="仿宋_GB2312" w:cs="仿宋_GB2312"/>
          <w:kern w:val="2"/>
          <w:sz w:val="32"/>
          <w:szCs w:val="32"/>
          <w:lang w:val="en-US" w:eastAsia="zh-CN" w:bidi="ar-SA"/>
        </w:rPr>
        <w:t>1.科学规范的设定绩效目标，提升绩效目标质量。使绩效目标清晰的反映预算资金的预期产出和效果，并以精准的指向性绩效指标予以细化。能量化的绩效指标尽可能的量化，既要符合编制工作的特点和实际情况，又要实施求是，客观公正。</w:t>
      </w:r>
    </w:p>
    <w:p>
      <w:pPr>
        <w:pStyle w:val="2"/>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 xml:space="preserve">  2.及时梳理和总结，协同推进实施绩效管理。各科室要做好项目的梳理和总结工作，掌握项目预算资金的执行情况以及绩效目标、指标的完成情况。针对多科室共同实施的项目，由责任科室牵头，各科室积极参与配合，完成预算项目的综合评价工作。保证准确地、全面地反映和评价预算项目的产出和效果，实现预算项目的价值和意义。</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numPr>
          <w:ilvl w:val="0"/>
          <w:numId w:val="0"/>
        </w:numPr>
        <w:spacing w:line="560" w:lineRule="exact"/>
        <w:rPr>
          <w:rFonts w:hint="eastAsia" w:ascii="仿宋_GB2312" w:hAnsi="仿宋_GB2312" w:eastAsia="仿宋_GB2312" w:cs="仿宋_GB2312"/>
          <w:kern w:val="2"/>
          <w:sz w:val="32"/>
          <w:szCs w:val="32"/>
          <w:lang w:val="en-US" w:eastAsia="zh-CN" w:bidi="ar-SA"/>
        </w:rPr>
      </w:pPr>
      <w:r>
        <w:rPr>
          <w:rFonts w:hint="eastAsia" w:ascii="仿宋" w:hAnsi="仿宋" w:eastAsia="仿宋"/>
          <w:lang w:val="en-US" w:eastAsia="zh-CN"/>
        </w:rPr>
        <w:t xml:space="preserve">        </w:t>
      </w:r>
      <w:r>
        <w:rPr>
          <w:rFonts w:hint="eastAsia" w:ascii="仿宋_GB2312" w:hAnsi="仿宋_GB2312" w:eastAsia="仿宋_GB2312" w:cs="仿宋_GB2312"/>
          <w:kern w:val="2"/>
          <w:sz w:val="32"/>
          <w:szCs w:val="32"/>
          <w:lang w:val="en-US" w:eastAsia="zh-CN" w:bidi="ar-SA"/>
        </w:rPr>
        <w:t>梁  猛  石家庄市委编办副主任，三级调研员</w:t>
      </w:r>
    </w:p>
    <w:p>
      <w:pPr>
        <w:numPr>
          <w:ilvl w:val="0"/>
          <w:numId w:val="0"/>
        </w:numPr>
        <w:spacing w:line="560" w:lineRule="exac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 xml:space="preserve">     袁勇雷  石家庄市委编办综合科科长</w:t>
      </w:r>
    </w:p>
    <w:p>
      <w:pPr>
        <w:numPr>
          <w:ilvl w:val="0"/>
          <w:numId w:val="0"/>
        </w:numPr>
        <w:spacing w:line="560" w:lineRule="exac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 xml:space="preserve">     郝崇武  石家庄市委编办机关科科长</w:t>
      </w:r>
    </w:p>
    <w:p>
      <w:pPr>
        <w:numPr>
          <w:ilvl w:val="0"/>
          <w:numId w:val="0"/>
        </w:numPr>
        <w:spacing w:line="560" w:lineRule="exac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 xml:space="preserve">     张  慧  石家庄市委编办监督科科长</w:t>
      </w:r>
    </w:p>
    <w:p>
      <w:pPr>
        <w:numPr>
          <w:ilvl w:val="0"/>
          <w:numId w:val="0"/>
        </w:numPr>
        <w:spacing w:line="560" w:lineRule="exac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 xml:space="preserve">     马  丛  石家庄市委编办综合科财务</w:t>
      </w:r>
    </w:p>
    <w:p>
      <w:pPr>
        <w:spacing w:line="560" w:lineRule="exact"/>
        <w:rPr>
          <w:rFonts w:hint="eastAsia" w:ascii="仿宋" w:hAnsi="仿宋" w:eastAsia="仿宋"/>
          <w:lang w:val="en-US" w:eastAsia="zh-CN"/>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华文彩云">
    <w:panose1 w:val="02010800040101010101"/>
    <w:charset w:val="86"/>
    <w:family w:val="auto"/>
    <w:pitch w:val="default"/>
    <w:sig w:usb0="00000001" w:usb1="080F0000" w:usb2="00000000" w:usb3="00000000" w:csb0="00040000" w:csb1="00000000"/>
  </w:font>
  <w:font w:name="华文隶书">
    <w:panose1 w:val="02010800040101010101"/>
    <w:charset w:val="86"/>
    <w:family w:val="auto"/>
    <w:pitch w:val="default"/>
    <w:sig w:usb0="00000001" w:usb1="080F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Courier New">
    <w:panose1 w:val="02070309020205020404"/>
    <w:charset w:val="00"/>
    <w:family w:val="modern"/>
    <w:pitch w:val="default"/>
    <w:sig w:usb0="E0002AFF" w:usb1="C0007843" w:usb2="00000009" w:usb3="00000000" w:csb0="400001FF" w:csb1="FFFF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Calibri Light">
    <w:panose1 w:val="020F0302020204030204"/>
    <w:charset w:val="00"/>
    <w:family w:val="swiss"/>
    <w:pitch w:val="default"/>
    <w:sig w:usb0="A00002EF" w:usb1="4000207B" w:usb2="00000000" w:usb3="00000000" w:csb0="2000019F" w:csb1="00000000"/>
  </w:font>
  <w:font w:name="方正黑体_GBK">
    <w:altName w:val="Arial Unicode MS"/>
    <w:panose1 w:val="03000509000000000000"/>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script"/>
    <w:pitch w:val="default"/>
    <w:sig w:usb0="00000001" w:usb1="080E0000" w:usb2="00000000" w:usb3="00000000" w:csb0="00040000" w:csb1="00000000"/>
  </w:font>
  <w:font w:name="Segoe UI">
    <w:panose1 w:val="020B0502040204020203"/>
    <w:charset w:val="00"/>
    <w:family w:val="auto"/>
    <w:pitch w:val="default"/>
    <w:sig w:usb0="E10022FF" w:usb1="C000E47F" w:usb2="00000029" w:usb3="00000000" w:csb0="200001DF" w:csb1="20000000"/>
  </w:font>
  <w:font w:name="CESI宋体-GB2312">
    <w:altName w:val="宋体"/>
    <w:panose1 w:val="02000500000000000000"/>
    <w:charset w:val="86"/>
    <w:family w:val="auto"/>
    <w:pitch w:val="default"/>
    <w:sig w:usb0="00000000" w:usb1="00000000" w:usb2="00000010" w:usb3="00000000" w:csb0="0004000F" w:csb1="00000000"/>
  </w:font>
  <w:font w:name="Batang">
    <w:panose1 w:val="02030600000101010101"/>
    <w:charset w:val="81"/>
    <w:family w:val="auto"/>
    <w:pitch w:val="default"/>
    <w:sig w:usb0="B00002AF" w:usb1="69D77CFB" w:usb2="00000030" w:usb3="00000000" w:csb0="4008009F" w:csb1="DFD70000"/>
  </w:font>
  <w:font w:name="Segoe Print">
    <w:panose1 w:val="02000600000000000000"/>
    <w:charset w:val="00"/>
    <w:family w:val="auto"/>
    <w:pitch w:val="default"/>
    <w:sig w:usb0="0000028F" w:usb1="00000000" w:usb2="00000000" w:usb3="00000000" w:csb0="2000009F" w:csb1="47010000"/>
  </w:font>
  <w:font w:name="@宋体">
    <w:panose1 w:val="02010600030101010101"/>
    <w:charset w:val="86"/>
    <w:family w:val="auto"/>
    <w:pitch w:val="default"/>
    <w:sig w:usb0="00000003" w:usb1="288F0000" w:usb2="00000006" w:usb3="00000000" w:csb0="00040001"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黑体">
    <w:panose1 w:val="02010609060101010101"/>
    <w:charset w:val="86"/>
    <w:family w:val="auto"/>
    <w:pitch w:val="default"/>
    <w:sig w:usb0="800002BF" w:usb1="38CF7CFA" w:usb2="00000016" w:usb3="00000000" w:csb0="00040001" w:csb1="00000000"/>
  </w:font>
  <w:font w:name="微软雅黑 Light">
    <w:altName w:val="黑体"/>
    <w:panose1 w:val="020B0502040204020203"/>
    <w:charset w:val="86"/>
    <w:family w:val="auto"/>
    <w:pitch w:val="default"/>
    <w:sig w:usb0="00000000" w:usb1="00000000" w:usb2="00000016" w:usb3="00000000" w:csb0="0004001F" w:csb1="00000000"/>
  </w:font>
  <w:font w:name="新宋体">
    <w:panose1 w:val="02010609030101010101"/>
    <w:charset w:val="86"/>
    <w:family w:val="auto"/>
    <w:pitch w:val="default"/>
    <w:sig w:usb0="00000003" w:usb1="288F0000" w:usb2="00000006" w:usb3="00000000" w:csb0="00040001" w:csb1="00000000"/>
  </w:font>
  <w:font w:name="幼圆">
    <w:panose1 w:val="02010509060101010101"/>
    <w:charset w:val="86"/>
    <w:family w:val="auto"/>
    <w:pitch w:val="default"/>
    <w:sig w:usb0="00000001" w:usb1="080E0000" w:usb2="00000000" w:usb3="00000000" w:csb0="00040000" w:csb1="00000000"/>
  </w:font>
  <w:font w:name="隶书">
    <w:panose1 w:val="0201050906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BCdjLkrgEAAFgD&#10;AAAOAAAAAAAAAAEAIAAAAB4BAABkcnMvZTJvRG9jLnhtbFBLBQYAAAAABgAGAFkBAAA+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1">
    <w:nsid w:val="65F260C7"/>
    <w:multiLevelType w:val="singleLevel"/>
    <w:tmpl w:val="65F260C7"/>
    <w:lvl w:ilvl="0" w:tentative="0">
      <w:start w:val="1"/>
      <w:numFmt w:val="decimal"/>
      <w:suff w:val="nothing"/>
      <w:lvlText w:val="（%1）"/>
      <w:lvlJc w:val="left"/>
    </w:lvl>
  </w:abstractNum>
  <w:abstractNum w:abstractNumId="2">
    <w:nsid w:val="65F2615B"/>
    <w:multiLevelType w:val="singleLevel"/>
    <w:tmpl w:val="65F2615B"/>
    <w:lvl w:ilvl="0" w:tentative="0">
      <w:start w:val="2"/>
      <w:numFmt w:val="chineseCounting"/>
      <w:suff w:val="nothing"/>
      <w:lvlText w:val="（%1）"/>
      <w:lvlJc w:val="left"/>
    </w:lvl>
  </w:abstractNum>
  <w:abstractNum w:abstractNumId="3">
    <w:nsid w:val="65F26934"/>
    <w:multiLevelType w:val="singleLevel"/>
    <w:tmpl w:val="65F26934"/>
    <w:lvl w:ilvl="0" w:tentative="0">
      <w:start w:val="1"/>
      <w:numFmt w:val="chineseCounting"/>
      <w:suff w:val="nothing"/>
      <w:lvlText w:val="%1、"/>
      <w:lvlJc w:val="left"/>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7"/>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7387040"/>
    <w:rsid w:val="3B625C0A"/>
    <w:rsid w:val="3CEE1963"/>
    <w:rsid w:val="436B78D3"/>
    <w:rsid w:val="4C9C27FE"/>
    <w:rsid w:val="512260B4"/>
    <w:rsid w:val="52BD6ACB"/>
    <w:rsid w:val="55537534"/>
    <w:rsid w:val="561A74F1"/>
    <w:rsid w:val="597244E8"/>
    <w:rsid w:val="5EB71C30"/>
    <w:rsid w:val="66AF0CE5"/>
    <w:rsid w:val="6AC537CF"/>
    <w:rsid w:val="6C8312AE"/>
    <w:rsid w:val="6E5B14A6"/>
    <w:rsid w:val="70F259BF"/>
    <w:rsid w:val="711B255E"/>
    <w:rsid w:val="77375BF1"/>
    <w:rsid w:val="7BB51E06"/>
    <w:rsid w:val="7C387F7C"/>
    <w:rsid w:val="7FE83423"/>
  </w:rsids>
  <m:mathPr>
    <m:lMargin m:val="0"/>
    <m:mathFont m:val="Cambria Math"/>
    <m:rMargin m:val="0"/>
    <m:wrapIndent m:val="1440"/>
    <m:brkBin m:val="before"/>
    <m:brkBinSub m:val="--"/>
    <m:defJc m:val="centerGroup"/>
    <m:intLim m:val="subSup"/>
    <m:naryLim m:val="undOvr"/>
    <m:smallFrac m:val="1"/>
    <m:dispDef/>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unhideWhenUsed/>
    <w:qFormat/>
    <w:uiPriority w:val="1"/>
  </w:style>
  <w:style w:type="table" w:default="1" w:styleId="8">
    <w:name w:val="Normal Table"/>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Layout w:type="fixed"/>
      <w:tblCellMar>
        <w:top w:w="0" w:type="dxa"/>
        <w:left w:w="108" w:type="dxa"/>
        <w:bottom w:w="0" w:type="dxa"/>
        <w:right w:w="108" w:type="dxa"/>
      </w:tblCellMar>
    </w:tblPr>
  </w:style>
  <w:style w:type="paragraph" w:styleId="2">
    <w:name w:val="Body Text First Indent"/>
    <w:basedOn w:val="3"/>
    <w:qFormat/>
    <w:uiPriority w:val="0"/>
    <w:pPr>
      <w:ind w:firstLine="420" w:firstLineChars="100"/>
    </w:pPr>
  </w:style>
  <w:style w:type="paragraph" w:styleId="3">
    <w:name w:val="Body Text"/>
    <w:basedOn w:val="1"/>
    <w:next w:val="2"/>
    <w:qFormat/>
    <w:uiPriority w:val="0"/>
    <w:rPr>
      <w:rFonts w:eastAsia="黑体"/>
    </w:rPr>
  </w:style>
  <w:style w:type="paragraph" w:styleId="4">
    <w:name w:val="Body Text Indent 2"/>
    <w:basedOn w:val="1"/>
    <w:link w:val="11"/>
    <w:qFormat/>
    <w:uiPriority w:val="0"/>
    <w:pPr>
      <w:spacing w:after="120" w:afterLines="0" w:afterAutospacing="0" w:line="480" w:lineRule="auto"/>
      <w:ind w:left="420" w:leftChars="20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9">
    <w:name w:val="插入文本样式-插入部门职责文件"/>
    <w:basedOn w:val="1"/>
    <w:qFormat/>
    <w:uiPriority w:val="0"/>
    <w:pPr>
      <w:spacing w:line="500" w:lineRule="exact"/>
      <w:ind w:firstLine="560"/>
    </w:pPr>
    <w:rPr>
      <w:rFonts w:eastAsia="方正仿宋_GBK"/>
      <w:sz w:val="28"/>
    </w:rPr>
  </w:style>
  <w:style w:type="paragraph" w:customStyle="1" w:styleId="10">
    <w:name w:val="插入文本样式-插入职责分类绩效目标文件"/>
    <w:basedOn w:val="1"/>
    <w:qFormat/>
    <w:uiPriority w:val="0"/>
    <w:pPr>
      <w:spacing w:line="500" w:lineRule="exact"/>
      <w:ind w:firstLine="560"/>
    </w:pPr>
    <w:rPr>
      <w:rFonts w:eastAsia="方正仿宋_GBK"/>
      <w:sz w:val="28"/>
    </w:rPr>
  </w:style>
  <w:style w:type="character" w:customStyle="1" w:styleId="11">
    <w:name w:val="正文文本缩进 2 Char"/>
    <w:basedOn w:val="7"/>
    <w:link w:val="4"/>
    <w:qFormat/>
    <w:uiPriority w:val="0"/>
    <w:rPr>
      <w:rFonts w:hint="default" w:ascii="Calibri" w:hAnsi="Calibri" w:cs="黑体"/>
      <w:kern w:val="2"/>
      <w:sz w:val="21"/>
      <w:szCs w:val="22"/>
    </w:rPr>
  </w:style>
  <w:style w:type="paragraph" w:customStyle="1" w:styleId="12">
    <w:name w:val="_Style 1"/>
    <w:qFormat/>
    <w:uiPriority w:val="0"/>
    <w:pPr>
      <w:widowControl w:val="0"/>
      <w:ind w:firstLine="200" w:firstLineChars="200"/>
      <w:jc w:val="both"/>
    </w:pPr>
    <w:rPr>
      <w:rFonts w:ascii="Times New Roman" w:hAnsi="Times New Roman" w:eastAsia="宋体" w:cs="Times New Roman"/>
      <w:kern w:val="2"/>
      <w:sz w:val="28"/>
      <w:szCs w:val="24"/>
      <w:lang w:val="en-US" w:eastAsia="zh-CN" w:bidi="ar-SA"/>
    </w:rPr>
  </w:style>
  <w:style w:type="paragraph" w:customStyle="1" w:styleId="13">
    <w:name w:val="无间隔1"/>
    <w:basedOn w:val="1"/>
    <w:uiPriority w:val="0"/>
    <w:pPr>
      <w:keepNext w:val="0"/>
      <w:keepLines w:val="0"/>
      <w:widowControl w:val="0"/>
      <w:suppressLineNumbers w:val="0"/>
      <w:spacing w:before="0" w:beforeAutospacing="0" w:after="0" w:afterAutospacing="0"/>
      <w:ind w:left="0" w:right="0"/>
      <w:jc w:val="both"/>
    </w:pPr>
    <w:rPr>
      <w:rFonts w:hint="eastAsia" w:ascii="宋体" w:hAnsi="Times New Roman" w:eastAsia="宋体" w:cs="宋体"/>
      <w:kern w:val="2"/>
      <w:sz w:val="32"/>
      <w:szCs w:val="32"/>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ScaleCrop>false</ScaleCrop>
  <LinksUpToDate>false</LinksUpToDate>
  <CharactersWithSpaces>669</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2024-04-16T01:28:15Z</cp:lastPrinted>
  <dcterms:modified xsi:type="dcterms:W3CDTF">2024-04-16T01:30:05Z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y fmtid="{D5CDD505-2E9C-101B-9397-08002B2CF9AE}" pid="3" name="ICV">
    <vt:lpwstr>96934721B1514D3FBAA28020338CE855_12</vt:lpwstr>
  </property>
</Properties>
</file>