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4EA6164">
      <w:pPr>
        <w:adjustRightInd w:val="0"/>
        <w:snapToGrid w:val="0"/>
        <w:spacing w:line="600" w:lineRule="exact"/>
        <w:jc w:val="center"/>
        <w:rPr>
          <w:rFonts w:ascii="方正小标宋简体" w:hAnsi="方正小标宋简体" w:eastAsia="方正小标宋简体" w:cs="方正小标宋简体"/>
          <w:color w:val="auto"/>
          <w:kern w:val="0"/>
          <w:sz w:val="44"/>
          <w:szCs w:val="44"/>
        </w:rPr>
      </w:pPr>
      <w:r>
        <w:rPr>
          <w:rFonts w:hint="eastAsia" w:ascii="方正小标宋简体" w:hAnsi="方正小标宋简体" w:eastAsia="方正小标宋简体" w:cs="方正小标宋简体"/>
          <w:color w:val="auto"/>
          <w:kern w:val="0"/>
          <w:sz w:val="44"/>
          <w:szCs w:val="44"/>
        </w:rPr>
        <w:t>石家庄市统计局</w:t>
      </w:r>
    </w:p>
    <w:p w14:paraId="4D4DDDB7">
      <w:pPr>
        <w:adjustRightInd w:val="0"/>
        <w:snapToGrid w:val="0"/>
        <w:spacing w:line="600" w:lineRule="exact"/>
        <w:jc w:val="center"/>
        <w:rPr>
          <w:rFonts w:ascii="方正小标宋简体" w:hAnsi="方正小标宋简体" w:eastAsia="方正小标宋简体" w:cs="方正小标宋简体"/>
          <w:color w:val="auto"/>
          <w:sz w:val="44"/>
          <w:szCs w:val="44"/>
        </w:rPr>
      </w:pPr>
      <w:r>
        <w:rPr>
          <w:rFonts w:hint="eastAsia" w:ascii="方正小标宋简体" w:hAnsi="方正小标宋简体" w:eastAsia="方正小标宋简体" w:cs="方正小标宋简体"/>
          <w:color w:val="auto"/>
          <w:kern w:val="0"/>
          <w:sz w:val="44"/>
          <w:szCs w:val="44"/>
          <w:lang w:eastAsia="zh-CN"/>
        </w:rPr>
        <w:t>2024</w:t>
      </w:r>
      <w:r>
        <w:rPr>
          <w:rFonts w:hint="eastAsia" w:ascii="方正小标宋简体" w:hAnsi="方正小标宋简体" w:eastAsia="方正小标宋简体" w:cs="方正小标宋简体"/>
          <w:color w:val="auto"/>
          <w:kern w:val="0"/>
          <w:sz w:val="44"/>
          <w:szCs w:val="44"/>
        </w:rPr>
        <w:t>年度整体支出</w:t>
      </w:r>
      <w:r>
        <w:rPr>
          <w:rFonts w:hint="eastAsia" w:ascii="方正小标宋简体" w:hAnsi="方正小标宋简体" w:eastAsia="方正小标宋简体" w:cs="方正小标宋简体"/>
          <w:color w:val="auto"/>
          <w:sz w:val="44"/>
          <w:szCs w:val="44"/>
        </w:rPr>
        <w:t>绩效自评报告</w:t>
      </w:r>
    </w:p>
    <w:p w14:paraId="6E1355DC">
      <w:pPr>
        <w:adjustRightInd w:val="0"/>
        <w:snapToGrid w:val="0"/>
        <w:spacing w:line="600" w:lineRule="exact"/>
        <w:ind w:firstLine="880" w:firstLineChars="200"/>
        <w:rPr>
          <w:rFonts w:ascii="方正小标宋简体" w:hAnsi="方正小标宋简体" w:eastAsia="方正小标宋简体" w:cs="方正小标宋简体"/>
          <w:color w:val="auto"/>
          <w:sz w:val="44"/>
          <w:szCs w:val="44"/>
        </w:rPr>
      </w:pPr>
    </w:p>
    <w:p w14:paraId="11A7EED0">
      <w:pPr>
        <w:autoSpaceDE w:val="0"/>
        <w:adjustRightInd w:val="0"/>
        <w:snapToGrid w:val="0"/>
        <w:spacing w:line="600" w:lineRule="exact"/>
        <w:ind w:firstLine="640" w:firstLineChars="200"/>
        <w:rPr>
          <w:rFonts w:ascii="仿宋_GB2312" w:hAnsi="仿宋_GB2312" w:eastAsia="仿宋_GB2312"/>
          <w:color w:val="auto"/>
          <w:sz w:val="32"/>
          <w:szCs w:val="32"/>
        </w:rPr>
      </w:pPr>
      <w:r>
        <w:rPr>
          <w:rFonts w:hint="eastAsia" w:ascii="仿宋_GB2312" w:hAnsi="仿宋_GB2312" w:eastAsia="仿宋_GB2312"/>
          <w:color w:val="auto"/>
          <w:sz w:val="32"/>
          <w:szCs w:val="32"/>
        </w:rPr>
        <w:t>贯彻落实市委市政府《关于全面落实预算绩效管理的实施意见》（石发﹝2019﹞8号）文件精神，遵循“科学性、规范性、客观性和公正性”的原则，对石家庄市统计局</w:t>
      </w:r>
      <w:r>
        <w:rPr>
          <w:rFonts w:hint="eastAsia" w:ascii="仿宋_GB2312" w:hAnsi="仿宋_GB2312" w:eastAsia="仿宋_GB2312"/>
          <w:color w:val="auto"/>
          <w:sz w:val="32"/>
          <w:szCs w:val="32"/>
          <w:lang w:eastAsia="zh-CN"/>
        </w:rPr>
        <w:t>2024</w:t>
      </w:r>
      <w:r>
        <w:rPr>
          <w:rFonts w:hint="eastAsia" w:ascii="仿宋_GB2312" w:hAnsi="仿宋_GB2312" w:eastAsia="仿宋_GB2312"/>
          <w:color w:val="auto"/>
          <w:sz w:val="32"/>
          <w:szCs w:val="32"/>
        </w:rPr>
        <w:t>年整体支出情况实施了财政支出绩效自评。</w:t>
      </w:r>
    </w:p>
    <w:p w14:paraId="7CDD57C9">
      <w:pPr>
        <w:adjustRightInd w:val="0"/>
        <w:snapToGrid w:val="0"/>
        <w:spacing w:line="600" w:lineRule="exact"/>
        <w:ind w:firstLine="640" w:firstLineChars="200"/>
        <w:rPr>
          <w:rFonts w:ascii="仿宋_GB2312" w:hAnsi="仿宋_GB2312" w:eastAsia="黑体" w:cs="黑体"/>
          <w:bCs/>
          <w:color w:val="auto"/>
          <w:sz w:val="32"/>
          <w:szCs w:val="32"/>
        </w:rPr>
      </w:pPr>
      <w:r>
        <w:rPr>
          <w:rFonts w:hint="eastAsia" w:ascii="仿宋_GB2312" w:hAnsi="仿宋_GB2312" w:eastAsia="黑体" w:cs="黑体"/>
          <w:bCs/>
          <w:color w:val="auto"/>
          <w:sz w:val="32"/>
          <w:szCs w:val="32"/>
        </w:rPr>
        <w:t>一、部门基本情况</w:t>
      </w:r>
    </w:p>
    <w:p w14:paraId="29B27635">
      <w:pPr>
        <w:autoSpaceDE w:val="0"/>
        <w:adjustRightInd w:val="0"/>
        <w:snapToGrid w:val="0"/>
        <w:spacing w:line="600" w:lineRule="exact"/>
        <w:ind w:firstLine="643" w:firstLineChars="200"/>
        <w:rPr>
          <w:rFonts w:ascii="仿宋_GB2312" w:hAnsi="仿宋_GB2312" w:eastAsia="楷体_GB2312" w:cs="楷体_GB2312"/>
          <w:b/>
          <w:bCs/>
          <w:color w:val="auto"/>
          <w:sz w:val="32"/>
          <w:szCs w:val="32"/>
        </w:rPr>
      </w:pPr>
      <w:r>
        <w:rPr>
          <w:rFonts w:hint="eastAsia" w:ascii="仿宋_GB2312" w:hAnsi="仿宋_GB2312" w:eastAsia="楷体_GB2312" w:cs="楷体_GB2312"/>
          <w:b/>
          <w:bCs/>
          <w:color w:val="auto"/>
          <w:sz w:val="32"/>
          <w:szCs w:val="32"/>
        </w:rPr>
        <w:t>（一）部门概况</w:t>
      </w:r>
    </w:p>
    <w:p w14:paraId="5CA7ACEB">
      <w:pPr>
        <w:autoSpaceDE w:val="0"/>
        <w:adjustRightInd w:val="0"/>
        <w:snapToGrid w:val="0"/>
        <w:spacing w:line="600" w:lineRule="exact"/>
        <w:ind w:firstLine="643" w:firstLineChars="200"/>
        <w:rPr>
          <w:rFonts w:hint="eastAsia" w:ascii="仿宋_GB2312" w:hAnsi="仿宋_GB2312" w:eastAsia="仿宋_GB2312"/>
          <w:b/>
          <w:bCs/>
          <w:color w:val="auto"/>
          <w:sz w:val="32"/>
          <w:szCs w:val="32"/>
          <w:lang w:val="en-US" w:eastAsia="zh-CN"/>
        </w:rPr>
      </w:pPr>
      <w:r>
        <w:rPr>
          <w:rFonts w:ascii="仿宋_GB2312" w:hAnsi="仿宋_GB2312" w:eastAsia="仿宋_GB2312"/>
          <w:b/>
          <w:bCs/>
          <w:color w:val="auto"/>
          <w:sz w:val="32"/>
          <w:szCs w:val="32"/>
        </w:rPr>
        <w:t>1.</w:t>
      </w:r>
      <w:r>
        <w:rPr>
          <w:rFonts w:hint="eastAsia" w:ascii="仿宋_GB2312" w:hAnsi="仿宋_GB2312" w:eastAsia="仿宋_GB2312"/>
          <w:b/>
          <w:bCs/>
          <w:color w:val="auto"/>
          <w:sz w:val="32"/>
          <w:szCs w:val="32"/>
        </w:rPr>
        <w:t>部门职</w:t>
      </w:r>
      <w:r>
        <w:rPr>
          <w:rFonts w:hint="eastAsia" w:ascii="仿宋_GB2312" w:hAnsi="仿宋_GB2312" w:eastAsia="仿宋_GB2312"/>
          <w:b/>
          <w:bCs/>
          <w:color w:val="auto"/>
          <w:sz w:val="32"/>
          <w:szCs w:val="32"/>
          <w:lang w:eastAsia="zh-CN"/>
        </w:rPr>
        <w:t>能</w:t>
      </w:r>
    </w:p>
    <w:p w14:paraId="3E9E8EA8">
      <w:pPr>
        <w:autoSpaceDE w:val="0"/>
        <w:adjustRightInd w:val="0"/>
        <w:snapToGrid w:val="0"/>
        <w:spacing w:line="600" w:lineRule="exact"/>
        <w:ind w:firstLine="640" w:firstLineChars="200"/>
        <w:rPr>
          <w:rFonts w:ascii="仿宋_GB2312" w:hAnsi="仿宋_GB2312" w:eastAsia="仿宋_GB2312"/>
          <w:color w:val="auto"/>
          <w:sz w:val="32"/>
          <w:szCs w:val="32"/>
        </w:rPr>
      </w:pPr>
      <w:r>
        <w:rPr>
          <w:rFonts w:hint="eastAsia" w:ascii="仿宋_GB2312" w:hAnsi="仿宋_GB2312" w:eastAsia="仿宋_GB2312"/>
          <w:color w:val="auto"/>
          <w:sz w:val="32"/>
          <w:szCs w:val="32"/>
        </w:rPr>
        <w:t>（1）组织领导和协调全市统计工作，确保统计数据真实、准确、完整、及时。</w:t>
      </w:r>
    </w:p>
    <w:p w14:paraId="1E5BEAB3">
      <w:pPr>
        <w:autoSpaceDE w:val="0"/>
        <w:adjustRightInd w:val="0"/>
        <w:snapToGrid w:val="0"/>
        <w:spacing w:line="600" w:lineRule="exact"/>
        <w:ind w:firstLine="640" w:firstLineChars="200"/>
        <w:rPr>
          <w:rFonts w:ascii="仿宋_GB2312" w:hAnsi="仿宋_GB2312" w:eastAsia="仿宋_GB2312"/>
          <w:color w:val="auto"/>
          <w:sz w:val="32"/>
          <w:szCs w:val="32"/>
        </w:rPr>
      </w:pPr>
      <w:r>
        <w:rPr>
          <w:rFonts w:hint="eastAsia" w:ascii="仿宋_GB2312" w:hAnsi="仿宋_GB2312" w:eastAsia="仿宋_GB2312"/>
          <w:color w:val="auto"/>
          <w:sz w:val="32"/>
          <w:szCs w:val="32"/>
        </w:rPr>
        <w:t>（2）拟订统计工作方面的地方性法规、政府规章草案和统计改革方案，制定统计建设规划、统计调查计划、统计调查制度，负责统计行政执法工作，监督检查统计法律、法规贯彻实施情况，负责统计法律法规宣传教育，负责统计执法监督检查和“双随机”抽查，受理、办理、督办统计违法举报，依法查处统计违法案件，防范和惩治统计造假、弄虚作假行为。</w:t>
      </w:r>
    </w:p>
    <w:p w14:paraId="4BF362E4">
      <w:pPr>
        <w:autoSpaceDE w:val="0"/>
        <w:adjustRightInd w:val="0"/>
        <w:snapToGrid w:val="0"/>
        <w:spacing w:line="600" w:lineRule="exact"/>
        <w:ind w:firstLine="640" w:firstLineChars="200"/>
        <w:rPr>
          <w:rFonts w:ascii="仿宋_GB2312" w:hAnsi="仿宋_GB2312" w:eastAsia="仿宋_GB2312"/>
          <w:color w:val="auto"/>
          <w:sz w:val="32"/>
          <w:szCs w:val="32"/>
        </w:rPr>
        <w:sectPr>
          <w:headerReference r:id="rId3" w:type="default"/>
          <w:footerReference r:id="rId4" w:type="default"/>
          <w:pgSz w:w="11906" w:h="16838"/>
          <w:pgMar w:top="2835" w:right="1304" w:bottom="1701" w:left="1531" w:header="851" w:footer="992" w:gutter="0"/>
          <w:pgNumType w:fmt="decimal"/>
          <w:cols w:space="720" w:num="1"/>
          <w:docGrid w:type="lines" w:linePitch="312" w:charSpace="0"/>
        </w:sectPr>
      </w:pPr>
      <w:r>
        <w:rPr>
          <w:rFonts w:hint="eastAsia" w:ascii="仿宋_GB2312" w:hAnsi="仿宋_GB2312" w:eastAsia="仿宋_GB2312"/>
          <w:color w:val="auto"/>
          <w:sz w:val="32"/>
          <w:szCs w:val="32"/>
        </w:rPr>
        <w:t>（3）贯彻执行河北省国民经济核算制度，组织实施全市国民</w:t>
      </w:r>
    </w:p>
    <w:p w14:paraId="792F0F3E">
      <w:pPr>
        <w:autoSpaceDE w:val="0"/>
        <w:adjustRightInd w:val="0"/>
        <w:snapToGrid w:val="0"/>
        <w:spacing w:line="600" w:lineRule="exact"/>
        <w:rPr>
          <w:rFonts w:ascii="仿宋_GB2312" w:hAnsi="仿宋_GB2312" w:eastAsia="仿宋_GB2312"/>
          <w:color w:val="auto"/>
          <w:sz w:val="32"/>
          <w:szCs w:val="32"/>
        </w:rPr>
      </w:pPr>
      <w:r>
        <w:rPr>
          <w:rFonts w:hint="eastAsia" w:ascii="仿宋_GB2312" w:hAnsi="仿宋_GB2312" w:eastAsia="仿宋_GB2312"/>
          <w:color w:val="auto"/>
          <w:sz w:val="32"/>
          <w:szCs w:val="32"/>
        </w:rPr>
        <w:t>经济核算和民营经济统计工作；统一核算全市及各县（市、区）地区生产总值及派生产业增加值；组织实施投入产出调查和编表工作；编制全市资产负债表；整理、测算和提供国民经济核算资料，监督管理全市国民经济核算工作。</w:t>
      </w:r>
    </w:p>
    <w:p w14:paraId="0FE15F6C">
      <w:pPr>
        <w:autoSpaceDE w:val="0"/>
        <w:adjustRightInd w:val="0"/>
        <w:snapToGrid w:val="0"/>
        <w:spacing w:line="600" w:lineRule="exact"/>
        <w:ind w:firstLine="640" w:firstLineChars="200"/>
        <w:rPr>
          <w:rFonts w:ascii="仿宋_GB2312" w:hAnsi="仿宋_GB2312" w:eastAsia="仿宋_GB2312"/>
          <w:color w:val="auto"/>
          <w:sz w:val="32"/>
          <w:szCs w:val="32"/>
        </w:rPr>
      </w:pPr>
      <w:r>
        <w:rPr>
          <w:rFonts w:hint="eastAsia" w:ascii="仿宋_GB2312" w:hAnsi="仿宋_GB2312" w:eastAsia="仿宋_GB2312"/>
          <w:color w:val="auto"/>
          <w:sz w:val="32"/>
          <w:szCs w:val="32"/>
        </w:rPr>
        <w:t>（4）拟订重大市情市力普查调查计划、方案，组织实施全市人口、经济、农业等重大普查调查，汇总、整理和提供有关市情市力方面的统计数据。</w:t>
      </w:r>
    </w:p>
    <w:p w14:paraId="56968E76">
      <w:pPr>
        <w:autoSpaceDE w:val="0"/>
        <w:adjustRightInd w:val="0"/>
        <w:snapToGrid w:val="0"/>
        <w:spacing w:line="600" w:lineRule="exact"/>
        <w:ind w:firstLine="640" w:firstLineChars="200"/>
        <w:rPr>
          <w:rFonts w:ascii="仿宋_GB2312" w:hAnsi="仿宋_GB2312" w:eastAsia="仿宋_GB2312"/>
          <w:color w:val="auto"/>
          <w:sz w:val="32"/>
          <w:szCs w:val="32"/>
        </w:rPr>
      </w:pPr>
      <w:r>
        <w:rPr>
          <w:rFonts w:hint="eastAsia" w:ascii="仿宋_GB2312" w:hAnsi="仿宋_GB2312" w:eastAsia="仿宋_GB2312"/>
          <w:color w:val="auto"/>
          <w:sz w:val="32"/>
          <w:szCs w:val="32"/>
        </w:rPr>
        <w:t>（5）组织实施全市农林牧渔业、工业、建筑业、批发和零售业、住宿和餐饮业、房地产、服务业及能源、投资、消费、人口和城镇化率、劳动工资、就业、社会、科技、文化产业、城市基本情况、县乡村三级社会经济基本情况、资源环境、战略性新兴产业、高新技术产业、民营经济等统计调查，收集、汇总、整理和提供统计数据。</w:t>
      </w:r>
    </w:p>
    <w:p w14:paraId="00B7F57A">
      <w:pPr>
        <w:autoSpaceDE w:val="0"/>
        <w:adjustRightInd w:val="0"/>
        <w:snapToGrid w:val="0"/>
        <w:spacing w:line="600" w:lineRule="exact"/>
        <w:ind w:firstLine="640" w:firstLineChars="200"/>
        <w:rPr>
          <w:rFonts w:ascii="仿宋_GB2312" w:hAnsi="仿宋_GB2312" w:eastAsia="仿宋_GB2312"/>
          <w:color w:val="auto"/>
          <w:sz w:val="32"/>
          <w:szCs w:val="32"/>
        </w:rPr>
      </w:pPr>
      <w:r>
        <w:rPr>
          <w:rFonts w:hint="eastAsia" w:ascii="仿宋_GB2312" w:hAnsi="仿宋_GB2312" w:eastAsia="仿宋_GB2312"/>
          <w:color w:val="auto"/>
          <w:sz w:val="32"/>
          <w:szCs w:val="32"/>
        </w:rPr>
        <w:t>（6）组织实施县域经济发展、农业产业化、特色小镇、节能降耗、绿色发展、城镇化发展、妇女儿童监测、新产业新业态新商业模式（以下简称新经济）等统计监测，收集、整理和提供统计数据。</w:t>
      </w:r>
    </w:p>
    <w:p w14:paraId="7E720B9B">
      <w:pPr>
        <w:autoSpaceDE w:val="0"/>
        <w:adjustRightInd w:val="0"/>
        <w:snapToGrid w:val="0"/>
        <w:spacing w:line="600" w:lineRule="exact"/>
        <w:ind w:firstLine="640" w:firstLineChars="200"/>
        <w:rPr>
          <w:rFonts w:ascii="仿宋_GB2312" w:hAnsi="仿宋_GB2312" w:eastAsia="仿宋_GB2312"/>
          <w:color w:val="auto"/>
          <w:sz w:val="32"/>
          <w:szCs w:val="32"/>
        </w:rPr>
      </w:pPr>
      <w:r>
        <w:rPr>
          <w:rFonts w:hint="eastAsia" w:ascii="仿宋_GB2312" w:hAnsi="仿宋_GB2312" w:eastAsia="仿宋_GB2312"/>
          <w:color w:val="auto"/>
          <w:sz w:val="32"/>
          <w:szCs w:val="32"/>
        </w:rPr>
        <w:t>（7）综合整理和提供财政、金融、旅游、交通运输、邮政、文化、教育、体育、卫生、社会保障、公用事业、对外经济、收入、价格等基本统计数据。</w:t>
      </w:r>
    </w:p>
    <w:p w14:paraId="77E513B7">
      <w:pPr>
        <w:autoSpaceDE w:val="0"/>
        <w:adjustRightInd w:val="0"/>
        <w:snapToGrid w:val="0"/>
        <w:spacing w:line="600" w:lineRule="exact"/>
        <w:ind w:firstLine="640" w:firstLineChars="200"/>
        <w:rPr>
          <w:rFonts w:ascii="仿宋_GB2312" w:hAnsi="仿宋_GB2312" w:eastAsia="仿宋_GB2312"/>
          <w:color w:val="auto"/>
          <w:sz w:val="32"/>
          <w:szCs w:val="32"/>
        </w:rPr>
      </w:pPr>
      <w:r>
        <w:rPr>
          <w:rFonts w:hint="eastAsia" w:ascii="仿宋_GB2312" w:hAnsi="仿宋_GB2312" w:eastAsia="仿宋_GB2312"/>
          <w:color w:val="auto"/>
          <w:sz w:val="32"/>
          <w:szCs w:val="32"/>
        </w:rPr>
        <w:t>（8）组织各县（市、区）和各部门的经济、社会、科技、服务业统计调查，统一核定、管理、公布全市性基本统计资料，定期发布全市国民经济和社会发展情况的统计信息，组织建立统计信息共享制度和发布制度。</w:t>
      </w:r>
    </w:p>
    <w:p w14:paraId="668066E4">
      <w:pPr>
        <w:autoSpaceDE w:val="0"/>
        <w:adjustRightInd w:val="0"/>
        <w:snapToGrid w:val="0"/>
        <w:spacing w:line="600" w:lineRule="exact"/>
        <w:ind w:firstLine="640" w:firstLineChars="200"/>
        <w:rPr>
          <w:rFonts w:ascii="仿宋_GB2312" w:hAnsi="仿宋_GB2312" w:eastAsia="仿宋_GB2312"/>
          <w:color w:val="auto"/>
          <w:sz w:val="32"/>
          <w:szCs w:val="32"/>
        </w:rPr>
      </w:pPr>
      <w:r>
        <w:rPr>
          <w:rFonts w:hint="eastAsia" w:ascii="仿宋_GB2312" w:hAnsi="仿宋_GB2312" w:eastAsia="仿宋_GB2312"/>
          <w:color w:val="auto"/>
          <w:sz w:val="32"/>
          <w:szCs w:val="32"/>
        </w:rPr>
        <w:t>（9）对国民经济、社会发展、科技进步和资源环境等情况进行统计分析、统计预测和统计监督，向市委、市政府及有关部门提供统计信息和咨询建议。</w:t>
      </w:r>
    </w:p>
    <w:p w14:paraId="041E8329">
      <w:pPr>
        <w:autoSpaceDE w:val="0"/>
        <w:adjustRightInd w:val="0"/>
        <w:snapToGrid w:val="0"/>
        <w:spacing w:line="600" w:lineRule="exact"/>
        <w:ind w:firstLine="640" w:firstLineChars="200"/>
        <w:rPr>
          <w:rFonts w:ascii="仿宋_GB2312" w:hAnsi="仿宋_GB2312" w:eastAsia="仿宋_GB2312"/>
          <w:color w:val="auto"/>
          <w:sz w:val="32"/>
          <w:szCs w:val="32"/>
        </w:rPr>
      </w:pPr>
      <w:r>
        <w:rPr>
          <w:rFonts w:hint="eastAsia" w:ascii="仿宋_GB2312" w:hAnsi="仿宋_GB2312" w:eastAsia="仿宋_GB2312"/>
          <w:color w:val="auto"/>
          <w:sz w:val="32"/>
          <w:szCs w:val="32"/>
        </w:rPr>
        <w:t>（1</w:t>
      </w:r>
      <w:r>
        <w:rPr>
          <w:rFonts w:ascii="仿宋_GB2312" w:hAnsi="仿宋_GB2312" w:eastAsia="仿宋_GB2312"/>
          <w:color w:val="auto"/>
          <w:sz w:val="32"/>
          <w:szCs w:val="32"/>
        </w:rPr>
        <w:t>0</w:t>
      </w:r>
      <w:r>
        <w:rPr>
          <w:rFonts w:hint="eastAsia" w:ascii="仿宋_GB2312" w:hAnsi="仿宋_GB2312" w:eastAsia="仿宋_GB2312"/>
          <w:color w:val="auto"/>
          <w:sz w:val="32"/>
          <w:szCs w:val="32"/>
        </w:rPr>
        <w:t>）依法审批管理部门和地方统计调查项目、调查计划、调查方案；组织指导专业统计基础工作、统计基层业务和规范化建设；组织建立统计信息管理制度，建立健全统计数据质量审核、监控和评估制度，开展对统计数据质量的检查和评估。</w:t>
      </w:r>
    </w:p>
    <w:p w14:paraId="60C64D1C">
      <w:pPr>
        <w:autoSpaceDE w:val="0"/>
        <w:adjustRightInd w:val="0"/>
        <w:snapToGrid w:val="0"/>
        <w:spacing w:line="600" w:lineRule="exact"/>
        <w:ind w:firstLine="640" w:firstLineChars="200"/>
        <w:rPr>
          <w:rFonts w:ascii="仿宋_GB2312" w:hAnsi="仿宋_GB2312" w:eastAsia="仿宋_GB2312"/>
          <w:color w:val="auto"/>
          <w:sz w:val="32"/>
          <w:szCs w:val="32"/>
        </w:rPr>
      </w:pPr>
      <w:r>
        <w:rPr>
          <w:rFonts w:hint="eastAsia" w:ascii="仿宋_GB2312" w:hAnsi="仿宋_GB2312" w:eastAsia="仿宋_GB2312"/>
          <w:color w:val="auto"/>
          <w:sz w:val="32"/>
          <w:szCs w:val="32"/>
        </w:rPr>
        <w:t>（1</w:t>
      </w:r>
      <w:r>
        <w:rPr>
          <w:rFonts w:ascii="仿宋_GB2312" w:hAnsi="仿宋_GB2312" w:eastAsia="仿宋_GB2312"/>
          <w:color w:val="auto"/>
          <w:sz w:val="32"/>
          <w:szCs w:val="32"/>
        </w:rPr>
        <w:t>1</w:t>
      </w:r>
      <w:r>
        <w:rPr>
          <w:rFonts w:hint="eastAsia" w:ascii="仿宋_GB2312" w:hAnsi="仿宋_GB2312" w:eastAsia="仿宋_GB2312"/>
          <w:color w:val="auto"/>
          <w:sz w:val="32"/>
          <w:szCs w:val="32"/>
        </w:rPr>
        <w:t>）负责全市统计信息化系统和统计数据库体系建设工作，管理全市统计数据库网络，组织全市统计信息化系统建设。</w:t>
      </w:r>
    </w:p>
    <w:p w14:paraId="36B0876A">
      <w:pPr>
        <w:autoSpaceDE w:val="0"/>
        <w:adjustRightInd w:val="0"/>
        <w:snapToGrid w:val="0"/>
        <w:spacing w:line="600" w:lineRule="exact"/>
        <w:ind w:firstLine="640" w:firstLineChars="200"/>
        <w:rPr>
          <w:rFonts w:ascii="仿宋_GB2312" w:hAnsi="仿宋_GB2312" w:eastAsia="仿宋_GB2312"/>
          <w:color w:val="auto"/>
          <w:sz w:val="32"/>
          <w:szCs w:val="32"/>
        </w:rPr>
      </w:pPr>
      <w:r>
        <w:rPr>
          <w:rFonts w:hint="eastAsia" w:ascii="仿宋_GB2312" w:hAnsi="仿宋_GB2312" w:eastAsia="仿宋_GB2312"/>
          <w:color w:val="auto"/>
          <w:sz w:val="32"/>
          <w:szCs w:val="32"/>
        </w:rPr>
        <w:t>（1</w:t>
      </w:r>
      <w:r>
        <w:rPr>
          <w:rFonts w:ascii="仿宋_GB2312" w:hAnsi="仿宋_GB2312" w:eastAsia="仿宋_GB2312"/>
          <w:color w:val="auto"/>
          <w:sz w:val="32"/>
          <w:szCs w:val="32"/>
        </w:rPr>
        <w:t>2</w:t>
      </w:r>
      <w:r>
        <w:rPr>
          <w:rFonts w:hint="eastAsia" w:ascii="仿宋_GB2312" w:hAnsi="仿宋_GB2312" w:eastAsia="仿宋_GB2312"/>
          <w:color w:val="auto"/>
          <w:sz w:val="32"/>
          <w:szCs w:val="32"/>
        </w:rPr>
        <w:t>）协助管理县（市、区）统计部门领导班子；指导县（市、区）地方调查队业务工作；指导名录库建设、全面建成小康社会统计监测、社情民意调查等工作；监督管理全市中央统计经费和市财政提供的统计经费。</w:t>
      </w:r>
    </w:p>
    <w:p w14:paraId="13EED777">
      <w:pPr>
        <w:autoSpaceDE w:val="0"/>
        <w:adjustRightInd w:val="0"/>
        <w:snapToGrid w:val="0"/>
        <w:spacing w:line="600" w:lineRule="exact"/>
        <w:ind w:firstLine="640" w:firstLineChars="200"/>
        <w:rPr>
          <w:rFonts w:ascii="仿宋_GB2312" w:hAnsi="仿宋_GB2312" w:eastAsia="仿宋_GB2312"/>
          <w:color w:val="auto"/>
          <w:sz w:val="32"/>
          <w:szCs w:val="32"/>
        </w:rPr>
      </w:pPr>
      <w:r>
        <w:rPr>
          <w:rFonts w:hint="eastAsia" w:ascii="仿宋_GB2312" w:hAnsi="仿宋_GB2312" w:eastAsia="仿宋_GB2312"/>
          <w:color w:val="auto"/>
          <w:sz w:val="32"/>
          <w:szCs w:val="32"/>
        </w:rPr>
        <w:t>（1</w:t>
      </w:r>
      <w:r>
        <w:rPr>
          <w:rFonts w:ascii="仿宋_GB2312" w:hAnsi="仿宋_GB2312" w:eastAsia="仿宋_GB2312"/>
          <w:color w:val="auto"/>
          <w:sz w:val="32"/>
          <w:szCs w:val="32"/>
        </w:rPr>
        <w:t>3</w:t>
      </w:r>
      <w:r>
        <w:rPr>
          <w:rFonts w:hint="eastAsia" w:ascii="仿宋_GB2312" w:hAnsi="仿宋_GB2312" w:eastAsia="仿宋_GB2312"/>
          <w:color w:val="auto"/>
          <w:sz w:val="32"/>
          <w:szCs w:val="32"/>
        </w:rPr>
        <w:t>）负责规模以下工业抽样调查，规模以下工业企业成本费用调查、建筑业小微企业抽样调查、小微企业固定资产投资情况调查，规模以下企业创新调查、限额以下批发零售住宿餐饮行业抽样与问卷调查，规模以下服务业抽样调查，并开展调查情况分析研究。</w:t>
      </w:r>
    </w:p>
    <w:p w14:paraId="666C7934">
      <w:pPr>
        <w:autoSpaceDE w:val="0"/>
        <w:adjustRightInd w:val="0"/>
        <w:snapToGrid w:val="0"/>
        <w:spacing w:line="600" w:lineRule="exact"/>
        <w:ind w:firstLine="640" w:firstLineChars="200"/>
        <w:rPr>
          <w:rFonts w:ascii="仿宋_GB2312" w:hAnsi="仿宋_GB2312" w:eastAsia="仿宋_GB2312"/>
          <w:color w:val="auto"/>
          <w:sz w:val="32"/>
          <w:szCs w:val="32"/>
        </w:rPr>
      </w:pPr>
      <w:r>
        <w:rPr>
          <w:rFonts w:hint="eastAsia" w:ascii="仿宋_GB2312" w:hAnsi="仿宋_GB2312" w:eastAsia="仿宋_GB2312"/>
          <w:color w:val="auto"/>
          <w:sz w:val="32"/>
          <w:szCs w:val="32"/>
        </w:rPr>
        <w:t>（1</w:t>
      </w:r>
      <w:r>
        <w:rPr>
          <w:rFonts w:ascii="仿宋_GB2312" w:hAnsi="仿宋_GB2312" w:eastAsia="仿宋_GB2312"/>
          <w:color w:val="auto"/>
          <w:sz w:val="32"/>
          <w:szCs w:val="32"/>
        </w:rPr>
        <w:t>4</w:t>
      </w:r>
      <w:r>
        <w:rPr>
          <w:rFonts w:hint="eastAsia" w:ascii="仿宋_GB2312" w:hAnsi="仿宋_GB2312" w:eastAsia="仿宋_GB2312"/>
          <w:color w:val="auto"/>
          <w:sz w:val="32"/>
          <w:szCs w:val="32"/>
        </w:rPr>
        <w:t>）完成市委、市政府和省统计局交办的其他任务。</w:t>
      </w:r>
    </w:p>
    <w:p w14:paraId="3E4D70D6">
      <w:pPr>
        <w:autoSpaceDE w:val="0"/>
        <w:adjustRightInd w:val="0"/>
        <w:snapToGrid w:val="0"/>
        <w:spacing w:line="600" w:lineRule="exact"/>
        <w:ind w:firstLine="643" w:firstLineChars="200"/>
        <w:rPr>
          <w:rFonts w:ascii="仿宋_GB2312" w:hAnsi="仿宋_GB2312" w:eastAsia="仿宋_GB2312"/>
          <w:b/>
          <w:bCs/>
          <w:color w:val="auto"/>
          <w:sz w:val="32"/>
          <w:szCs w:val="32"/>
        </w:rPr>
      </w:pPr>
      <w:r>
        <w:rPr>
          <w:rFonts w:hint="eastAsia" w:ascii="仿宋_GB2312" w:hAnsi="仿宋_GB2312" w:eastAsia="仿宋_GB2312"/>
          <w:b/>
          <w:bCs/>
          <w:color w:val="auto"/>
          <w:sz w:val="32"/>
          <w:szCs w:val="32"/>
        </w:rPr>
        <w:t>2.组织机构及人员情况</w:t>
      </w:r>
    </w:p>
    <w:p w14:paraId="142DC346">
      <w:pPr>
        <w:autoSpaceDE w:val="0"/>
        <w:spacing w:line="600" w:lineRule="exact"/>
        <w:ind w:firstLine="640" w:firstLineChars="200"/>
        <w:rPr>
          <w:rFonts w:ascii="仿宋_GB2312" w:hAnsi="仿宋_GB2312" w:eastAsia="仿宋_GB2312" w:cs="黑体"/>
          <w:color w:val="auto"/>
          <w:sz w:val="32"/>
          <w:szCs w:val="32"/>
        </w:rPr>
      </w:pPr>
      <w:r>
        <w:rPr>
          <w:rFonts w:hint="eastAsia" w:ascii="仿宋_GB2312" w:hAnsi="仿宋_GB2312" w:eastAsia="仿宋_GB2312" w:cs="黑体"/>
          <w:color w:val="auto"/>
          <w:sz w:val="32"/>
          <w:szCs w:val="32"/>
        </w:rPr>
        <w:t>石家庄市统计局是正县级行政单位，下属两个副县级</w:t>
      </w:r>
      <w:r>
        <w:rPr>
          <w:rFonts w:ascii="仿宋_GB2312" w:hAnsi="仿宋_GB2312" w:eastAsia="仿宋_GB2312" w:cs="黑体"/>
          <w:color w:val="auto"/>
          <w:sz w:val="32"/>
          <w:szCs w:val="32"/>
        </w:rPr>
        <w:t>参公事业单位</w:t>
      </w:r>
      <w:r>
        <w:rPr>
          <w:rFonts w:hint="eastAsia" w:ascii="仿宋_GB2312" w:hAnsi="仿宋_GB2312" w:eastAsia="仿宋_GB2312" w:cs="黑体"/>
          <w:color w:val="auto"/>
          <w:sz w:val="32"/>
          <w:szCs w:val="32"/>
        </w:rPr>
        <w:t>（石家庄市</w:t>
      </w:r>
      <w:r>
        <w:rPr>
          <w:rFonts w:ascii="仿宋_GB2312" w:hAnsi="仿宋_GB2312" w:eastAsia="仿宋_GB2312" w:cs="黑体"/>
          <w:color w:val="auto"/>
          <w:sz w:val="32"/>
          <w:szCs w:val="32"/>
        </w:rPr>
        <w:t>普查中心、石家庄市统计数据中心</w:t>
      </w:r>
      <w:r>
        <w:rPr>
          <w:rFonts w:hint="eastAsia" w:ascii="仿宋_GB2312" w:hAnsi="仿宋_GB2312" w:eastAsia="仿宋_GB2312" w:cs="黑体"/>
          <w:color w:val="auto"/>
          <w:sz w:val="32"/>
          <w:szCs w:val="32"/>
        </w:rPr>
        <w:t>）</w:t>
      </w:r>
      <w:r>
        <w:rPr>
          <w:rFonts w:ascii="仿宋_GB2312" w:hAnsi="仿宋_GB2312" w:eastAsia="仿宋_GB2312" w:cs="黑体"/>
          <w:color w:val="auto"/>
          <w:sz w:val="32"/>
          <w:szCs w:val="32"/>
        </w:rPr>
        <w:t>、两个</w:t>
      </w:r>
      <w:r>
        <w:rPr>
          <w:rFonts w:hint="eastAsia" w:ascii="仿宋_GB2312" w:hAnsi="仿宋_GB2312" w:eastAsia="仿宋_GB2312" w:cs="黑体"/>
          <w:color w:val="auto"/>
          <w:sz w:val="32"/>
          <w:szCs w:val="32"/>
        </w:rPr>
        <w:t>正科级事业单位（石家庄市</w:t>
      </w:r>
      <w:r>
        <w:rPr>
          <w:rFonts w:ascii="仿宋_GB2312" w:hAnsi="仿宋_GB2312" w:eastAsia="仿宋_GB2312" w:cs="黑体"/>
          <w:color w:val="auto"/>
          <w:sz w:val="32"/>
          <w:szCs w:val="32"/>
        </w:rPr>
        <w:t>统计信息中心、</w:t>
      </w:r>
      <w:r>
        <w:rPr>
          <w:rFonts w:hint="eastAsia" w:ascii="仿宋_GB2312" w:hAnsi="仿宋_GB2312" w:eastAsia="仿宋_GB2312" w:cs="黑体"/>
          <w:color w:val="auto"/>
          <w:sz w:val="32"/>
          <w:szCs w:val="32"/>
        </w:rPr>
        <w:t>石家庄市</w:t>
      </w:r>
      <w:r>
        <w:rPr>
          <w:rFonts w:ascii="仿宋_GB2312" w:hAnsi="仿宋_GB2312" w:eastAsia="仿宋_GB2312" w:cs="黑体"/>
          <w:color w:val="auto"/>
          <w:sz w:val="32"/>
          <w:szCs w:val="32"/>
        </w:rPr>
        <w:t>统计信息</w:t>
      </w:r>
      <w:r>
        <w:rPr>
          <w:rFonts w:hint="eastAsia" w:ascii="仿宋_GB2312" w:hAnsi="仿宋_GB2312" w:eastAsia="仿宋_GB2312" w:cs="黑体"/>
          <w:color w:val="auto"/>
          <w:sz w:val="32"/>
          <w:szCs w:val="32"/>
        </w:rPr>
        <w:t>服务教育</w:t>
      </w:r>
      <w:r>
        <w:rPr>
          <w:rFonts w:ascii="仿宋_GB2312" w:hAnsi="仿宋_GB2312" w:eastAsia="仿宋_GB2312" w:cs="黑体"/>
          <w:color w:val="auto"/>
          <w:sz w:val="32"/>
          <w:szCs w:val="32"/>
        </w:rPr>
        <w:t>中心</w:t>
      </w:r>
      <w:r>
        <w:rPr>
          <w:rFonts w:hint="eastAsia" w:ascii="仿宋_GB2312" w:hAnsi="仿宋_GB2312" w:eastAsia="仿宋_GB2312" w:cs="黑体"/>
          <w:color w:val="auto"/>
          <w:sz w:val="32"/>
          <w:szCs w:val="32"/>
        </w:rPr>
        <w:t>），经费保障形式为财政性资金定额补助。</w:t>
      </w:r>
    </w:p>
    <w:p w14:paraId="2ED12907">
      <w:pPr>
        <w:autoSpaceDE w:val="0"/>
        <w:spacing w:line="600" w:lineRule="exact"/>
        <w:ind w:firstLine="640" w:firstLineChars="200"/>
        <w:rPr>
          <w:rFonts w:hint="eastAsia" w:ascii="仿宋_GB2312" w:hAnsi="仿宋_GB2312" w:eastAsia="仿宋_GB2312" w:cs="黑体"/>
          <w:color w:val="auto"/>
          <w:sz w:val="32"/>
          <w:szCs w:val="32"/>
        </w:rPr>
      </w:pPr>
      <w:r>
        <w:rPr>
          <w:rFonts w:hint="eastAsia" w:ascii="仿宋_GB2312" w:hAnsi="仿宋_GB2312" w:eastAsia="仿宋_GB2312" w:cs="黑体"/>
          <w:color w:val="auto"/>
          <w:sz w:val="32"/>
          <w:szCs w:val="32"/>
        </w:rPr>
        <w:t>（1）人员情况。我局编制</w:t>
      </w:r>
      <w:r>
        <w:rPr>
          <w:rFonts w:hint="eastAsia" w:ascii="仿宋_GB2312" w:hAnsi="仿宋_GB2312" w:eastAsia="仿宋_GB2312" w:cs="黑体"/>
          <w:color w:val="auto"/>
          <w:sz w:val="32"/>
          <w:szCs w:val="32"/>
          <w:lang w:val="en-US" w:eastAsia="zh-CN"/>
        </w:rPr>
        <w:t>124</w:t>
      </w:r>
      <w:r>
        <w:rPr>
          <w:rFonts w:hint="eastAsia" w:ascii="仿宋_GB2312" w:hAnsi="仿宋_GB2312" w:eastAsia="仿宋_GB2312" w:cs="黑体"/>
          <w:color w:val="auto"/>
          <w:sz w:val="32"/>
          <w:szCs w:val="32"/>
        </w:rPr>
        <w:t>人，其中，行政编制</w:t>
      </w:r>
      <w:r>
        <w:rPr>
          <w:rFonts w:hint="eastAsia" w:ascii="仿宋_GB2312" w:hAnsi="仿宋_GB2312" w:eastAsia="仿宋_GB2312" w:cs="黑体"/>
          <w:color w:val="auto"/>
          <w:sz w:val="32"/>
          <w:szCs w:val="32"/>
          <w:lang w:val="en-US" w:eastAsia="zh-CN"/>
        </w:rPr>
        <w:t>55</w:t>
      </w:r>
      <w:r>
        <w:rPr>
          <w:rFonts w:hint="eastAsia" w:ascii="仿宋_GB2312" w:hAnsi="仿宋_GB2312" w:eastAsia="仿宋_GB2312" w:cs="黑体"/>
          <w:color w:val="auto"/>
          <w:sz w:val="32"/>
          <w:szCs w:val="32"/>
        </w:rPr>
        <w:t>人，参公编制48人，事业编制21人。</w:t>
      </w:r>
    </w:p>
    <w:p w14:paraId="62B2A88A">
      <w:pPr>
        <w:autoSpaceDE w:val="0"/>
        <w:spacing w:line="600" w:lineRule="exact"/>
        <w:ind w:firstLine="640" w:firstLineChars="200"/>
        <w:rPr>
          <w:rFonts w:ascii="仿宋_GB2312" w:hAnsi="仿宋_GB2312" w:eastAsia="仿宋_GB2312" w:cs="黑体"/>
          <w:color w:val="auto"/>
          <w:sz w:val="32"/>
          <w:szCs w:val="32"/>
        </w:rPr>
      </w:pPr>
      <w:r>
        <w:rPr>
          <w:rFonts w:hint="eastAsia" w:ascii="仿宋_GB2312" w:hAnsi="仿宋_GB2312" w:eastAsia="仿宋_GB2312" w:cs="黑体"/>
          <w:color w:val="auto"/>
          <w:sz w:val="32"/>
          <w:szCs w:val="32"/>
        </w:rPr>
        <w:t>（2）部门构成。石家庄市统计局现有科室</w:t>
      </w:r>
      <w:r>
        <w:rPr>
          <w:rFonts w:ascii="仿宋_GB2312" w:hAnsi="仿宋_GB2312" w:eastAsia="仿宋_GB2312" w:cs="黑体"/>
          <w:color w:val="auto"/>
          <w:sz w:val="32"/>
          <w:szCs w:val="32"/>
        </w:rPr>
        <w:t>24</w:t>
      </w:r>
      <w:r>
        <w:rPr>
          <w:rFonts w:hint="eastAsia" w:ascii="仿宋_GB2312" w:hAnsi="仿宋_GB2312" w:eastAsia="仿宋_GB2312" w:cs="黑体"/>
          <w:color w:val="auto"/>
          <w:sz w:val="32"/>
          <w:szCs w:val="32"/>
        </w:rPr>
        <w:t>个。</w:t>
      </w:r>
    </w:p>
    <w:p w14:paraId="3113380C">
      <w:pPr>
        <w:autoSpaceDE w:val="0"/>
        <w:spacing w:line="600" w:lineRule="exact"/>
        <w:ind w:firstLine="640" w:firstLineChars="200"/>
        <w:rPr>
          <w:rFonts w:ascii="仿宋_GB2312" w:hAnsi="仿宋_GB2312" w:eastAsia="仿宋_GB2312" w:cs="黑体"/>
          <w:color w:val="auto"/>
          <w:sz w:val="32"/>
          <w:szCs w:val="32"/>
        </w:rPr>
      </w:pPr>
      <w:r>
        <w:rPr>
          <w:rFonts w:hint="eastAsia" w:ascii="仿宋_GB2312" w:hAnsi="仿宋_GB2312" w:eastAsia="仿宋_GB2312" w:cs="黑体"/>
          <w:color w:val="auto"/>
          <w:sz w:val="32"/>
          <w:szCs w:val="32"/>
        </w:rPr>
        <w:t>（3）车辆情况。现有车辆编制</w:t>
      </w:r>
      <w:r>
        <w:rPr>
          <w:rFonts w:ascii="仿宋_GB2312" w:hAnsi="仿宋_GB2312" w:eastAsia="仿宋_GB2312" w:cs="黑体"/>
          <w:color w:val="auto"/>
          <w:sz w:val="32"/>
          <w:szCs w:val="32"/>
        </w:rPr>
        <w:t>6</w:t>
      </w:r>
      <w:r>
        <w:rPr>
          <w:rFonts w:hint="eastAsia" w:ascii="仿宋_GB2312" w:hAnsi="仿宋_GB2312" w:eastAsia="仿宋_GB2312" w:cs="黑体"/>
          <w:color w:val="auto"/>
          <w:sz w:val="32"/>
          <w:szCs w:val="32"/>
        </w:rPr>
        <w:t>辆，其中自有</w:t>
      </w:r>
      <w:r>
        <w:rPr>
          <w:rFonts w:ascii="仿宋_GB2312" w:hAnsi="仿宋_GB2312" w:eastAsia="仿宋_GB2312" w:cs="黑体"/>
          <w:color w:val="auto"/>
          <w:sz w:val="32"/>
          <w:szCs w:val="32"/>
        </w:rPr>
        <w:t>车辆6</w:t>
      </w:r>
      <w:r>
        <w:rPr>
          <w:rFonts w:hint="eastAsia" w:ascii="仿宋_GB2312" w:hAnsi="仿宋_GB2312" w:eastAsia="仿宋_GB2312" w:cs="黑体"/>
          <w:color w:val="auto"/>
          <w:sz w:val="32"/>
          <w:szCs w:val="32"/>
        </w:rPr>
        <w:t>辆</w:t>
      </w:r>
      <w:r>
        <w:rPr>
          <w:rFonts w:ascii="仿宋_GB2312" w:hAnsi="仿宋_GB2312" w:eastAsia="仿宋_GB2312" w:cs="黑体"/>
          <w:color w:val="auto"/>
          <w:sz w:val="32"/>
          <w:szCs w:val="32"/>
        </w:rPr>
        <w:t>（</w:t>
      </w:r>
      <w:r>
        <w:rPr>
          <w:rFonts w:hint="eastAsia" w:ascii="仿宋_GB2312" w:hAnsi="仿宋_GB2312" w:eastAsia="仿宋_GB2312" w:cs="黑体"/>
          <w:color w:val="auto"/>
          <w:sz w:val="32"/>
          <w:szCs w:val="32"/>
        </w:rPr>
        <w:t>离退休干部服务用车</w:t>
      </w:r>
      <w:r>
        <w:rPr>
          <w:rFonts w:ascii="仿宋_GB2312" w:hAnsi="仿宋_GB2312" w:eastAsia="仿宋_GB2312" w:cs="黑体"/>
          <w:color w:val="auto"/>
          <w:sz w:val="32"/>
          <w:szCs w:val="32"/>
        </w:rPr>
        <w:t>2</w:t>
      </w:r>
      <w:r>
        <w:rPr>
          <w:rFonts w:hint="eastAsia" w:ascii="仿宋_GB2312" w:hAnsi="仿宋_GB2312" w:eastAsia="仿宋_GB2312" w:cs="黑体"/>
          <w:color w:val="auto"/>
          <w:sz w:val="32"/>
          <w:szCs w:val="32"/>
        </w:rPr>
        <w:t>辆、机要应急车</w:t>
      </w:r>
      <w:r>
        <w:rPr>
          <w:rFonts w:ascii="仿宋_GB2312" w:hAnsi="仿宋_GB2312" w:eastAsia="仿宋_GB2312" w:cs="黑体"/>
          <w:color w:val="auto"/>
          <w:sz w:val="32"/>
          <w:szCs w:val="32"/>
        </w:rPr>
        <w:t>3</w:t>
      </w:r>
      <w:r>
        <w:rPr>
          <w:rFonts w:hint="eastAsia" w:ascii="仿宋_GB2312" w:hAnsi="仿宋_GB2312" w:eastAsia="仿宋_GB2312" w:cs="黑体"/>
          <w:color w:val="auto"/>
          <w:sz w:val="32"/>
          <w:szCs w:val="32"/>
        </w:rPr>
        <w:t>辆、行政执法车</w:t>
      </w:r>
      <w:r>
        <w:rPr>
          <w:rFonts w:ascii="仿宋_GB2312" w:hAnsi="仿宋_GB2312" w:eastAsia="仿宋_GB2312" w:cs="黑体"/>
          <w:color w:val="auto"/>
          <w:sz w:val="32"/>
          <w:szCs w:val="32"/>
        </w:rPr>
        <w:t>1</w:t>
      </w:r>
      <w:r>
        <w:rPr>
          <w:rFonts w:hint="eastAsia" w:ascii="仿宋_GB2312" w:hAnsi="仿宋_GB2312" w:eastAsia="仿宋_GB2312" w:cs="黑体"/>
          <w:color w:val="auto"/>
          <w:sz w:val="32"/>
          <w:szCs w:val="32"/>
        </w:rPr>
        <w:t>辆</w:t>
      </w:r>
      <w:r>
        <w:rPr>
          <w:rFonts w:ascii="仿宋_GB2312" w:hAnsi="仿宋_GB2312" w:eastAsia="仿宋_GB2312" w:cs="黑体"/>
          <w:color w:val="auto"/>
          <w:sz w:val="32"/>
          <w:szCs w:val="32"/>
        </w:rPr>
        <w:t>）</w:t>
      </w:r>
      <w:r>
        <w:rPr>
          <w:rFonts w:hint="eastAsia" w:ascii="仿宋_GB2312" w:hAnsi="仿宋_GB2312" w:eastAsia="仿宋_GB2312" w:cs="黑体"/>
          <w:color w:val="auto"/>
          <w:sz w:val="32"/>
          <w:szCs w:val="32"/>
        </w:rPr>
        <w:t xml:space="preserve">。 </w:t>
      </w:r>
    </w:p>
    <w:p w14:paraId="3DCBC9E4">
      <w:pPr>
        <w:autoSpaceDE w:val="0"/>
        <w:adjustRightInd w:val="0"/>
        <w:snapToGrid w:val="0"/>
        <w:spacing w:line="600" w:lineRule="exact"/>
        <w:ind w:firstLine="643" w:firstLineChars="200"/>
        <w:rPr>
          <w:rFonts w:ascii="仿宋_GB2312" w:hAnsi="仿宋_GB2312" w:eastAsia="楷体_GB2312" w:cs="楷体_GB2312"/>
          <w:b/>
          <w:bCs/>
          <w:color w:val="auto"/>
          <w:sz w:val="32"/>
          <w:szCs w:val="32"/>
        </w:rPr>
      </w:pPr>
      <w:r>
        <w:rPr>
          <w:rFonts w:hint="eastAsia" w:ascii="仿宋_GB2312" w:hAnsi="仿宋_GB2312" w:eastAsia="楷体_GB2312" w:cs="楷体_GB2312"/>
          <w:b/>
          <w:bCs/>
          <w:color w:val="auto"/>
          <w:sz w:val="32"/>
          <w:szCs w:val="32"/>
        </w:rPr>
        <w:t>（二）部门收支预决算情况</w:t>
      </w:r>
    </w:p>
    <w:p w14:paraId="2C65582B">
      <w:pPr>
        <w:autoSpaceDE w:val="0"/>
        <w:adjustRightInd w:val="0"/>
        <w:snapToGrid w:val="0"/>
        <w:spacing w:line="600" w:lineRule="exact"/>
        <w:ind w:firstLine="640" w:firstLineChars="200"/>
        <w:rPr>
          <w:rFonts w:ascii="仿宋_GB2312" w:hAnsi="仿宋_GB2312" w:eastAsia="仿宋_GB2312" w:cs="黑体"/>
          <w:color w:val="auto"/>
          <w:sz w:val="32"/>
          <w:szCs w:val="32"/>
          <w:highlight w:val="none"/>
        </w:rPr>
      </w:pPr>
      <w:r>
        <w:rPr>
          <w:rFonts w:hint="eastAsia" w:ascii="仿宋_GB2312" w:hAnsi="仿宋_GB2312" w:eastAsia="仿宋_GB2312" w:cs="黑体"/>
          <w:color w:val="auto"/>
          <w:sz w:val="32"/>
          <w:szCs w:val="32"/>
          <w:highlight w:val="none"/>
          <w:lang w:eastAsia="zh-CN"/>
        </w:rPr>
        <w:t>2024</w:t>
      </w:r>
      <w:r>
        <w:rPr>
          <w:rFonts w:hint="eastAsia" w:ascii="仿宋_GB2312" w:hAnsi="仿宋_GB2312" w:eastAsia="仿宋_GB2312" w:cs="黑体"/>
          <w:color w:val="auto"/>
          <w:sz w:val="32"/>
          <w:szCs w:val="32"/>
          <w:highlight w:val="none"/>
        </w:rPr>
        <w:t>年石家庄市统计局预算收入数</w:t>
      </w:r>
      <w:r>
        <w:rPr>
          <w:rFonts w:hint="eastAsia" w:ascii="仿宋_GB2312" w:hAnsi="仿宋_GB2312" w:eastAsia="仿宋_GB2312"/>
          <w:color w:val="auto"/>
          <w:sz w:val="32"/>
          <w:szCs w:val="32"/>
          <w:highlight w:val="none"/>
          <w:lang w:val="en-US" w:eastAsia="zh-CN"/>
        </w:rPr>
        <w:t>3888.32</w:t>
      </w:r>
      <w:r>
        <w:rPr>
          <w:rFonts w:hint="eastAsia" w:ascii="仿宋_GB2312" w:hAnsi="仿宋_GB2312" w:eastAsia="仿宋_GB2312"/>
          <w:color w:val="auto"/>
          <w:sz w:val="32"/>
          <w:szCs w:val="32"/>
          <w:highlight w:val="none"/>
        </w:rPr>
        <w:t>万元</w:t>
      </w:r>
      <w:r>
        <w:rPr>
          <w:rFonts w:hint="eastAsia" w:ascii="仿宋_GB2312" w:hAnsi="仿宋_GB2312" w:eastAsia="仿宋_GB2312" w:cs="黑体"/>
          <w:color w:val="auto"/>
          <w:sz w:val="32"/>
          <w:szCs w:val="32"/>
          <w:highlight w:val="none"/>
        </w:rPr>
        <w:t>，决算支出数</w:t>
      </w:r>
      <w:r>
        <w:rPr>
          <w:rFonts w:hint="eastAsia" w:ascii="仿宋_GB2312" w:hAnsi="仿宋_GB2312" w:eastAsia="仿宋_GB2312"/>
          <w:color w:val="auto"/>
          <w:sz w:val="32"/>
          <w:szCs w:val="32"/>
          <w:highlight w:val="none"/>
          <w:lang w:val="en-US" w:eastAsia="zh-CN"/>
        </w:rPr>
        <w:t>3311.08</w:t>
      </w:r>
      <w:r>
        <w:rPr>
          <w:rFonts w:hint="eastAsia" w:ascii="仿宋_GB2312" w:hAnsi="仿宋_GB2312" w:eastAsia="仿宋_GB2312"/>
          <w:color w:val="auto"/>
          <w:sz w:val="32"/>
          <w:szCs w:val="32"/>
          <w:highlight w:val="none"/>
        </w:rPr>
        <w:t>万元。</w:t>
      </w:r>
    </w:p>
    <w:p w14:paraId="1F36CEA2">
      <w:pPr>
        <w:autoSpaceDE w:val="0"/>
        <w:adjustRightInd w:val="0"/>
        <w:snapToGrid w:val="0"/>
        <w:spacing w:line="600" w:lineRule="exact"/>
        <w:ind w:firstLine="643" w:firstLineChars="200"/>
        <w:rPr>
          <w:rFonts w:hint="eastAsia" w:ascii="仿宋_GB2312" w:hAnsi="仿宋_GB2312" w:eastAsia="楷体_GB2312" w:cs="楷体_GB2312"/>
          <w:b/>
          <w:bCs/>
          <w:color w:val="auto"/>
          <w:sz w:val="32"/>
          <w:szCs w:val="32"/>
        </w:rPr>
      </w:pPr>
      <w:r>
        <w:rPr>
          <w:rFonts w:hint="eastAsia" w:ascii="仿宋_GB2312" w:hAnsi="仿宋_GB2312" w:eastAsia="楷体_GB2312" w:cs="楷体_GB2312"/>
          <w:b/>
          <w:bCs/>
          <w:color w:val="auto"/>
          <w:sz w:val="32"/>
          <w:szCs w:val="32"/>
        </w:rPr>
        <w:t>（三）部门整体支出绩效目标、指标</w:t>
      </w:r>
    </w:p>
    <w:p w14:paraId="02D86742">
      <w:pPr>
        <w:adjustRightInd w:val="0"/>
        <w:snapToGrid w:val="0"/>
        <w:spacing w:line="600" w:lineRule="exact"/>
        <w:ind w:firstLine="640" w:firstLineChars="200"/>
        <w:rPr>
          <w:rFonts w:hint="eastAsia" w:ascii="仿宋_GB2312" w:hAnsi="仿宋_GB2312" w:eastAsia="仿宋_GB2312"/>
          <w:color w:val="auto"/>
          <w:sz w:val="32"/>
          <w:szCs w:val="32"/>
          <w:lang w:val="en-US" w:eastAsia="zh-CN"/>
        </w:rPr>
      </w:pPr>
      <w:r>
        <w:rPr>
          <w:rFonts w:hint="eastAsia" w:ascii="仿宋_GB2312" w:hAnsi="仿宋_GB2312" w:eastAsia="仿宋_GB2312"/>
          <w:color w:val="auto"/>
          <w:sz w:val="32"/>
          <w:szCs w:val="32"/>
          <w:lang w:val="en-US" w:eastAsia="zh-CN"/>
        </w:rPr>
        <w:t>2024年，我们将继续坚持以习近平新时代中国特色社会主义思想为指导，认真学习贯彻党的二十大和二十届二中全会精神，准确把握国家、省统计局安排部署和市委、市政府工作要求，在高质量完成常规统计工作任务的同时，紧紧围绕全市中心工作做好统计服务保障，努力为加快建设现代化、国际化美丽省会城市作出更多统计贡献。一是持续提升统计监测水平，围绕“经济总量过万亿”和“打造五个千亿级产业集群”等目标任务，进一步加大对重要指标的监测预警，统计分析上报量不少于4篇；二是完成全市年度、季度数据及各县(市、区)年度数据的测算审核认定工作，统计信息上报量不少于8篇；三是以服务全市高质量发展为目标，扎实开展第五次全国经济普查及社情民意调查等工作，统计信息上报量不少于2篇；四是组织开展服务业统计、工业统计、能源统计、投资统计、贸易统计等专项统计调查工作，统计资料开发编印种类不少于5类。</w:t>
      </w:r>
    </w:p>
    <w:p w14:paraId="38FF6F9D">
      <w:pPr>
        <w:adjustRightInd w:val="0"/>
        <w:snapToGrid w:val="0"/>
        <w:spacing w:line="600" w:lineRule="exact"/>
        <w:ind w:firstLine="640" w:firstLineChars="200"/>
        <w:rPr>
          <w:rFonts w:ascii="黑体" w:hAnsi="黑体" w:eastAsia="黑体" w:cs="黑体"/>
          <w:bCs/>
          <w:color w:val="auto"/>
          <w:sz w:val="32"/>
          <w:szCs w:val="32"/>
        </w:rPr>
      </w:pPr>
      <w:r>
        <w:rPr>
          <w:rFonts w:hint="eastAsia" w:ascii="黑体" w:hAnsi="黑体" w:eastAsia="黑体" w:cs="黑体"/>
          <w:bCs/>
          <w:color w:val="auto"/>
          <w:sz w:val="32"/>
          <w:szCs w:val="32"/>
        </w:rPr>
        <w:t>二、绩效自评工作组织开展情况</w:t>
      </w:r>
    </w:p>
    <w:p w14:paraId="33A68ADC">
      <w:pPr>
        <w:adjustRightInd w:val="0"/>
        <w:snapToGrid w:val="0"/>
        <w:spacing w:line="600" w:lineRule="exact"/>
        <w:ind w:firstLine="640" w:firstLineChars="200"/>
        <w:rPr>
          <w:rFonts w:ascii="仿宋_GB2312" w:hAnsi="仿宋_GB2312" w:eastAsia="仿宋_GB2312" w:cs="宋体"/>
          <w:color w:val="auto"/>
          <w:sz w:val="32"/>
          <w:szCs w:val="32"/>
        </w:rPr>
      </w:pPr>
      <w:r>
        <w:rPr>
          <w:rFonts w:hint="eastAsia" w:ascii="仿宋_GB2312" w:hAnsi="仿宋_GB2312" w:eastAsia="仿宋_GB2312" w:cs="宋体"/>
          <w:color w:val="auto"/>
          <w:sz w:val="32"/>
          <w:szCs w:val="32"/>
        </w:rPr>
        <w:t>为进一步提高</w:t>
      </w:r>
      <w:r>
        <w:rPr>
          <w:rFonts w:ascii="仿宋_GB2312" w:hAnsi="仿宋_GB2312" w:eastAsia="仿宋_GB2312" w:cs="宋体"/>
          <w:color w:val="auto"/>
          <w:sz w:val="32"/>
          <w:szCs w:val="32"/>
        </w:rPr>
        <w:t>我局绩效预算管理工作</w:t>
      </w:r>
      <w:r>
        <w:rPr>
          <w:rFonts w:hint="eastAsia" w:ascii="仿宋_GB2312" w:hAnsi="仿宋_GB2312" w:eastAsia="仿宋_GB2312" w:cs="宋体"/>
          <w:color w:val="auto"/>
          <w:sz w:val="32"/>
          <w:szCs w:val="32"/>
        </w:rPr>
        <w:t>，根据《石家庄市市级部门预算项目绩效自评管理办法》（石财绩</w:t>
      </w:r>
      <w:r>
        <w:rPr>
          <w:rFonts w:hint="eastAsia" w:ascii="仿宋_GB2312" w:hAnsi="仿宋_GB2312" w:eastAsia="仿宋" w:cs="仿宋"/>
          <w:color w:val="auto"/>
          <w:sz w:val="32"/>
          <w:szCs w:val="32"/>
        </w:rPr>
        <w:t>〔</w:t>
      </w:r>
      <w:r>
        <w:rPr>
          <w:rFonts w:ascii="仿宋_GB2312" w:hAnsi="仿宋_GB2312" w:eastAsia="仿宋"/>
          <w:color w:val="auto"/>
          <w:sz w:val="32"/>
          <w:szCs w:val="32"/>
        </w:rPr>
        <w:t>2020</w:t>
      </w:r>
      <w:r>
        <w:rPr>
          <w:rFonts w:hint="eastAsia" w:ascii="仿宋_GB2312" w:hAnsi="仿宋_GB2312" w:eastAsia="仿宋" w:cs="仿宋"/>
          <w:color w:val="auto"/>
          <w:sz w:val="32"/>
          <w:szCs w:val="32"/>
        </w:rPr>
        <w:t>〕</w:t>
      </w:r>
      <w:r>
        <w:rPr>
          <w:rFonts w:hint="eastAsia" w:ascii="仿宋_GB2312" w:hAnsi="仿宋_GB2312" w:eastAsia="仿宋"/>
          <w:color w:val="auto"/>
          <w:sz w:val="32"/>
          <w:szCs w:val="32"/>
        </w:rPr>
        <w:t>5</w:t>
      </w:r>
      <w:r>
        <w:rPr>
          <w:rFonts w:hint="eastAsia" w:ascii="仿宋_GB2312" w:hAnsi="仿宋_GB2312" w:eastAsia="仿宋" w:cs="仿宋"/>
          <w:color w:val="auto"/>
          <w:sz w:val="32"/>
          <w:szCs w:val="32"/>
        </w:rPr>
        <w:t>号</w:t>
      </w:r>
      <w:r>
        <w:rPr>
          <w:rFonts w:hint="eastAsia" w:ascii="仿宋_GB2312" w:hAnsi="仿宋_GB2312" w:eastAsia="仿宋_GB2312" w:cs="宋体"/>
          <w:color w:val="auto"/>
          <w:sz w:val="32"/>
          <w:szCs w:val="32"/>
        </w:rPr>
        <w:t>）要求，成立绩效评价工作组，按照全覆盖</w:t>
      </w:r>
      <w:r>
        <w:rPr>
          <w:rFonts w:ascii="仿宋_GB2312" w:hAnsi="仿宋_GB2312" w:eastAsia="仿宋_GB2312" w:cs="宋体"/>
          <w:color w:val="auto"/>
          <w:sz w:val="32"/>
          <w:szCs w:val="32"/>
        </w:rPr>
        <w:t>原则，</w:t>
      </w:r>
      <w:r>
        <w:rPr>
          <w:rFonts w:hint="eastAsia" w:ascii="仿宋_GB2312" w:hAnsi="仿宋_GB2312" w:eastAsia="仿宋_GB2312" w:cs="宋体"/>
          <w:color w:val="auto"/>
          <w:sz w:val="32"/>
          <w:szCs w:val="32"/>
        </w:rPr>
        <w:t>对我局</w:t>
      </w:r>
      <w:r>
        <w:rPr>
          <w:rFonts w:hint="eastAsia" w:ascii="仿宋_GB2312" w:hAnsi="仿宋_GB2312" w:eastAsia="仿宋_GB2312" w:cs="宋体"/>
          <w:color w:val="auto"/>
          <w:sz w:val="32"/>
          <w:szCs w:val="32"/>
          <w:lang w:eastAsia="zh-CN"/>
        </w:rPr>
        <w:t>2024</w:t>
      </w:r>
      <w:r>
        <w:rPr>
          <w:rFonts w:hint="eastAsia" w:ascii="仿宋_GB2312" w:hAnsi="仿宋_GB2312" w:eastAsia="仿宋_GB2312" w:cs="宋体"/>
          <w:color w:val="auto"/>
          <w:sz w:val="32"/>
          <w:szCs w:val="32"/>
        </w:rPr>
        <w:t>年度所有专项项目</w:t>
      </w:r>
      <w:r>
        <w:rPr>
          <w:rFonts w:ascii="仿宋_GB2312" w:hAnsi="仿宋_GB2312" w:eastAsia="仿宋_GB2312" w:cs="宋体"/>
          <w:color w:val="auto"/>
          <w:sz w:val="32"/>
          <w:szCs w:val="32"/>
        </w:rPr>
        <w:t>开展绩效</w:t>
      </w:r>
      <w:r>
        <w:rPr>
          <w:rFonts w:hint="eastAsia" w:ascii="仿宋_GB2312" w:hAnsi="仿宋_GB2312" w:eastAsia="仿宋_GB2312" w:cs="宋体"/>
          <w:color w:val="auto"/>
          <w:sz w:val="32"/>
          <w:szCs w:val="32"/>
        </w:rPr>
        <w:t>自评</w:t>
      </w:r>
      <w:r>
        <w:rPr>
          <w:rFonts w:ascii="仿宋_GB2312" w:hAnsi="仿宋_GB2312" w:eastAsia="仿宋_GB2312" w:cs="宋体"/>
          <w:color w:val="auto"/>
          <w:sz w:val="32"/>
          <w:szCs w:val="32"/>
        </w:rPr>
        <w:t>工作</w:t>
      </w:r>
      <w:r>
        <w:rPr>
          <w:rFonts w:hint="eastAsia" w:ascii="仿宋_GB2312" w:hAnsi="仿宋_GB2312" w:eastAsia="仿宋_GB2312" w:cs="宋体"/>
          <w:color w:val="auto"/>
          <w:sz w:val="32"/>
          <w:szCs w:val="32"/>
        </w:rPr>
        <w:t>。</w:t>
      </w:r>
    </w:p>
    <w:p w14:paraId="79EF6F4A">
      <w:pPr>
        <w:pStyle w:val="19"/>
        <w:autoSpaceDE w:val="0"/>
        <w:spacing w:line="600" w:lineRule="exact"/>
        <w:ind w:firstLine="640"/>
        <w:rPr>
          <w:rStyle w:val="20"/>
          <w:rFonts w:ascii="仿宋_GB2312" w:hAnsi="仿宋_GB2312" w:eastAsia="仿宋_GB2312"/>
          <w:color w:val="auto"/>
        </w:rPr>
      </w:pPr>
      <w:r>
        <w:rPr>
          <w:rFonts w:hint="eastAsia" w:ascii="仿宋_GB2312" w:hAnsi="仿宋_GB2312" w:eastAsia="楷体_GB2312" w:cs="楷体_GB2312"/>
          <w:b/>
          <w:bCs/>
          <w:color w:val="auto"/>
          <w:kern w:val="2"/>
          <w:sz w:val="32"/>
          <w:szCs w:val="32"/>
          <w:lang w:val="en-US" w:eastAsia="zh-CN" w:bidi="ar-SA"/>
        </w:rPr>
        <w:t>（一）评价过程。</w:t>
      </w:r>
      <w:r>
        <w:rPr>
          <w:rStyle w:val="20"/>
          <w:rFonts w:hint="eastAsia" w:ascii="仿宋_GB2312" w:hAnsi="仿宋_GB2312" w:eastAsia="仿宋_GB2312"/>
          <w:color w:val="auto"/>
        </w:rPr>
        <w:t>根据相关文件规定，以项目申报预期绩效目标和工作要求作为评价标准，采取定量和定性评价相结合的方法，对项目资料进行审核、分析。</w:t>
      </w:r>
    </w:p>
    <w:p w14:paraId="6EDE9F14">
      <w:pPr>
        <w:spacing w:line="600" w:lineRule="exact"/>
        <w:ind w:firstLine="643" w:firstLineChars="200"/>
        <w:rPr>
          <w:rFonts w:ascii="仿宋_GB2312" w:hAnsi="仿宋_GB2312" w:eastAsia="仿宋_GB2312"/>
          <w:color w:val="auto"/>
          <w:sz w:val="32"/>
          <w:szCs w:val="32"/>
        </w:rPr>
      </w:pPr>
      <w:r>
        <w:rPr>
          <w:rFonts w:hint="eastAsia" w:ascii="仿宋_GB2312" w:hAnsi="仿宋_GB2312" w:eastAsia="楷体_GB2312" w:cs="楷体_GB2312"/>
          <w:b/>
          <w:bCs/>
          <w:color w:val="auto"/>
          <w:kern w:val="2"/>
          <w:sz w:val="32"/>
          <w:szCs w:val="32"/>
          <w:lang w:val="en-US" w:eastAsia="zh-CN" w:bidi="ar-SA"/>
        </w:rPr>
        <w:t>（二）评价中做到重点突出。</w:t>
      </w:r>
      <w:r>
        <w:rPr>
          <w:rStyle w:val="20"/>
          <w:rFonts w:hint="eastAsia" w:ascii="仿宋_GB2312" w:hAnsi="仿宋_GB2312" w:eastAsia="仿宋_GB2312"/>
          <w:color w:val="auto"/>
        </w:rPr>
        <w:t>在评价工作中，紧抓评价工作的六个重点内容：预算执行情况、绩效目标完成情况、各项绩效指标完成情况、各项绩效指标评价等级、项目满意度、存在的问题及改进措施。严格按照相关文件和评价体系的要求，全面收集，系统整理预算项目完成信息，并且实事求是、客观公正的进行绩效评价工作。</w:t>
      </w:r>
    </w:p>
    <w:p w14:paraId="6D8616A1">
      <w:pPr>
        <w:spacing w:line="600" w:lineRule="exact"/>
        <w:ind w:firstLine="643" w:firstLineChars="200"/>
        <w:rPr>
          <w:rFonts w:ascii="仿宋_GB2312" w:hAnsi="仿宋_GB2312" w:eastAsia="仿宋_GB2312"/>
          <w:color w:val="auto"/>
          <w:sz w:val="32"/>
          <w:szCs w:val="32"/>
        </w:rPr>
      </w:pPr>
      <w:r>
        <w:rPr>
          <w:rFonts w:hint="eastAsia" w:ascii="仿宋_GB2312" w:hAnsi="仿宋_GB2312" w:eastAsia="楷体_GB2312" w:cs="楷体_GB2312"/>
          <w:b/>
          <w:bCs/>
          <w:color w:val="auto"/>
          <w:kern w:val="2"/>
          <w:sz w:val="32"/>
          <w:szCs w:val="32"/>
          <w:lang w:val="en-US" w:eastAsia="zh-CN" w:bidi="ar-SA"/>
        </w:rPr>
        <w:t>（三）客观分析。</w:t>
      </w:r>
      <w:r>
        <w:rPr>
          <w:rStyle w:val="20"/>
          <w:rFonts w:hint="eastAsia" w:ascii="仿宋_GB2312" w:hAnsi="仿宋_GB2312" w:eastAsia="仿宋_GB2312"/>
          <w:color w:val="auto"/>
        </w:rPr>
        <w:t>首先根据评价项目的实际情况与指标体系进行分析、比对，评判实际达到的绩效目标给出适当得分，并充分考虑以下几方面：预算资金是否按进度执行、项目是否按计划落实推进、是否达到预定目标效果、项目满意度等。根据单项指标实际完成情况相应赋予分值。逐项评定每项指标得分，汇总形成单个项目绩效自评得分。</w:t>
      </w:r>
    </w:p>
    <w:p w14:paraId="77AE2252">
      <w:pPr>
        <w:spacing w:line="560" w:lineRule="exact"/>
        <w:ind w:firstLine="640" w:firstLineChars="200"/>
        <w:rPr>
          <w:rFonts w:ascii="黑体" w:hAnsi="黑体" w:eastAsia="黑体"/>
          <w:b/>
          <w:bCs/>
          <w:sz w:val="32"/>
          <w:szCs w:val="32"/>
        </w:rPr>
      </w:pPr>
      <w:r>
        <w:rPr>
          <w:rFonts w:hint="eastAsia" w:ascii="黑体" w:hAnsi="黑体" w:eastAsia="黑体"/>
          <w:sz w:val="32"/>
          <w:szCs w:val="32"/>
        </w:rPr>
        <w:t>三、部门整体支出绩效目标实现情况及指标分析</w:t>
      </w:r>
    </w:p>
    <w:p w14:paraId="5A8DF465">
      <w:pPr>
        <w:numPr>
          <w:ilvl w:val="0"/>
          <w:numId w:val="1"/>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5AD23763">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color w:val="auto"/>
          <w:sz w:val="32"/>
          <w:szCs w:val="32"/>
          <w:highlight w:val="none"/>
          <w:lang w:eastAsia="zh-CN"/>
        </w:rPr>
        <w:t>202</w:t>
      </w:r>
      <w:r>
        <w:rPr>
          <w:rFonts w:hint="eastAsia" w:ascii="仿宋_GB2312" w:hAnsi="仿宋_GB2312" w:eastAsia="仿宋_GB2312" w:cs="仿宋_GB2312"/>
          <w:color w:val="auto"/>
          <w:sz w:val="32"/>
          <w:szCs w:val="32"/>
          <w:highlight w:val="none"/>
          <w:lang w:val="en-US" w:eastAsia="zh-CN"/>
        </w:rPr>
        <w:t>4</w:t>
      </w:r>
      <w:r>
        <w:rPr>
          <w:rFonts w:hint="eastAsia" w:ascii="仿宋_GB2312" w:hAnsi="仿宋_GB2312" w:eastAsia="仿宋_GB2312" w:cs="仿宋_GB2312"/>
          <w:color w:val="auto"/>
          <w:sz w:val="32"/>
          <w:szCs w:val="32"/>
          <w:highlight w:val="none"/>
          <w:lang w:eastAsia="zh-CN"/>
        </w:rPr>
        <w:t>年，市统计局坚持以习近平新时代中国特色社会主义思想为指导，持续深入学习贯彻党的二十届三中全会精神和习近平总书记关于统计工作重要讲话和重要指示批示精神</w:t>
      </w:r>
      <w:bookmarkStart w:id="0" w:name="_GoBack"/>
      <w:bookmarkEnd w:id="0"/>
      <w:r>
        <w:rPr>
          <w:rFonts w:hint="eastAsia" w:ascii="仿宋_GB2312" w:hAnsi="仿宋_GB2312" w:eastAsia="仿宋_GB2312" w:cs="仿宋_GB2312"/>
          <w:color w:val="auto"/>
          <w:sz w:val="32"/>
          <w:szCs w:val="32"/>
          <w:highlight w:val="none"/>
          <w:lang w:eastAsia="zh-CN"/>
        </w:rPr>
        <w:t>，坚决贯彻落实市委、市政府决策部署和国家、省统计工作要求，坚持党对统计工作全面领导，坚持不懈做优统计服务、强化统计监督、深化统计改革、夯实统计基础、提高统计质量、提升统计能力，统筹做好第五次全国经济普查，努力</w:t>
      </w:r>
      <w:r>
        <w:rPr>
          <w:rFonts w:hint="eastAsia" w:ascii="仿宋_GB2312" w:hAnsi="仿宋_GB2312" w:eastAsia="仿宋_GB2312" w:cs="仿宋_GB2312"/>
          <w:color w:val="auto"/>
          <w:sz w:val="32"/>
          <w:szCs w:val="32"/>
          <w:highlight w:val="none"/>
          <w:lang w:val="en-US" w:eastAsia="zh-CN"/>
        </w:rPr>
        <w:t>为全市经济社会高质量发展提供坚强统计支撑</w:t>
      </w:r>
      <w:r>
        <w:rPr>
          <w:rFonts w:hint="eastAsia" w:ascii="仿宋_GB2312" w:hAnsi="仿宋_GB2312" w:eastAsia="仿宋_GB2312" w:cs="仿宋_GB2312"/>
          <w:color w:val="auto"/>
          <w:sz w:val="32"/>
          <w:szCs w:val="32"/>
          <w:highlight w:val="none"/>
          <w:lang w:eastAsia="zh-CN"/>
        </w:rPr>
        <w:t>。</w:t>
      </w:r>
    </w:p>
    <w:p w14:paraId="0A0F63CB">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right="0" w:rightChars="0" w:firstLine="643" w:firstLineChars="200"/>
        <w:textAlignment w:val="auto"/>
        <w:outlineLvl w:val="9"/>
        <w:rPr>
          <w:rFonts w:hint="eastAsia" w:ascii="仿宋_GB2312" w:hAnsi="仿宋_GB2312" w:eastAsia="仿宋_GB2312" w:cs="仿宋_GB2312"/>
          <w:b w:val="0"/>
          <w:bCs w:val="0"/>
          <w:color w:val="auto"/>
          <w:kern w:val="2"/>
          <w:sz w:val="32"/>
          <w:szCs w:val="32"/>
          <w:highlight w:val="none"/>
          <w:lang w:val="en-US" w:eastAsia="zh-CN" w:bidi="ar-SA"/>
        </w:rPr>
      </w:pPr>
      <w:r>
        <w:rPr>
          <w:rFonts w:hint="eastAsia" w:ascii="楷体_GB2312" w:hAnsi="楷体_GB2312" w:eastAsia="楷体_GB2312" w:cs="楷体_GB2312"/>
          <w:b/>
          <w:bCs/>
          <w:color w:val="auto"/>
          <w:sz w:val="32"/>
          <w:szCs w:val="32"/>
          <w:highlight w:val="none"/>
          <w:lang w:eastAsia="zh-CN"/>
        </w:rPr>
        <w:t>聚焦决策需求，持续提升统计服务水平。</w:t>
      </w:r>
      <w:r>
        <w:rPr>
          <w:rFonts w:hint="eastAsia" w:ascii="仿宋_GB2312" w:hAnsi="仿宋_GB2312" w:eastAsia="仿宋_GB2312" w:cs="仿宋_GB2312"/>
          <w:b w:val="0"/>
          <w:bCs w:val="0"/>
          <w:color w:val="auto"/>
          <w:sz w:val="32"/>
          <w:szCs w:val="32"/>
          <w:highlight w:val="none"/>
          <w:lang w:eastAsia="zh-CN"/>
        </w:rPr>
        <w:t>始终坚持“市委、市政府决策部署到哪里，统计工作就跟踪服务到哪里”的职能定位，全力以赴服务全市经济社会发展。</w:t>
      </w:r>
      <w:r>
        <w:rPr>
          <w:rFonts w:hint="eastAsia" w:ascii="楷体_GB2312" w:hAnsi="楷体_GB2312" w:eastAsia="楷体_GB2312" w:cs="楷体_GB2312"/>
          <w:b/>
          <w:bCs/>
          <w:color w:val="auto"/>
          <w:sz w:val="32"/>
          <w:szCs w:val="32"/>
          <w:highlight w:val="none"/>
          <w:lang w:eastAsia="zh-CN"/>
        </w:rPr>
        <w:t>一是围绕经济社会发展目标，</w:t>
      </w:r>
      <w:r>
        <w:rPr>
          <w:rFonts w:hint="eastAsia" w:ascii="仿宋_GB2312" w:hAnsi="仿宋_GB2312" w:eastAsia="仿宋_GB2312" w:cs="仿宋_GB2312"/>
          <w:b w:val="0"/>
          <w:bCs w:val="0"/>
          <w:color w:val="auto"/>
          <w:sz w:val="32"/>
          <w:szCs w:val="32"/>
          <w:highlight w:val="none"/>
          <w:lang w:eastAsia="zh-CN"/>
        </w:rPr>
        <w:t>创新</w:t>
      </w:r>
      <w:r>
        <w:rPr>
          <w:rFonts w:hint="eastAsia" w:ascii="仿宋_GB2312" w:hAnsi="仿宋_GB2312" w:eastAsia="仿宋_GB2312" w:cs="仿宋_GB2312"/>
          <w:b w:val="0"/>
          <w:bCs w:val="0"/>
          <w:color w:val="auto"/>
          <w:sz w:val="32"/>
          <w:szCs w:val="32"/>
          <w:highlight w:val="none"/>
          <w:lang w:val="en-US" w:eastAsia="zh-CN"/>
        </w:rPr>
        <w:t>监测</w:t>
      </w:r>
      <w:r>
        <w:rPr>
          <w:rFonts w:hint="eastAsia" w:ascii="仿宋_GB2312" w:hAnsi="仿宋_GB2312" w:eastAsia="仿宋_GB2312" w:cs="仿宋_GB2312"/>
          <w:b w:val="0"/>
          <w:bCs w:val="0"/>
          <w:color w:val="auto"/>
          <w:sz w:val="32"/>
          <w:szCs w:val="32"/>
          <w:highlight w:val="none"/>
          <w:lang w:eastAsia="zh-CN"/>
        </w:rPr>
        <w:t>预警</w:t>
      </w:r>
      <w:r>
        <w:rPr>
          <w:rFonts w:hint="eastAsia" w:ascii="仿宋_GB2312" w:hAnsi="仿宋_GB2312" w:eastAsia="仿宋_GB2312" w:cs="仿宋_GB2312"/>
          <w:b w:val="0"/>
          <w:bCs w:val="0"/>
          <w:color w:val="auto"/>
          <w:sz w:val="32"/>
          <w:szCs w:val="32"/>
          <w:highlight w:val="none"/>
          <w:lang w:val="en-US" w:eastAsia="zh-CN"/>
        </w:rPr>
        <w:t>工作</w:t>
      </w:r>
      <w:r>
        <w:rPr>
          <w:rFonts w:hint="eastAsia" w:ascii="仿宋_GB2312" w:hAnsi="仿宋_GB2312" w:eastAsia="仿宋_GB2312" w:cs="仿宋_GB2312"/>
          <w:b w:val="0"/>
          <w:bCs w:val="0"/>
          <w:color w:val="auto"/>
          <w:sz w:val="32"/>
          <w:szCs w:val="32"/>
          <w:highlight w:val="none"/>
          <w:lang w:eastAsia="zh-CN"/>
        </w:rPr>
        <w:t>举措。以常态化机制为抓手，精心组织农业、工业、能源环境、投资、贸经、人口就业、社会科技、服务业等行业领域的统计监测</w:t>
      </w:r>
      <w:r>
        <w:rPr>
          <w:rFonts w:hint="eastAsia" w:ascii="仿宋_GB2312" w:hAnsi="仿宋_GB2312" w:eastAsia="仿宋_GB2312" w:cs="仿宋_GB2312"/>
          <w:b w:val="0"/>
          <w:bCs w:val="0"/>
          <w:color w:val="auto"/>
          <w:sz w:val="32"/>
          <w:szCs w:val="32"/>
          <w:highlight w:val="none"/>
          <w:lang w:val="en-US" w:eastAsia="zh-CN"/>
        </w:rPr>
        <w:t>和分析研判</w:t>
      </w:r>
      <w:r>
        <w:rPr>
          <w:rFonts w:hint="eastAsia" w:ascii="仿宋_GB2312" w:hAnsi="仿宋_GB2312" w:eastAsia="仿宋_GB2312" w:cs="仿宋_GB2312"/>
          <w:b w:val="0"/>
          <w:bCs w:val="0"/>
          <w:color w:val="auto"/>
          <w:sz w:val="32"/>
          <w:szCs w:val="32"/>
          <w:highlight w:val="none"/>
          <w:lang w:eastAsia="zh-CN"/>
        </w:rPr>
        <w:t>；聚焦财政、电力、邮政和交通等先行指标的变动情况，深化经济运行趋势和先导性指标研究，</w:t>
      </w:r>
      <w:r>
        <w:rPr>
          <w:rFonts w:hint="eastAsia" w:ascii="仿宋_GB2312" w:hAnsi="仿宋_GB2312" w:eastAsia="仿宋_GB2312" w:cs="仿宋_GB2312"/>
          <w:b w:val="0"/>
          <w:bCs w:val="0"/>
          <w:color w:val="auto"/>
          <w:sz w:val="32"/>
          <w:szCs w:val="32"/>
          <w:highlight w:val="none"/>
          <w:lang w:val="en-US" w:eastAsia="zh-CN"/>
        </w:rPr>
        <w:t>及时研判、及早</w:t>
      </w:r>
      <w:r>
        <w:rPr>
          <w:rFonts w:hint="eastAsia" w:ascii="仿宋_GB2312" w:hAnsi="仿宋_GB2312" w:eastAsia="仿宋_GB2312" w:cs="仿宋_GB2312"/>
          <w:b w:val="0"/>
          <w:bCs w:val="0"/>
          <w:color w:val="auto"/>
          <w:sz w:val="32"/>
          <w:szCs w:val="32"/>
          <w:highlight w:val="none"/>
          <w:lang w:eastAsia="zh-CN"/>
        </w:rPr>
        <w:t>预警，</w:t>
      </w:r>
      <w:r>
        <w:rPr>
          <w:rFonts w:hint="eastAsia" w:ascii="仿宋_GB2312" w:hAnsi="仿宋_GB2312" w:eastAsia="仿宋_GB2312" w:cs="仿宋_GB2312"/>
          <w:b w:val="0"/>
          <w:bCs w:val="0"/>
          <w:color w:val="auto"/>
          <w:sz w:val="32"/>
          <w:szCs w:val="32"/>
          <w:highlight w:val="none"/>
          <w:lang w:val="en-US" w:eastAsia="zh-CN"/>
        </w:rPr>
        <w:t>以更好服务</w:t>
      </w:r>
      <w:r>
        <w:rPr>
          <w:rFonts w:hint="eastAsia" w:ascii="仿宋_GB2312" w:hAnsi="仿宋_GB2312" w:eastAsia="仿宋_GB2312" w:cs="仿宋_GB2312"/>
          <w:b w:val="0"/>
          <w:bCs w:val="0"/>
          <w:color w:val="auto"/>
          <w:sz w:val="32"/>
          <w:szCs w:val="32"/>
          <w:highlight w:val="none"/>
          <w:lang w:eastAsia="zh-CN"/>
        </w:rPr>
        <w:t>领导快速、超前的决策需求。</w:t>
      </w:r>
      <w:r>
        <w:rPr>
          <w:rFonts w:hint="eastAsia" w:ascii="楷体_GB2312" w:hAnsi="楷体_GB2312" w:eastAsia="楷体_GB2312" w:cs="楷体_GB2312"/>
          <w:b/>
          <w:bCs/>
          <w:color w:val="auto"/>
          <w:sz w:val="32"/>
          <w:szCs w:val="32"/>
          <w:highlight w:val="none"/>
          <w:lang w:val="en-US" w:eastAsia="zh-CN"/>
        </w:rPr>
        <w:t>二是围绕经济总量过万亿，</w:t>
      </w:r>
      <w:r>
        <w:rPr>
          <w:rFonts w:hint="eastAsia" w:ascii="仿宋_GB2312" w:hAnsi="仿宋_GB2312" w:eastAsia="仿宋_GB2312" w:cs="仿宋_GB2312"/>
          <w:b w:val="0"/>
          <w:bCs w:val="0"/>
          <w:color w:val="auto"/>
          <w:sz w:val="32"/>
          <w:szCs w:val="32"/>
          <w:highlight w:val="none"/>
          <w:lang w:val="en-US" w:eastAsia="zh-CN"/>
        </w:rPr>
        <w:t>建立GDP跟踪监测机制。及时跟踪监测我市GDP基础指标进展，积极开展月度监测和预测测算，加大对重点县区、重点行业的监测分析，切实提高了GDP监测预警的时效性和前瞻性。</w:t>
      </w:r>
      <w:r>
        <w:rPr>
          <w:rFonts w:hint="eastAsia" w:ascii="楷体_GB2312" w:hAnsi="楷体_GB2312" w:eastAsia="楷体_GB2312" w:cs="楷体_GB2312"/>
          <w:b/>
          <w:bCs/>
          <w:color w:val="auto"/>
          <w:sz w:val="32"/>
          <w:szCs w:val="32"/>
          <w:highlight w:val="none"/>
          <w:lang w:val="en-US" w:eastAsia="zh-CN"/>
        </w:rPr>
        <w:t>三是围绕全市重大发展战略，</w:t>
      </w:r>
      <w:r>
        <w:rPr>
          <w:rFonts w:hint="eastAsia" w:ascii="仿宋_GB2312" w:hAnsi="仿宋_GB2312" w:eastAsia="仿宋_GB2312" w:cs="仿宋_GB2312"/>
          <w:b w:val="0"/>
          <w:bCs w:val="0"/>
          <w:color w:val="auto"/>
          <w:sz w:val="32"/>
          <w:szCs w:val="32"/>
          <w:highlight w:val="none"/>
          <w:lang w:val="en-US" w:eastAsia="zh-CN"/>
        </w:rPr>
        <w:t>强化细化五大产业发展统计监测。在认真做好五大产业规上企业统计监测的基础上，积极开展企业调研，主动强化部门对接，及时提供各产业统计监测数据和分析报告，全面反映五大产业发展进程和综合成效，为市委、市政府推动五大产业高质量发展提供了数据支撑和参考依据。今年以来，超超书记每季度都在我局呈报的五大产业监测报告上逐篇作出重要批示，并批转分管市领导和相关部门阅研，对统计服务决策给予了极大肯定。</w:t>
      </w:r>
      <w:r>
        <w:rPr>
          <w:rFonts w:hint="eastAsia" w:ascii="楷体_GB2312" w:hAnsi="楷体_GB2312" w:eastAsia="楷体_GB2312" w:cs="楷体_GB2312"/>
          <w:b/>
          <w:bCs/>
          <w:color w:val="auto"/>
          <w:sz w:val="32"/>
          <w:szCs w:val="32"/>
          <w:highlight w:val="none"/>
          <w:lang w:val="en-US" w:eastAsia="zh-CN"/>
        </w:rPr>
        <w:t>四是围绕经济高质量发展，</w:t>
      </w:r>
      <w:r>
        <w:rPr>
          <w:rFonts w:hint="eastAsia" w:ascii="仿宋_GB2312" w:hAnsi="仿宋_GB2312" w:eastAsia="仿宋_GB2312" w:cs="仿宋_GB2312"/>
          <w:b w:val="0"/>
          <w:bCs w:val="0"/>
          <w:color w:val="auto"/>
          <w:sz w:val="32"/>
          <w:szCs w:val="32"/>
          <w:highlight w:val="none"/>
          <w:lang w:val="en-US" w:eastAsia="zh-CN"/>
        </w:rPr>
        <w:t>扎实开展综合绩效评价。按照市委组织部要求，会同市发展改革委完成了23个县（市、区）2023年度高质量发展综合绩效评价指标的数据收集，并计算形成了各县（市、区）综合绩效评价指数，为进一步做好我市高质量发展综合绩效评价积累了经验。</w:t>
      </w:r>
    </w:p>
    <w:p w14:paraId="318C362E">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right="0" w:rightChars="0" w:firstLine="643" w:firstLineChars="200"/>
        <w:textAlignment w:val="auto"/>
        <w:outlineLvl w:val="9"/>
        <w:rPr>
          <w:rFonts w:hint="eastAsia" w:ascii="仿宋_GB2312" w:hAnsi="仿宋_GB2312" w:eastAsia="仿宋_GB2312" w:cs="仿宋_GB2312"/>
          <w:b w:val="0"/>
          <w:bCs w:val="0"/>
          <w:color w:val="auto"/>
          <w:sz w:val="32"/>
          <w:szCs w:val="32"/>
          <w:highlight w:val="none"/>
          <w:lang w:eastAsia="zh-CN"/>
        </w:rPr>
      </w:pPr>
      <w:r>
        <w:rPr>
          <w:rFonts w:hint="eastAsia" w:ascii="楷体_GB2312" w:hAnsi="楷体_GB2312" w:eastAsia="楷体_GB2312" w:cs="楷体_GB2312"/>
          <w:b/>
          <w:bCs/>
          <w:color w:val="auto"/>
          <w:sz w:val="32"/>
          <w:szCs w:val="32"/>
          <w:highlight w:val="none"/>
        </w:rPr>
        <w:t>聚焦</w:t>
      </w:r>
      <w:r>
        <w:rPr>
          <w:rFonts w:hint="eastAsia" w:ascii="楷体_GB2312" w:hAnsi="楷体_GB2312" w:eastAsia="楷体_GB2312" w:cs="楷体_GB2312"/>
          <w:b/>
          <w:bCs/>
          <w:color w:val="auto"/>
          <w:sz w:val="32"/>
          <w:szCs w:val="32"/>
          <w:highlight w:val="none"/>
          <w:lang w:val="en-US" w:eastAsia="zh-CN"/>
        </w:rPr>
        <w:t>摸清家底</w:t>
      </w:r>
      <w:r>
        <w:rPr>
          <w:rFonts w:hint="eastAsia" w:ascii="楷体_GB2312" w:hAnsi="楷体_GB2312" w:eastAsia="楷体_GB2312" w:cs="楷体_GB2312"/>
          <w:b/>
          <w:bCs/>
          <w:color w:val="auto"/>
          <w:sz w:val="32"/>
          <w:szCs w:val="32"/>
          <w:highlight w:val="none"/>
        </w:rPr>
        <w:t>，</w:t>
      </w:r>
      <w:r>
        <w:rPr>
          <w:rFonts w:hint="eastAsia" w:ascii="楷体_GB2312" w:hAnsi="楷体_GB2312" w:eastAsia="楷体_GB2312" w:cs="楷体_GB2312"/>
          <w:b/>
          <w:bCs/>
          <w:color w:val="auto"/>
          <w:sz w:val="32"/>
          <w:szCs w:val="32"/>
          <w:highlight w:val="none"/>
          <w:lang w:val="en-US" w:eastAsia="zh-CN"/>
        </w:rPr>
        <w:t>扎实组织第五次全国经济普查。</w:t>
      </w:r>
      <w:r>
        <w:rPr>
          <w:rFonts w:hint="eastAsia" w:ascii="仿宋_GB2312" w:hAnsi="仿宋_GB2312" w:eastAsia="仿宋_GB2312" w:cs="仿宋_GB2312"/>
          <w:b w:val="0"/>
          <w:bCs w:val="0"/>
          <w:color w:val="auto"/>
          <w:sz w:val="32"/>
          <w:szCs w:val="32"/>
          <w:highlight w:val="none"/>
          <w:lang w:eastAsia="zh-CN"/>
        </w:rPr>
        <w:t>2024年1月1日，我市全面启动五经普现场登记工作。市经普办充分发挥牵头抓总作用，</w:t>
      </w:r>
      <w:r>
        <w:rPr>
          <w:rFonts w:hint="eastAsia" w:ascii="仿宋_GB2312" w:hAnsi="仿宋_GB2312" w:eastAsia="仿宋_GB2312" w:cs="仿宋_GB2312"/>
          <w:b w:val="0"/>
          <w:bCs w:val="0"/>
          <w:color w:val="auto"/>
          <w:sz w:val="32"/>
          <w:szCs w:val="32"/>
          <w:highlight w:val="none"/>
          <w:lang w:val="en-US" w:eastAsia="zh-CN"/>
        </w:rPr>
        <w:t>协调推动</w:t>
      </w:r>
      <w:r>
        <w:rPr>
          <w:rFonts w:hint="eastAsia" w:ascii="仿宋_GB2312" w:hAnsi="仿宋_GB2312" w:eastAsia="仿宋_GB2312" w:cs="仿宋_GB2312"/>
          <w:b w:val="0"/>
          <w:bCs w:val="0"/>
          <w:color w:val="auto"/>
          <w:sz w:val="32"/>
          <w:szCs w:val="32"/>
          <w:highlight w:val="none"/>
          <w:lang w:eastAsia="zh-CN"/>
        </w:rPr>
        <w:t>全市各级各部门深入贯彻市委、市政府</w:t>
      </w:r>
      <w:r>
        <w:rPr>
          <w:rFonts w:hint="eastAsia" w:ascii="仿宋_GB2312" w:hAnsi="仿宋_GB2312" w:eastAsia="仿宋_GB2312" w:cs="仿宋_GB2312"/>
          <w:b w:val="0"/>
          <w:bCs w:val="0"/>
          <w:color w:val="auto"/>
          <w:sz w:val="32"/>
          <w:szCs w:val="32"/>
          <w:highlight w:val="none"/>
          <w:lang w:val="en-US" w:eastAsia="zh-CN"/>
        </w:rPr>
        <w:t>决策部署</w:t>
      </w:r>
      <w:r>
        <w:rPr>
          <w:rFonts w:hint="eastAsia" w:ascii="仿宋_GB2312" w:hAnsi="仿宋_GB2312" w:eastAsia="仿宋_GB2312" w:cs="仿宋_GB2312"/>
          <w:b w:val="0"/>
          <w:bCs w:val="0"/>
          <w:color w:val="auto"/>
          <w:sz w:val="32"/>
          <w:szCs w:val="32"/>
          <w:highlight w:val="none"/>
          <w:lang w:eastAsia="zh-CN"/>
        </w:rPr>
        <w:t>，统筹协调，优化方式，突出重点，通过“五经普”，查清了我市第二、三产业和个体经营户的规模、分布、结构和效益，为确保全市经济社会发展成果“颗粒归仓”奠定了坚实基础。</w:t>
      </w:r>
    </w:p>
    <w:p w14:paraId="7D906230">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right="0" w:rightChars="0" w:firstLine="643" w:firstLineChars="200"/>
        <w:textAlignment w:val="auto"/>
        <w:outlineLvl w:val="9"/>
        <w:rPr>
          <w:rFonts w:hint="eastAsia" w:ascii="仿宋_GB2312" w:hAnsi="仿宋_GB2312" w:eastAsia="仿宋_GB2312" w:cs="仿宋_GB2312"/>
          <w:b w:val="0"/>
          <w:bCs w:val="0"/>
          <w:color w:val="000000"/>
          <w:kern w:val="0"/>
          <w:sz w:val="32"/>
          <w:szCs w:val="32"/>
          <w:highlight w:val="none"/>
          <w:lang w:eastAsia="zh-CN"/>
        </w:rPr>
      </w:pPr>
      <w:r>
        <w:rPr>
          <w:rFonts w:hint="eastAsia" w:ascii="楷体_GB2312" w:hAnsi="楷体_GB2312" w:eastAsia="楷体_GB2312" w:cs="楷体_GB2312"/>
          <w:b/>
          <w:bCs/>
          <w:color w:val="auto"/>
          <w:sz w:val="32"/>
          <w:szCs w:val="32"/>
          <w:highlight w:val="none"/>
          <w:lang w:val="en-US" w:eastAsia="zh-CN"/>
        </w:rPr>
        <w:t>聚焦统计能力</w:t>
      </w:r>
      <w:r>
        <w:rPr>
          <w:rFonts w:hint="eastAsia" w:ascii="楷体_GB2312" w:hAnsi="楷体_GB2312" w:eastAsia="楷体_GB2312" w:cs="楷体_GB2312"/>
          <w:b/>
          <w:bCs/>
          <w:color w:val="auto"/>
          <w:sz w:val="32"/>
          <w:szCs w:val="32"/>
          <w:highlight w:val="none"/>
          <w:lang w:eastAsia="zh-CN"/>
        </w:rPr>
        <w:t>，纵深推进统计</w:t>
      </w:r>
      <w:r>
        <w:rPr>
          <w:rFonts w:hint="eastAsia" w:ascii="楷体_GB2312" w:hAnsi="楷体_GB2312" w:eastAsia="楷体_GB2312" w:cs="楷体_GB2312"/>
          <w:b/>
          <w:bCs/>
          <w:color w:val="auto"/>
          <w:sz w:val="32"/>
          <w:szCs w:val="32"/>
          <w:highlight w:val="none"/>
          <w:lang w:val="en-US" w:eastAsia="zh-CN"/>
        </w:rPr>
        <w:t>教育</w:t>
      </w:r>
      <w:r>
        <w:rPr>
          <w:rFonts w:hint="eastAsia" w:ascii="楷体_GB2312" w:hAnsi="楷体_GB2312" w:eastAsia="楷体_GB2312" w:cs="楷体_GB2312"/>
          <w:b/>
          <w:bCs/>
          <w:color w:val="auto"/>
          <w:sz w:val="32"/>
          <w:szCs w:val="32"/>
          <w:highlight w:val="none"/>
          <w:lang w:eastAsia="zh-CN"/>
        </w:rPr>
        <w:t>培训。</w:t>
      </w:r>
      <w:r>
        <w:rPr>
          <w:rFonts w:hint="eastAsia" w:ascii="仿宋_GB2312" w:hAnsi="仿宋_GB2312" w:eastAsia="仿宋_GB2312" w:cs="仿宋_GB2312"/>
          <w:b w:val="0"/>
          <w:bCs w:val="0"/>
          <w:color w:val="auto"/>
          <w:sz w:val="32"/>
          <w:szCs w:val="32"/>
          <w:highlight w:val="none"/>
          <w:lang w:val="en-US" w:eastAsia="zh-CN"/>
        </w:rPr>
        <w:t>坚决落实</w:t>
      </w:r>
      <w:r>
        <w:rPr>
          <w:rFonts w:hint="eastAsia" w:ascii="仿宋_GB2312" w:hAnsi="仿宋_GB2312" w:eastAsia="仿宋_GB2312" w:cs="仿宋_GB2312"/>
          <w:b w:val="0"/>
          <w:bCs w:val="0"/>
          <w:color w:val="auto"/>
          <w:sz w:val="32"/>
          <w:szCs w:val="32"/>
          <w:highlight w:val="none"/>
          <w:lang w:eastAsia="zh-CN"/>
        </w:rPr>
        <w:t>市委、</w:t>
      </w:r>
      <w:r>
        <w:rPr>
          <w:rFonts w:hint="eastAsia" w:ascii="仿宋_GB2312" w:hAnsi="仿宋_GB2312" w:eastAsia="仿宋_GB2312" w:cs="仿宋_GB2312"/>
          <w:b w:val="0"/>
          <w:bCs w:val="0"/>
          <w:color w:val="auto"/>
          <w:sz w:val="32"/>
          <w:szCs w:val="32"/>
          <w:highlight w:val="none"/>
          <w:lang w:val="en-US" w:eastAsia="zh-CN"/>
        </w:rPr>
        <w:t>市政府部署要求，努力推动统计领导者依法治统能力和统计工作者依法统计水平的全面提升。</w:t>
      </w:r>
    </w:p>
    <w:p w14:paraId="6472DE12">
      <w:pPr>
        <w:pStyle w:val="5"/>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3" w:firstLineChars="200"/>
        <w:textAlignment w:val="auto"/>
        <w:outlineLvl w:val="9"/>
        <w:rPr>
          <w:rFonts w:hint="eastAsia" w:ascii="仿宋_GB2312" w:hAnsi="仿宋_GB2312" w:eastAsia="仿宋_GB2312" w:cs="仿宋_GB2312"/>
          <w:color w:val="auto"/>
          <w:sz w:val="32"/>
          <w:szCs w:val="32"/>
          <w:highlight w:val="none"/>
          <w:lang w:eastAsia="zh-CN"/>
        </w:rPr>
      </w:pPr>
      <w:r>
        <w:rPr>
          <w:rFonts w:hint="eastAsia" w:ascii="楷体_GB2312" w:hAnsi="楷体_GB2312" w:eastAsia="楷体_GB2312" w:cs="楷体_GB2312"/>
          <w:b/>
          <w:bCs/>
          <w:color w:val="auto"/>
          <w:sz w:val="32"/>
          <w:szCs w:val="32"/>
          <w:highlight w:val="none"/>
          <w:lang w:val="en-US" w:eastAsia="zh-CN"/>
        </w:rPr>
        <w:t>聚焦</w:t>
      </w:r>
      <w:r>
        <w:rPr>
          <w:rFonts w:hint="eastAsia" w:ascii="楷体_GB2312" w:hAnsi="楷体_GB2312" w:eastAsia="楷体_GB2312" w:cs="楷体_GB2312"/>
          <w:b/>
          <w:bCs/>
          <w:color w:val="auto"/>
          <w:sz w:val="32"/>
          <w:szCs w:val="32"/>
          <w:highlight w:val="none"/>
          <w:lang w:eastAsia="zh-CN"/>
        </w:rPr>
        <w:t>信息</w:t>
      </w:r>
      <w:r>
        <w:rPr>
          <w:rFonts w:hint="eastAsia" w:ascii="楷体_GB2312" w:hAnsi="楷体_GB2312" w:eastAsia="楷体_GB2312" w:cs="楷体_GB2312"/>
          <w:b/>
          <w:bCs/>
          <w:color w:val="auto"/>
          <w:sz w:val="32"/>
          <w:szCs w:val="32"/>
          <w:highlight w:val="none"/>
          <w:lang w:val="en-US" w:eastAsia="zh-CN"/>
        </w:rPr>
        <w:t>咨询</w:t>
      </w:r>
      <w:r>
        <w:rPr>
          <w:rFonts w:hint="eastAsia" w:ascii="楷体_GB2312" w:hAnsi="楷体_GB2312" w:eastAsia="楷体_GB2312" w:cs="楷体_GB2312"/>
          <w:b/>
          <w:bCs/>
          <w:color w:val="auto"/>
          <w:sz w:val="32"/>
          <w:szCs w:val="32"/>
          <w:highlight w:val="none"/>
          <w:lang w:eastAsia="zh-CN"/>
        </w:rPr>
        <w:t>，</w:t>
      </w:r>
      <w:r>
        <w:rPr>
          <w:rFonts w:hint="eastAsia" w:ascii="楷体_GB2312" w:hAnsi="楷体_GB2312" w:eastAsia="楷体_GB2312" w:cs="楷体_GB2312"/>
          <w:b/>
          <w:bCs/>
          <w:color w:val="auto"/>
          <w:sz w:val="32"/>
          <w:szCs w:val="32"/>
          <w:highlight w:val="none"/>
          <w:lang w:val="en-US" w:eastAsia="zh-CN"/>
        </w:rPr>
        <w:t>努力打造</w:t>
      </w:r>
      <w:r>
        <w:rPr>
          <w:rFonts w:hint="eastAsia" w:ascii="楷体_GB2312" w:hAnsi="楷体_GB2312" w:eastAsia="楷体_GB2312" w:cs="楷体_GB2312"/>
          <w:b/>
          <w:bCs/>
          <w:color w:val="auto"/>
          <w:sz w:val="32"/>
          <w:szCs w:val="32"/>
          <w:highlight w:val="none"/>
          <w:lang w:eastAsia="zh-CN"/>
        </w:rPr>
        <w:t>统计宣传亮点。</w:t>
      </w:r>
      <w:r>
        <w:rPr>
          <w:rFonts w:hint="eastAsia" w:ascii="仿宋_GB2312" w:hAnsi="仿宋_GB2312" w:eastAsia="仿宋_GB2312" w:cs="仿宋_GB2312"/>
          <w:b w:val="0"/>
          <w:bCs w:val="0"/>
          <w:color w:val="auto"/>
          <w:sz w:val="32"/>
          <w:szCs w:val="32"/>
          <w:highlight w:val="none"/>
          <w:lang w:eastAsia="zh-CN"/>
        </w:rPr>
        <w:t>坚持用数据说话，强化创新意识、超前意识，不断探索统计服务新方法，开发新产品，统计服务决策、服务发展、服务公众的信息咨询作用得到有效发挥。</w:t>
      </w:r>
    </w:p>
    <w:p w14:paraId="4AC063CB">
      <w:pPr>
        <w:spacing w:line="60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（二）分项绩效目标实现情况及指标分析</w:t>
      </w:r>
    </w:p>
    <w:p w14:paraId="03E18AA2">
      <w:pPr>
        <w:spacing w:line="600" w:lineRule="exact"/>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eastAsia="zh-CN"/>
        </w:rPr>
        <w:t>2024</w:t>
      </w:r>
      <w:r>
        <w:rPr>
          <w:rFonts w:hint="eastAsia" w:ascii="仿宋_GB2312" w:hAnsi="仿宋_GB2312" w:eastAsia="仿宋_GB2312" w:cs="仿宋_GB2312"/>
          <w:color w:val="auto"/>
          <w:sz w:val="32"/>
          <w:szCs w:val="32"/>
        </w:rPr>
        <w:t>年度纳入绩效评价的预算项目共</w:t>
      </w:r>
      <w:r>
        <w:rPr>
          <w:rFonts w:hint="eastAsia" w:ascii="仿宋_GB2312" w:hAnsi="仿宋_GB2312" w:eastAsia="仿宋_GB2312" w:cs="仿宋_GB2312"/>
          <w:color w:val="auto"/>
          <w:sz w:val="32"/>
          <w:szCs w:val="32"/>
          <w:lang w:val="en-US" w:eastAsia="zh-CN"/>
        </w:rPr>
        <w:t>11</w:t>
      </w:r>
      <w:r>
        <w:rPr>
          <w:rFonts w:hint="eastAsia" w:ascii="仿宋_GB2312" w:hAnsi="仿宋_GB2312" w:eastAsia="仿宋_GB2312" w:cs="仿宋_GB2312"/>
          <w:color w:val="auto"/>
          <w:sz w:val="32"/>
          <w:szCs w:val="32"/>
        </w:rPr>
        <w:t>个，各项目绩效目标、一级绩效指标（产出指标、效果指标）、二级绩效指标及评价标准是从项目库中提取，在项目预算编制时制定的，并在此基础上结合统计部门工作活动的特点和实际情况，对原绩效评价指标进行细化和完善，形成了我局</w:t>
      </w:r>
      <w:r>
        <w:rPr>
          <w:rFonts w:hint="eastAsia" w:ascii="仿宋_GB2312" w:hAnsi="仿宋_GB2312" w:eastAsia="仿宋_GB2312" w:cs="仿宋_GB2312"/>
          <w:color w:val="auto"/>
          <w:sz w:val="32"/>
          <w:szCs w:val="32"/>
          <w:lang w:eastAsia="zh-CN"/>
        </w:rPr>
        <w:t>2024</w:t>
      </w:r>
      <w:r>
        <w:rPr>
          <w:rFonts w:hint="eastAsia" w:ascii="仿宋_GB2312" w:hAnsi="仿宋_GB2312" w:eastAsia="仿宋_GB2312" w:cs="仿宋_GB2312"/>
          <w:color w:val="auto"/>
          <w:sz w:val="32"/>
          <w:szCs w:val="32"/>
        </w:rPr>
        <w:t>年度预算项目绩效自评表。</w:t>
      </w:r>
    </w:p>
    <w:p w14:paraId="5CBCCBF7">
      <w:pPr>
        <w:adjustRightInd w:val="0"/>
        <w:snapToGrid w:val="0"/>
        <w:spacing w:line="600" w:lineRule="exact"/>
        <w:ind w:firstLine="640" w:firstLineChars="200"/>
        <w:rPr>
          <w:rFonts w:ascii="黑体" w:hAnsi="黑体" w:eastAsia="黑体" w:cs="黑体"/>
          <w:color w:val="auto"/>
          <w:sz w:val="32"/>
          <w:szCs w:val="32"/>
        </w:rPr>
      </w:pPr>
      <w:r>
        <w:rPr>
          <w:rFonts w:hint="eastAsia" w:ascii="黑体" w:hAnsi="黑体" w:eastAsia="黑体" w:cs="黑体"/>
          <w:color w:val="auto"/>
          <w:sz w:val="32"/>
          <w:szCs w:val="32"/>
        </w:rPr>
        <w:t>五、评价结论和评价等级</w:t>
      </w:r>
    </w:p>
    <w:p w14:paraId="02899C1A">
      <w:pPr>
        <w:autoSpaceDE w:val="0"/>
        <w:spacing w:line="600" w:lineRule="exact"/>
        <w:ind w:firstLine="640" w:firstLineChars="200"/>
        <w:rPr>
          <w:rFonts w:ascii="仿宋_GB2312" w:hAnsi="仿宋_GB2312" w:eastAsia="仿宋_GB2312" w:cs="黑体"/>
          <w:color w:val="auto"/>
          <w:sz w:val="32"/>
          <w:szCs w:val="32"/>
        </w:rPr>
      </w:pPr>
      <w:r>
        <w:rPr>
          <w:rFonts w:hint="eastAsia" w:ascii="仿宋_GB2312" w:hAnsi="仿宋_GB2312" w:eastAsia="仿宋_GB2312" w:cs="黑体"/>
          <w:color w:val="auto"/>
          <w:sz w:val="32"/>
          <w:szCs w:val="32"/>
        </w:rPr>
        <w:t>根据部门职责定位和各项工作履职情况进行综合评价，综合得分</w:t>
      </w:r>
      <w:r>
        <w:rPr>
          <w:rFonts w:hint="eastAsia" w:ascii="仿宋_GB2312" w:hAnsi="仿宋_GB2312" w:eastAsia="仿宋_GB2312" w:cs="黑体"/>
          <w:color w:val="auto"/>
          <w:sz w:val="32"/>
          <w:szCs w:val="32"/>
          <w:lang w:val="en-US" w:eastAsia="zh-CN"/>
        </w:rPr>
        <w:t>87</w:t>
      </w:r>
      <w:r>
        <w:rPr>
          <w:rFonts w:hint="eastAsia" w:ascii="仿宋_GB2312" w:hAnsi="仿宋_GB2312" w:eastAsia="仿宋_GB2312" w:cs="黑体"/>
          <w:color w:val="auto"/>
          <w:sz w:val="32"/>
          <w:szCs w:val="32"/>
        </w:rPr>
        <w:t>分，综合绩效评价等级为优秀。</w:t>
      </w:r>
    </w:p>
    <w:p w14:paraId="5629585D">
      <w:pPr>
        <w:adjustRightInd w:val="0"/>
        <w:snapToGrid w:val="0"/>
        <w:spacing w:line="600" w:lineRule="exact"/>
        <w:ind w:firstLine="640" w:firstLineChars="200"/>
        <w:rPr>
          <w:rFonts w:ascii="黑体" w:hAnsi="黑体" w:eastAsia="黑体" w:cs="黑体"/>
          <w:color w:val="auto"/>
          <w:sz w:val="32"/>
          <w:szCs w:val="32"/>
        </w:rPr>
      </w:pPr>
      <w:r>
        <w:rPr>
          <w:rFonts w:hint="eastAsia" w:ascii="黑体" w:hAnsi="黑体" w:eastAsia="黑体" w:cs="黑体"/>
          <w:color w:val="auto"/>
          <w:sz w:val="32"/>
          <w:szCs w:val="32"/>
        </w:rPr>
        <w:t>六、存在的问题及改进措施</w:t>
      </w:r>
    </w:p>
    <w:p w14:paraId="68B4258B">
      <w:pPr>
        <w:autoSpaceDE w:val="0"/>
        <w:spacing w:line="600" w:lineRule="exact"/>
        <w:ind w:firstLine="640" w:firstLineChars="200"/>
        <w:rPr>
          <w:rFonts w:ascii="仿宋_GB2312" w:hAnsi="仿宋_GB2312" w:eastAsia="楷体_GB2312" w:cs="黑体"/>
          <w:color w:val="auto"/>
          <w:sz w:val="32"/>
          <w:szCs w:val="32"/>
        </w:rPr>
      </w:pPr>
      <w:r>
        <w:rPr>
          <w:rFonts w:hint="eastAsia" w:ascii="仿宋_GB2312" w:hAnsi="仿宋_GB2312" w:eastAsia="楷体_GB2312" w:cs="黑体"/>
          <w:color w:val="auto"/>
          <w:sz w:val="32"/>
          <w:szCs w:val="32"/>
        </w:rPr>
        <w:t>（一）存在的主要问题</w:t>
      </w:r>
    </w:p>
    <w:p w14:paraId="2961B6C4">
      <w:pPr>
        <w:autoSpaceDE w:val="0"/>
        <w:spacing w:line="600" w:lineRule="exact"/>
        <w:ind w:firstLine="640" w:firstLineChars="200"/>
        <w:rPr>
          <w:rFonts w:hint="eastAsia" w:ascii="仿宋_GB2312" w:hAnsi="仿宋_GB2312" w:eastAsia="仿宋_GB2312" w:cs="黑体"/>
          <w:color w:val="auto"/>
          <w:sz w:val="32"/>
          <w:szCs w:val="32"/>
        </w:rPr>
      </w:pPr>
      <w:r>
        <w:rPr>
          <w:rFonts w:hint="eastAsia" w:ascii="仿宋_GB2312" w:hAnsi="仿宋_GB2312" w:eastAsia="仿宋_GB2312" w:cs="黑体"/>
          <w:color w:val="auto"/>
          <w:sz w:val="32"/>
          <w:szCs w:val="32"/>
        </w:rPr>
        <w:t>部分</w:t>
      </w:r>
      <w:r>
        <w:rPr>
          <w:rFonts w:hint="eastAsia" w:ascii="仿宋_GB2312" w:hAnsi="仿宋_GB2312" w:eastAsia="仿宋_GB2312" w:cs="黑体"/>
          <w:color w:val="auto"/>
          <w:sz w:val="32"/>
          <w:szCs w:val="32"/>
          <w:lang w:eastAsia="zh-CN"/>
        </w:rPr>
        <w:t>科</w:t>
      </w:r>
      <w:r>
        <w:rPr>
          <w:rFonts w:hint="eastAsia" w:ascii="仿宋_GB2312" w:hAnsi="仿宋_GB2312" w:eastAsia="仿宋_GB2312" w:cs="黑体"/>
          <w:color w:val="auto"/>
          <w:sz w:val="32"/>
          <w:szCs w:val="32"/>
        </w:rPr>
        <w:t>室对于绩效管理工作的重要性认识不足，未充分意识到其对提升部门工作效能、优化资源配置的关键作用。</w:t>
      </w:r>
    </w:p>
    <w:p w14:paraId="00A2BDAC">
      <w:pPr>
        <w:autoSpaceDE w:val="0"/>
        <w:spacing w:line="600" w:lineRule="exact"/>
        <w:ind w:firstLine="640" w:firstLineChars="200"/>
        <w:rPr>
          <w:rFonts w:ascii="仿宋_GB2312" w:hAnsi="仿宋_GB2312" w:eastAsia="楷体_GB2312" w:cs="黑体"/>
          <w:color w:val="auto"/>
          <w:sz w:val="32"/>
          <w:szCs w:val="32"/>
        </w:rPr>
      </w:pPr>
      <w:r>
        <w:rPr>
          <w:rFonts w:hint="eastAsia" w:ascii="仿宋_GB2312" w:hAnsi="仿宋_GB2312" w:eastAsia="楷体_GB2312" w:cs="黑体"/>
          <w:color w:val="auto"/>
          <w:sz w:val="32"/>
          <w:szCs w:val="32"/>
        </w:rPr>
        <w:t>（二）针对问题提出具体的改进措施或建议</w:t>
      </w:r>
    </w:p>
    <w:p w14:paraId="02117950">
      <w:pPr>
        <w:autoSpaceDE w:val="0"/>
        <w:spacing w:line="600" w:lineRule="exact"/>
        <w:ind w:firstLine="640" w:firstLineChars="200"/>
        <w:rPr>
          <w:rFonts w:hint="eastAsia" w:ascii="仿宋_GB2312" w:hAnsi="仿宋_GB2312" w:eastAsia="仿宋_GB2312" w:cs="黑体"/>
          <w:color w:val="auto"/>
          <w:sz w:val="32"/>
          <w:szCs w:val="32"/>
          <w:lang w:eastAsia="zh-CN"/>
        </w:rPr>
      </w:pPr>
      <w:r>
        <w:rPr>
          <w:rFonts w:hint="eastAsia" w:ascii="仿宋_GB2312" w:hAnsi="仿宋_GB2312" w:eastAsia="仿宋_GB2312" w:cs="黑体"/>
          <w:color w:val="auto"/>
          <w:sz w:val="32"/>
          <w:szCs w:val="32"/>
        </w:rPr>
        <w:t>通过组织专题讲座、内部研讨等活动，全方位、多层次地传播绩效管理理念，增强全</w:t>
      </w:r>
      <w:r>
        <w:rPr>
          <w:rFonts w:hint="eastAsia" w:ascii="仿宋_GB2312" w:hAnsi="仿宋_GB2312" w:eastAsia="仿宋_GB2312" w:cs="黑体"/>
          <w:color w:val="auto"/>
          <w:sz w:val="32"/>
          <w:szCs w:val="32"/>
          <w:lang w:eastAsia="zh-CN"/>
        </w:rPr>
        <w:t>局</w:t>
      </w:r>
      <w:r>
        <w:rPr>
          <w:rFonts w:hint="eastAsia" w:ascii="仿宋_GB2312" w:hAnsi="仿宋_GB2312" w:eastAsia="仿宋_GB2312" w:cs="黑体"/>
          <w:color w:val="auto"/>
          <w:sz w:val="32"/>
          <w:szCs w:val="32"/>
        </w:rPr>
        <w:t>对绩效管理重要性的认识</w:t>
      </w:r>
      <w:r>
        <w:rPr>
          <w:rFonts w:hint="eastAsia" w:ascii="仿宋_GB2312" w:hAnsi="仿宋_GB2312" w:eastAsia="仿宋_GB2312" w:cs="黑体"/>
          <w:color w:val="auto"/>
          <w:sz w:val="32"/>
          <w:szCs w:val="32"/>
          <w:lang w:eastAsia="zh-CN"/>
        </w:rPr>
        <w:t>。</w:t>
      </w:r>
    </w:p>
    <w:p w14:paraId="5D9D90B9">
      <w:pPr>
        <w:pStyle w:val="2"/>
      </w:pPr>
    </w:p>
    <w:p w14:paraId="1BFF57D5">
      <w:pPr>
        <w:adjustRightInd w:val="0"/>
        <w:snapToGrid w:val="0"/>
        <w:spacing w:line="600" w:lineRule="exact"/>
        <w:ind w:firstLine="640" w:firstLineChars="200"/>
        <w:rPr>
          <w:rFonts w:ascii="仿宋_GB2312" w:hAnsi="仿宋_GB2312" w:eastAsia="仿宋" w:cs="仿宋"/>
          <w:color w:val="auto"/>
          <w:sz w:val="32"/>
          <w:szCs w:val="32"/>
        </w:rPr>
      </w:pPr>
    </w:p>
    <w:p w14:paraId="6B9345F4">
      <w:pPr>
        <w:adjustRightInd w:val="0"/>
        <w:snapToGrid w:val="0"/>
        <w:spacing w:line="600" w:lineRule="exact"/>
        <w:ind w:firstLine="640" w:firstLineChars="200"/>
        <w:rPr>
          <w:rFonts w:ascii="仿宋_GB2312" w:hAnsi="仿宋_GB2312" w:eastAsia="仿宋" w:cs="仿宋"/>
          <w:color w:val="auto"/>
          <w:sz w:val="32"/>
          <w:szCs w:val="32"/>
        </w:rPr>
      </w:pPr>
      <w:r>
        <w:rPr>
          <w:rFonts w:hint="eastAsia" w:ascii="仿宋_GB2312" w:hAnsi="仿宋_GB2312" w:eastAsia="仿宋" w:cs="仿宋"/>
          <w:color w:val="auto"/>
          <w:sz w:val="32"/>
          <w:szCs w:val="32"/>
        </w:rPr>
        <w:t xml:space="preserve">                              </w:t>
      </w:r>
      <w:r>
        <w:rPr>
          <w:rFonts w:ascii="仿宋_GB2312" w:hAnsi="仿宋_GB2312" w:eastAsia="仿宋" w:cs="仿宋"/>
          <w:color w:val="auto"/>
          <w:sz w:val="32"/>
          <w:szCs w:val="32"/>
        </w:rPr>
        <w:t xml:space="preserve">  </w:t>
      </w:r>
      <w:r>
        <w:rPr>
          <w:rFonts w:hint="eastAsia" w:ascii="仿宋_GB2312" w:hAnsi="仿宋_GB2312" w:eastAsia="仿宋" w:cs="仿宋"/>
          <w:color w:val="auto"/>
          <w:sz w:val="32"/>
          <w:szCs w:val="32"/>
        </w:rPr>
        <w:t xml:space="preserve">  石家庄市</w:t>
      </w:r>
      <w:r>
        <w:rPr>
          <w:rFonts w:ascii="仿宋_GB2312" w:hAnsi="仿宋_GB2312" w:eastAsia="仿宋" w:cs="仿宋"/>
          <w:color w:val="auto"/>
          <w:sz w:val="32"/>
          <w:szCs w:val="32"/>
        </w:rPr>
        <w:t>统计局</w:t>
      </w:r>
    </w:p>
    <w:p w14:paraId="03FA6213">
      <w:pPr>
        <w:adjustRightInd w:val="0"/>
        <w:snapToGrid w:val="0"/>
        <w:spacing w:line="600" w:lineRule="exact"/>
        <w:ind w:firstLine="640" w:firstLineChars="200"/>
        <w:rPr>
          <w:rFonts w:ascii="仿宋_GB2312" w:hAnsi="仿宋_GB2312" w:eastAsia="仿宋" w:cs="仿宋"/>
          <w:color w:val="auto"/>
          <w:sz w:val="32"/>
          <w:szCs w:val="32"/>
        </w:rPr>
      </w:pPr>
      <w:r>
        <w:rPr>
          <w:rFonts w:ascii="仿宋_GB2312" w:hAnsi="仿宋_GB2312" w:eastAsia="仿宋" w:cs="仿宋"/>
          <w:color w:val="auto"/>
          <w:sz w:val="32"/>
          <w:szCs w:val="32"/>
        </w:rPr>
        <w:t xml:space="preserve">                            </w:t>
      </w:r>
      <w:r>
        <w:rPr>
          <w:rFonts w:hint="eastAsia" w:ascii="仿宋_GB2312" w:hAnsi="仿宋_GB2312" w:eastAsia="仿宋" w:cs="仿宋"/>
          <w:color w:val="auto"/>
          <w:sz w:val="32"/>
          <w:szCs w:val="32"/>
        </w:rPr>
        <w:t xml:space="preserve"> </w:t>
      </w:r>
      <w:r>
        <w:rPr>
          <w:rFonts w:ascii="仿宋_GB2312" w:hAnsi="仿宋_GB2312" w:eastAsia="仿宋" w:cs="仿宋"/>
          <w:color w:val="auto"/>
          <w:sz w:val="32"/>
          <w:szCs w:val="32"/>
        </w:rPr>
        <w:t xml:space="preserve"> </w:t>
      </w:r>
      <w:r>
        <w:rPr>
          <w:rFonts w:hint="eastAsia" w:ascii="仿宋_GB2312" w:hAnsi="仿宋_GB2312" w:eastAsia="仿宋" w:cs="仿宋"/>
          <w:color w:val="auto"/>
          <w:sz w:val="32"/>
          <w:szCs w:val="32"/>
        </w:rPr>
        <w:t xml:space="preserve"> </w:t>
      </w:r>
      <w:r>
        <w:rPr>
          <w:rFonts w:ascii="仿宋_GB2312" w:hAnsi="仿宋_GB2312" w:eastAsia="仿宋" w:cs="仿宋"/>
          <w:color w:val="auto"/>
          <w:sz w:val="32"/>
          <w:szCs w:val="32"/>
        </w:rPr>
        <w:t xml:space="preserve">  202</w:t>
      </w:r>
      <w:r>
        <w:rPr>
          <w:rFonts w:hint="eastAsia" w:ascii="仿宋_GB2312" w:hAnsi="仿宋_GB2312" w:eastAsia="仿宋" w:cs="仿宋"/>
          <w:color w:val="auto"/>
          <w:sz w:val="32"/>
          <w:szCs w:val="32"/>
          <w:lang w:val="en-US" w:eastAsia="zh-CN"/>
        </w:rPr>
        <w:t>5</w:t>
      </w:r>
      <w:r>
        <w:rPr>
          <w:rFonts w:hint="eastAsia" w:ascii="仿宋_GB2312" w:hAnsi="仿宋_GB2312" w:eastAsia="仿宋" w:cs="仿宋"/>
          <w:color w:val="auto"/>
          <w:sz w:val="32"/>
          <w:szCs w:val="32"/>
        </w:rPr>
        <w:t>年</w:t>
      </w:r>
      <w:r>
        <w:rPr>
          <w:rFonts w:hint="eastAsia" w:ascii="仿宋_GB2312" w:hAnsi="仿宋_GB2312" w:eastAsia="仿宋" w:cs="仿宋"/>
          <w:color w:val="auto"/>
          <w:sz w:val="32"/>
          <w:szCs w:val="32"/>
          <w:lang w:val="en-US" w:eastAsia="zh-CN"/>
        </w:rPr>
        <w:t>3</w:t>
      </w:r>
      <w:r>
        <w:rPr>
          <w:rFonts w:hint="eastAsia" w:ascii="仿宋_GB2312" w:hAnsi="仿宋_GB2312" w:eastAsia="仿宋" w:cs="仿宋"/>
          <w:color w:val="auto"/>
          <w:sz w:val="32"/>
          <w:szCs w:val="32"/>
        </w:rPr>
        <w:t>月</w:t>
      </w:r>
      <w:r>
        <w:rPr>
          <w:rFonts w:hint="eastAsia" w:ascii="仿宋_GB2312" w:hAnsi="仿宋_GB2312" w:eastAsia="仿宋" w:cs="仿宋"/>
          <w:color w:val="auto"/>
          <w:sz w:val="32"/>
          <w:szCs w:val="32"/>
          <w:lang w:val="en-US" w:eastAsia="zh-CN"/>
        </w:rPr>
        <w:t>30</w:t>
      </w:r>
      <w:r>
        <w:rPr>
          <w:rFonts w:hint="eastAsia" w:ascii="仿宋_GB2312" w:hAnsi="仿宋_GB2312" w:eastAsia="仿宋" w:cs="仿宋"/>
          <w:color w:val="auto"/>
          <w:sz w:val="32"/>
          <w:szCs w:val="32"/>
        </w:rPr>
        <w:t>日</w:t>
      </w:r>
    </w:p>
    <w:sectPr>
      <w:footerReference r:id="rId5" w:type="default"/>
      <w:pgSz w:w="11906" w:h="16838"/>
      <w:pgMar w:top="1474" w:right="1304" w:bottom="1474" w:left="1531" w:header="851" w:footer="992" w:gutter="0"/>
      <w:pgNumType w:fmt="decimal"/>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方正仿宋_GBK">
    <w:altName w:val="Arial Unicode MS"/>
    <w:panose1 w:val="02000000000000000000"/>
    <w:charset w:val="86"/>
    <w:family w:val="auto"/>
    <w:pitch w:val="default"/>
    <w:sig w:usb0="00000000" w:usb1="00000000" w:usb2="00082016" w:usb3="00000000" w:csb0="00040001" w:csb1="00000000"/>
  </w:font>
  <w:font w:name="方正小标宋简体">
    <w:panose1 w:val="02010601030101010101"/>
    <w:charset w:val="86"/>
    <w:family w:val="script"/>
    <w:pitch w:val="default"/>
    <w:sig w:usb0="00000001" w:usb1="080E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18E375">
    <w:pPr>
      <w:pStyle w:val="9"/>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F3FA6A1">
                          <w:pPr>
                            <w:pStyle w:val="9"/>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- 1 -</w:t>
                          </w:r>
                          <w:r>
                            <w:rPr>
                              <w:rFonts w:hint="eastAsia" w:ascii="宋体" w:hAnsi="宋体" w:eastAsia="宋体" w:cs="宋体"/>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2F3FA6A1">
                    <w:pPr>
                      <w:pStyle w:val="9"/>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- 1 -</w:t>
                    </w:r>
                    <w:r>
                      <w:rPr>
                        <w:rFonts w:hint="eastAsia" w:ascii="宋体" w:hAnsi="宋体" w:eastAsia="宋体" w:cs="宋体"/>
                        <w:sz w:val="28"/>
                        <w:szCs w:val="28"/>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563401">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32EA27BD">
                          <w:pPr>
                            <w:snapToGrid w:val="0"/>
                            <w:rPr>
                              <w:rFonts w:ascii="宋体" w:hAnsi="宋体" w:cs="宋体"/>
                              <w:sz w:val="28"/>
                              <w:szCs w:val="28"/>
                            </w:rPr>
                          </w:pP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ascii="宋体" w:hAnsi="宋体" w:cs="宋体"/>
                              <w:sz w:val="28"/>
                              <w:szCs w:val="28"/>
                            </w:rPr>
                            <w:t>- 16 -</w:t>
                          </w:r>
                          <w:r>
                            <w:rPr>
                              <w:rFonts w:hint="eastAsia" w:ascii="宋体" w:hAnsi="宋体" w:cs="宋体"/>
                              <w:sz w:val="28"/>
                              <w:szCs w:val="28"/>
                            </w:rPr>
                            <w:fldChar w:fldCharType="end"/>
                          </w:r>
                        </w:p>
                      </w:txbxContent>
                    </wps:txbx>
                    <wps:bodyPr wrap="none" lIns="0" tIns="0" rIns="0" bIns="0" upright="1">
                      <a:spAutoFit/>
                    </wps:bodyPr>
                  </wps:wsp>
                </a:graphicData>
              </a:graphic>
            </wp:anchor>
          </w:drawing>
        </mc:Choice>
        <mc:Fallback>
          <w:pict>
            <v:shape id="文本框 2"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Bm5dOTIAQAAmQMAAA4AAAAAAAAAAQAgAAAAHgEAAGRycy9lMm9Eb2Mu&#10;eG1sUEsFBgAAAAAGAAYAWQEAAFgFAAAAAA==&#10;">
              <v:fill on="f" focussize="0,0"/>
              <v:stroke on="f"/>
              <v:imagedata o:title=""/>
              <o:lock v:ext="edit" aspectratio="f"/>
              <v:textbox inset="0mm,0mm,0mm,0mm" style="mso-fit-shape-to-text:t;">
                <w:txbxContent>
                  <w:p w14:paraId="32EA27BD">
                    <w:pPr>
                      <w:snapToGrid w:val="0"/>
                      <w:rPr>
                        <w:rFonts w:ascii="宋体" w:hAnsi="宋体" w:cs="宋体"/>
                        <w:sz w:val="28"/>
                        <w:szCs w:val="28"/>
                      </w:rPr>
                    </w:pP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ascii="宋体" w:hAnsi="宋体" w:cs="宋体"/>
                        <w:sz w:val="28"/>
                        <w:szCs w:val="28"/>
                      </w:rPr>
                      <w:t>- 16 -</w:t>
                    </w:r>
                    <w:r>
                      <w:rPr>
                        <w:rFonts w:hint="eastAsia" w:ascii="宋体" w:hAnsi="宋体" w:cs="宋体"/>
                        <w:sz w:val="28"/>
                        <w:szCs w:val="2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814097">
    <w:pPr>
      <w:pStyle w:val="10"/>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NotTrackMoves/>
  <w:documentProtection w:enforcement="0"/>
  <w:defaultTabStop w:val="420"/>
  <w:drawingGridHorizontalSpacing w:val="105"/>
  <w:drawingGridVerticalSpacing w:val="156"/>
  <w:noPunctuationKerning w:val="1"/>
  <w:characterSpacingControl w:val="compressPunctuation"/>
  <w:hdrShapeDefaults>
    <o:shapelayout v:ext="edit">
      <o:idmap v:ext="edit" data="3"/>
    </o:shapelayout>
  </w:hdrShapeDefaults>
  <w:compat>
    <w:spaceForUL/>
    <w:balanceSingleByteDoubleByteWidth/>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16A3"/>
    <w:rsid w:val="00031A47"/>
    <w:rsid w:val="0007560D"/>
    <w:rsid w:val="000A2440"/>
    <w:rsid w:val="000D29F1"/>
    <w:rsid w:val="00117AF4"/>
    <w:rsid w:val="001627CF"/>
    <w:rsid w:val="00176210"/>
    <w:rsid w:val="001D2D4C"/>
    <w:rsid w:val="001F50E8"/>
    <w:rsid w:val="001F6DF5"/>
    <w:rsid w:val="002144F9"/>
    <w:rsid w:val="00221C5C"/>
    <w:rsid w:val="00224366"/>
    <w:rsid w:val="00235017"/>
    <w:rsid w:val="002456DA"/>
    <w:rsid w:val="00246346"/>
    <w:rsid w:val="002603C2"/>
    <w:rsid w:val="00296181"/>
    <w:rsid w:val="002C24D6"/>
    <w:rsid w:val="002E6310"/>
    <w:rsid w:val="00353EDC"/>
    <w:rsid w:val="00381175"/>
    <w:rsid w:val="00383AC5"/>
    <w:rsid w:val="00395699"/>
    <w:rsid w:val="003A404C"/>
    <w:rsid w:val="003B412A"/>
    <w:rsid w:val="003F612D"/>
    <w:rsid w:val="004045D2"/>
    <w:rsid w:val="00412B4B"/>
    <w:rsid w:val="00432709"/>
    <w:rsid w:val="00447DCD"/>
    <w:rsid w:val="004839B9"/>
    <w:rsid w:val="00483F11"/>
    <w:rsid w:val="00484D0D"/>
    <w:rsid w:val="00485365"/>
    <w:rsid w:val="00491FCD"/>
    <w:rsid w:val="004B26EF"/>
    <w:rsid w:val="004C229D"/>
    <w:rsid w:val="004C387C"/>
    <w:rsid w:val="004C4CDF"/>
    <w:rsid w:val="004D5595"/>
    <w:rsid w:val="004E0375"/>
    <w:rsid w:val="004E2A32"/>
    <w:rsid w:val="004E6C05"/>
    <w:rsid w:val="004F6F9F"/>
    <w:rsid w:val="00500FFB"/>
    <w:rsid w:val="00537B27"/>
    <w:rsid w:val="00546BCB"/>
    <w:rsid w:val="005528F1"/>
    <w:rsid w:val="00555DB0"/>
    <w:rsid w:val="00560108"/>
    <w:rsid w:val="00567E82"/>
    <w:rsid w:val="005C236C"/>
    <w:rsid w:val="005E0125"/>
    <w:rsid w:val="005E3340"/>
    <w:rsid w:val="005E6EC9"/>
    <w:rsid w:val="00665896"/>
    <w:rsid w:val="00686830"/>
    <w:rsid w:val="006A316F"/>
    <w:rsid w:val="006A75A0"/>
    <w:rsid w:val="006B3610"/>
    <w:rsid w:val="006D363D"/>
    <w:rsid w:val="006D6ABC"/>
    <w:rsid w:val="00706394"/>
    <w:rsid w:val="0071336C"/>
    <w:rsid w:val="0071475B"/>
    <w:rsid w:val="00726C0C"/>
    <w:rsid w:val="00757DCF"/>
    <w:rsid w:val="00772852"/>
    <w:rsid w:val="00793214"/>
    <w:rsid w:val="007B4655"/>
    <w:rsid w:val="007D43DA"/>
    <w:rsid w:val="007D5FF7"/>
    <w:rsid w:val="007E50DB"/>
    <w:rsid w:val="007E661D"/>
    <w:rsid w:val="007F5EE6"/>
    <w:rsid w:val="0081530B"/>
    <w:rsid w:val="00857836"/>
    <w:rsid w:val="00865423"/>
    <w:rsid w:val="008772A3"/>
    <w:rsid w:val="00883B38"/>
    <w:rsid w:val="008A1660"/>
    <w:rsid w:val="008A329D"/>
    <w:rsid w:val="008C31C3"/>
    <w:rsid w:val="008C4C0C"/>
    <w:rsid w:val="008C7C1C"/>
    <w:rsid w:val="008D356A"/>
    <w:rsid w:val="008E0E58"/>
    <w:rsid w:val="008E16B5"/>
    <w:rsid w:val="008E7DB0"/>
    <w:rsid w:val="008F7725"/>
    <w:rsid w:val="00920990"/>
    <w:rsid w:val="00941865"/>
    <w:rsid w:val="00953097"/>
    <w:rsid w:val="00964803"/>
    <w:rsid w:val="00970010"/>
    <w:rsid w:val="00986803"/>
    <w:rsid w:val="0099577A"/>
    <w:rsid w:val="009A18B4"/>
    <w:rsid w:val="009F1522"/>
    <w:rsid w:val="00A03C6A"/>
    <w:rsid w:val="00A06D88"/>
    <w:rsid w:val="00A35CF4"/>
    <w:rsid w:val="00A478D5"/>
    <w:rsid w:val="00A85DD5"/>
    <w:rsid w:val="00AB70A8"/>
    <w:rsid w:val="00AD385E"/>
    <w:rsid w:val="00AE4204"/>
    <w:rsid w:val="00AF2F3B"/>
    <w:rsid w:val="00AF5C06"/>
    <w:rsid w:val="00B162E4"/>
    <w:rsid w:val="00B57DDF"/>
    <w:rsid w:val="00B631CF"/>
    <w:rsid w:val="00B719B3"/>
    <w:rsid w:val="00B7548C"/>
    <w:rsid w:val="00B8177D"/>
    <w:rsid w:val="00B86365"/>
    <w:rsid w:val="00BA4C75"/>
    <w:rsid w:val="00BA7992"/>
    <w:rsid w:val="00BC1A5D"/>
    <w:rsid w:val="00BE032C"/>
    <w:rsid w:val="00BE6483"/>
    <w:rsid w:val="00C119AF"/>
    <w:rsid w:val="00C212E7"/>
    <w:rsid w:val="00C242EC"/>
    <w:rsid w:val="00C52AE5"/>
    <w:rsid w:val="00C62D75"/>
    <w:rsid w:val="00C7006E"/>
    <w:rsid w:val="00C706F7"/>
    <w:rsid w:val="00C7494F"/>
    <w:rsid w:val="00CA6B17"/>
    <w:rsid w:val="00CC6F61"/>
    <w:rsid w:val="00CE156F"/>
    <w:rsid w:val="00D04AE3"/>
    <w:rsid w:val="00D2025F"/>
    <w:rsid w:val="00D21C7B"/>
    <w:rsid w:val="00D37DB7"/>
    <w:rsid w:val="00D6007A"/>
    <w:rsid w:val="00D72488"/>
    <w:rsid w:val="00D9041C"/>
    <w:rsid w:val="00DB7E37"/>
    <w:rsid w:val="00DE50A2"/>
    <w:rsid w:val="00DF6FF4"/>
    <w:rsid w:val="00E03AF9"/>
    <w:rsid w:val="00E17D5D"/>
    <w:rsid w:val="00E245CF"/>
    <w:rsid w:val="00E61BFC"/>
    <w:rsid w:val="00E841B7"/>
    <w:rsid w:val="00ED5E84"/>
    <w:rsid w:val="00EF16A3"/>
    <w:rsid w:val="00EF32E7"/>
    <w:rsid w:val="00EF60D0"/>
    <w:rsid w:val="00F248BC"/>
    <w:rsid w:val="00F57E52"/>
    <w:rsid w:val="00FB09D5"/>
    <w:rsid w:val="00FC0F1A"/>
    <w:rsid w:val="02A23E5E"/>
    <w:rsid w:val="03AF1065"/>
    <w:rsid w:val="042B6D96"/>
    <w:rsid w:val="04513BA5"/>
    <w:rsid w:val="054C41BA"/>
    <w:rsid w:val="0B187F2D"/>
    <w:rsid w:val="0D0F4145"/>
    <w:rsid w:val="0E0767F2"/>
    <w:rsid w:val="0E241AB9"/>
    <w:rsid w:val="0EB217EA"/>
    <w:rsid w:val="0F6F3994"/>
    <w:rsid w:val="11F4205F"/>
    <w:rsid w:val="13B61930"/>
    <w:rsid w:val="14C51E1C"/>
    <w:rsid w:val="15B900D5"/>
    <w:rsid w:val="162A3FA8"/>
    <w:rsid w:val="16E444EA"/>
    <w:rsid w:val="1AE65FB6"/>
    <w:rsid w:val="1C4B6BE5"/>
    <w:rsid w:val="1ED37969"/>
    <w:rsid w:val="1FFA7A84"/>
    <w:rsid w:val="26A11202"/>
    <w:rsid w:val="26AD744E"/>
    <w:rsid w:val="26F434D3"/>
    <w:rsid w:val="29787554"/>
    <w:rsid w:val="299165C1"/>
    <w:rsid w:val="2A1D410B"/>
    <w:rsid w:val="2B4E2615"/>
    <w:rsid w:val="2C4F01C5"/>
    <w:rsid w:val="2D8771C3"/>
    <w:rsid w:val="2DBD6B7D"/>
    <w:rsid w:val="2EF02962"/>
    <w:rsid w:val="31660D0F"/>
    <w:rsid w:val="32FE79B9"/>
    <w:rsid w:val="35927549"/>
    <w:rsid w:val="383318C1"/>
    <w:rsid w:val="3945225D"/>
    <w:rsid w:val="39487846"/>
    <w:rsid w:val="3AEF6FE7"/>
    <w:rsid w:val="3E737005"/>
    <w:rsid w:val="3F761E84"/>
    <w:rsid w:val="3FA54DF8"/>
    <w:rsid w:val="40140C1D"/>
    <w:rsid w:val="418F019B"/>
    <w:rsid w:val="436B5500"/>
    <w:rsid w:val="44DE410B"/>
    <w:rsid w:val="490E4AE6"/>
    <w:rsid w:val="493B718D"/>
    <w:rsid w:val="4B337794"/>
    <w:rsid w:val="4B55660E"/>
    <w:rsid w:val="4C70243F"/>
    <w:rsid w:val="4D822121"/>
    <w:rsid w:val="4ED32DF2"/>
    <w:rsid w:val="4F57197A"/>
    <w:rsid w:val="512978E2"/>
    <w:rsid w:val="515860DA"/>
    <w:rsid w:val="52EF31E3"/>
    <w:rsid w:val="53A42ADD"/>
    <w:rsid w:val="53D33FFF"/>
    <w:rsid w:val="54EB784F"/>
    <w:rsid w:val="55484CC8"/>
    <w:rsid w:val="56881EF5"/>
    <w:rsid w:val="57044CE4"/>
    <w:rsid w:val="5BB362D4"/>
    <w:rsid w:val="5C1D42FB"/>
    <w:rsid w:val="60A76116"/>
    <w:rsid w:val="60DB22E9"/>
    <w:rsid w:val="62012256"/>
    <w:rsid w:val="641A7BBF"/>
    <w:rsid w:val="64480A16"/>
    <w:rsid w:val="65317241"/>
    <w:rsid w:val="68A867B3"/>
    <w:rsid w:val="6A2379A6"/>
    <w:rsid w:val="6B2F12D3"/>
    <w:rsid w:val="6B4F07C0"/>
    <w:rsid w:val="6EBE1E3F"/>
    <w:rsid w:val="717F7A78"/>
    <w:rsid w:val="71B353D4"/>
    <w:rsid w:val="720A7028"/>
    <w:rsid w:val="72AC0DAF"/>
    <w:rsid w:val="72CC5D9A"/>
    <w:rsid w:val="733072E3"/>
    <w:rsid w:val="73BC7907"/>
    <w:rsid w:val="74A80A00"/>
    <w:rsid w:val="7537728D"/>
    <w:rsid w:val="760675E3"/>
    <w:rsid w:val="7748125D"/>
    <w:rsid w:val="776C16FD"/>
    <w:rsid w:val="7F8A4354"/>
    <w:rsid w:val="7FD1757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qFormat="1" w:unhideWhenUsed="0" w:uiPriority="0" w:semiHidden="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name="Default Paragraph Font"/>
    <w:lsdException w:qFormat="1" w:unhideWhenUsed="0" w:uiPriority="0" w:semiHidden="0" w:name="Body Text"/>
    <w:lsdException w:qFormat="1" w:unhideWhenUsed="0" w:uiPriority="0" w:semiHidden="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qFormat="1" w:unhideWhenUsed="0" w:uiPriority="0" w:semiHidden="0" w:name="Body Text First Indent"/>
    <w:lsdException w:qFormat="1" w:unhideWhenUsed="0" w:uiPriority="0" w:semiHidden="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iPriority="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4">
    <w:name w:val="heading 2"/>
    <w:basedOn w:val="1"/>
    <w:next w:val="1"/>
    <w:link w:val="21"/>
    <w:qFormat/>
    <w:uiPriority w:val="99"/>
    <w:pPr>
      <w:keepNext/>
      <w:keepLines/>
      <w:spacing w:before="260" w:after="260" w:line="412" w:lineRule="auto"/>
      <w:outlineLvl w:val="1"/>
    </w:pPr>
    <w:rPr>
      <w:rFonts w:ascii="Arial" w:hAnsi="Arial" w:eastAsia="黑体" w:cs="黑体"/>
      <w:b/>
      <w:bCs/>
      <w:sz w:val="32"/>
      <w:szCs w:val="32"/>
    </w:rPr>
  </w:style>
  <w:style w:type="character" w:default="1" w:styleId="15">
    <w:name w:val="Default Paragraph Font"/>
    <w:semiHidden/>
    <w:unhideWhenUsed/>
    <w:qFormat/>
    <w:uiPriority w:val="1"/>
  </w:style>
  <w:style w:type="table" w:default="1" w:styleId="14">
    <w:name w:val="Normal Table"/>
    <w:semiHidden/>
    <w:unhideWhenUsed/>
    <w:qFormat/>
    <w:uiPriority w:val="99"/>
    <w:tblPr>
      <w:tblCellMar>
        <w:top w:w="0" w:type="dxa"/>
        <w:left w:w="108" w:type="dxa"/>
        <w:bottom w:w="0" w:type="dxa"/>
        <w:right w:w="108" w:type="dxa"/>
      </w:tblCellMar>
    </w:tblPr>
  </w:style>
  <w:style w:type="paragraph" w:customStyle="1" w:styleId="2">
    <w:name w:val="Body Text First Indent 21"/>
    <w:basedOn w:val="3"/>
    <w:qFormat/>
    <w:uiPriority w:val="0"/>
    <w:pPr>
      <w:spacing w:line="360" w:lineRule="auto"/>
    </w:pPr>
    <w:rPr>
      <w:rFonts w:eastAsia="宋体"/>
      <w:sz w:val="24"/>
    </w:rPr>
  </w:style>
  <w:style w:type="paragraph" w:customStyle="1" w:styleId="3">
    <w:name w:val="Body Text Indent1"/>
    <w:basedOn w:val="1"/>
    <w:qFormat/>
    <w:uiPriority w:val="0"/>
    <w:pPr>
      <w:spacing w:line="150" w:lineRule="atLeast"/>
      <w:ind w:firstLine="420" w:firstLineChars="200"/>
      <w:textAlignment w:val="baseline"/>
    </w:pPr>
    <w:rPr>
      <w:rFonts w:ascii="Times New Roman" w:hAnsi="Times New Roman" w:eastAsia="宋体" w:cs="Times New Roman"/>
      <w:szCs w:val="24"/>
      <w:lang w:bidi="ar-SA"/>
    </w:rPr>
  </w:style>
  <w:style w:type="paragraph" w:styleId="5">
    <w:name w:val="Normal Indent"/>
    <w:basedOn w:val="1"/>
    <w:qFormat/>
    <w:uiPriority w:val="0"/>
    <w:pPr>
      <w:widowControl w:val="0"/>
      <w:ind w:firstLine="420"/>
      <w:jc w:val="both"/>
    </w:pPr>
    <w:rPr>
      <w:rFonts w:ascii="Calibri" w:hAnsi="Calibri" w:eastAsia="宋体" w:cs="黑体"/>
      <w:kern w:val="2"/>
      <w:sz w:val="21"/>
      <w:szCs w:val="24"/>
      <w:lang w:val="en-US" w:eastAsia="zh-CN" w:bidi="ar-SA"/>
    </w:rPr>
  </w:style>
  <w:style w:type="paragraph" w:styleId="6">
    <w:name w:val="Body Text"/>
    <w:basedOn w:val="1"/>
    <w:next w:val="1"/>
    <w:qFormat/>
    <w:uiPriority w:val="0"/>
    <w:rPr>
      <w:rFonts w:ascii="宋体" w:hAnsi="宋体" w:eastAsia="宋体"/>
      <w:sz w:val="18"/>
    </w:rPr>
  </w:style>
  <w:style w:type="paragraph" w:styleId="7">
    <w:name w:val="Body Text Indent"/>
    <w:basedOn w:val="1"/>
    <w:next w:val="1"/>
    <w:qFormat/>
    <w:uiPriority w:val="0"/>
    <w:pPr>
      <w:spacing w:after="120"/>
      <w:ind w:left="420" w:leftChars="200"/>
    </w:pPr>
    <w:rPr>
      <w:rFonts w:ascii="Times New Roman" w:hAnsi="Times New Roman" w:eastAsia="宋体" w:cs="Times New Roman"/>
    </w:rPr>
  </w:style>
  <w:style w:type="paragraph" w:styleId="8">
    <w:name w:val="Balloon Text"/>
    <w:basedOn w:val="1"/>
    <w:link w:val="18"/>
    <w:semiHidden/>
    <w:unhideWhenUsed/>
    <w:qFormat/>
    <w:uiPriority w:val="0"/>
    <w:rPr>
      <w:sz w:val="18"/>
      <w:szCs w:val="18"/>
    </w:rPr>
  </w:style>
  <w:style w:type="paragraph" w:styleId="9">
    <w:name w:val="footer"/>
    <w:basedOn w:val="1"/>
    <w:link w:val="17"/>
    <w:unhideWhenUsed/>
    <w:qFormat/>
    <w:uiPriority w:val="99"/>
    <w:pPr>
      <w:tabs>
        <w:tab w:val="center" w:pos="4153"/>
        <w:tab w:val="right" w:pos="8306"/>
      </w:tabs>
      <w:snapToGrid w:val="0"/>
      <w:jc w:val="left"/>
    </w:pPr>
    <w:rPr>
      <w:sz w:val="18"/>
      <w:szCs w:val="18"/>
    </w:rPr>
  </w:style>
  <w:style w:type="paragraph" w:styleId="10">
    <w:name w:val="header"/>
    <w:basedOn w:val="1"/>
    <w:link w:val="16"/>
    <w:unhideWhenUsed/>
    <w:qFormat/>
    <w:uiPriority w:val="99"/>
    <w:pPr>
      <w:pBdr>
        <w:bottom w:val="single" w:color="auto" w:sz="6" w:space="1"/>
      </w:pBdr>
      <w:tabs>
        <w:tab w:val="center" w:pos="4153"/>
        <w:tab w:val="right" w:pos="8306"/>
      </w:tabs>
      <w:snapToGrid w:val="0"/>
      <w:jc w:val="center"/>
    </w:pPr>
    <w:rPr>
      <w:sz w:val="18"/>
      <w:szCs w:val="18"/>
    </w:rPr>
  </w:style>
  <w:style w:type="paragraph" w:styleId="11">
    <w:name w:val="footnote text"/>
    <w:basedOn w:val="1"/>
    <w:qFormat/>
    <w:uiPriority w:val="0"/>
    <w:rPr>
      <w:rFonts w:ascii="Times New Roman" w:hAnsi="Times New Roman" w:eastAsia="宋体" w:cs="Times New Roman"/>
      <w:sz w:val="20"/>
      <w:szCs w:val="20"/>
    </w:rPr>
  </w:style>
  <w:style w:type="paragraph" w:styleId="12">
    <w:name w:val="Body Text First Indent"/>
    <w:basedOn w:val="6"/>
    <w:next w:val="1"/>
    <w:qFormat/>
    <w:uiPriority w:val="0"/>
    <w:pPr>
      <w:widowControl/>
      <w:spacing w:before="100" w:beforeLines="0" w:beforeAutospacing="1" w:after="100" w:afterLines="0" w:afterAutospacing="1"/>
      <w:jc w:val="left"/>
    </w:pPr>
    <w:rPr>
      <w:rFonts w:cs="宋体"/>
      <w:kern w:val="0"/>
      <w:sz w:val="24"/>
      <w:szCs w:val="24"/>
    </w:rPr>
  </w:style>
  <w:style w:type="paragraph" w:styleId="13">
    <w:name w:val="Body Text First Indent 2"/>
    <w:basedOn w:val="7"/>
    <w:next w:val="1"/>
    <w:qFormat/>
    <w:uiPriority w:val="0"/>
    <w:pPr>
      <w:widowControl w:val="0"/>
      <w:spacing w:after="120" w:afterLines="0"/>
      <w:ind w:left="200" w:leftChars="200" w:firstLine="200" w:firstLineChars="200"/>
      <w:jc w:val="both"/>
    </w:pPr>
    <w:rPr>
      <w:rFonts w:ascii="Calibri" w:hAnsi="Calibri" w:eastAsia="宋体" w:cs="Times New Roman"/>
      <w:kern w:val="2"/>
      <w:sz w:val="21"/>
      <w:szCs w:val="24"/>
      <w:lang w:val="en-US" w:eastAsia="zh-CN" w:bidi="ar-SA"/>
    </w:rPr>
  </w:style>
  <w:style w:type="character" w:customStyle="1" w:styleId="16">
    <w:name w:val="页眉 字符"/>
    <w:link w:val="10"/>
    <w:qFormat/>
    <w:uiPriority w:val="99"/>
    <w:rPr>
      <w:sz w:val="18"/>
      <w:szCs w:val="18"/>
    </w:rPr>
  </w:style>
  <w:style w:type="character" w:customStyle="1" w:styleId="17">
    <w:name w:val="页脚 字符"/>
    <w:link w:val="9"/>
    <w:qFormat/>
    <w:uiPriority w:val="99"/>
    <w:rPr>
      <w:sz w:val="18"/>
      <w:szCs w:val="18"/>
    </w:rPr>
  </w:style>
  <w:style w:type="character" w:customStyle="1" w:styleId="18">
    <w:name w:val="批注框文本 字符"/>
    <w:link w:val="8"/>
    <w:semiHidden/>
    <w:qFormat/>
    <w:uiPriority w:val="0"/>
    <w:rPr>
      <w:kern w:val="2"/>
      <w:sz w:val="18"/>
      <w:szCs w:val="18"/>
    </w:rPr>
  </w:style>
  <w:style w:type="paragraph" w:customStyle="1" w:styleId="19">
    <w:name w:val="正文1"/>
    <w:basedOn w:val="1"/>
    <w:qFormat/>
    <w:uiPriority w:val="0"/>
    <w:pPr>
      <w:spacing w:line="580" w:lineRule="exact"/>
      <w:ind w:firstLine="200" w:firstLineChars="200"/>
    </w:pPr>
    <w:rPr>
      <w:rFonts w:ascii="Calibri" w:hAnsi="Calibri" w:eastAsia="仿宋" w:cs="黑体"/>
      <w:sz w:val="32"/>
      <w:szCs w:val="32"/>
    </w:rPr>
  </w:style>
  <w:style w:type="character" w:customStyle="1" w:styleId="20">
    <w:name w:val="15"/>
    <w:qFormat/>
    <w:uiPriority w:val="0"/>
    <w:rPr>
      <w:rFonts w:hint="default" w:ascii="Times New Roman" w:hAnsi="Times New Roman" w:eastAsia="仿宋" w:cs="Times New Roman"/>
      <w:sz w:val="32"/>
      <w:szCs w:val="32"/>
    </w:rPr>
  </w:style>
  <w:style w:type="character" w:customStyle="1" w:styleId="21">
    <w:name w:val="标题 2 字符"/>
    <w:link w:val="4"/>
    <w:qFormat/>
    <w:uiPriority w:val="99"/>
    <w:rPr>
      <w:rFonts w:ascii="Arial" w:hAnsi="Arial" w:eastAsia="黑体" w:cs="黑体"/>
      <w:b/>
      <w:bCs/>
      <w:kern w:val="2"/>
      <w:sz w:val="32"/>
      <w:szCs w:val="32"/>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Lenovo</Company>
  <Pages>8</Pages>
  <Words>4055</Words>
  <Characters>4129</Characters>
  <Lines>69</Lines>
  <Paragraphs>19</Paragraphs>
  <TotalTime>242</TotalTime>
  <ScaleCrop>false</ScaleCrop>
  <LinksUpToDate>false</LinksUpToDate>
  <CharactersWithSpaces>4197</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13323011735</cp:lastModifiedBy>
  <cp:lastPrinted>2024-04-23T02:04:00Z</cp:lastPrinted>
  <dcterms:modified xsi:type="dcterms:W3CDTF">2025-06-16T02:09:25Z</dcterms:modified>
  <dc:title>附件2： </dc:title>
  <cp:revision>76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ICV">
    <vt:lpwstr>C097324C3963480590F934B7C36BF9B7</vt:lpwstr>
  </property>
  <property fmtid="{D5CDD505-2E9C-101B-9397-08002B2CF9AE}" pid="4" name="KSOTemplateDocerSaveRecord">
    <vt:lpwstr>eyJoZGlkIjoiYTRkZjYwODQyN2QxOTU4Mzc5MDkyZjcyNTA5NjE4M2QiLCJ1c2VySWQiOiIxNTUwMjQwMDk2In0=</vt:lpwstr>
  </property>
</Properties>
</file>