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416EC6">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5AF61825">
      <w:pPr>
        <w:spacing w:line="560" w:lineRule="exact"/>
        <w:jc w:val="center"/>
        <w:rPr>
          <w:rFonts w:ascii="宋体" w:hAnsi="宋体" w:cs="宋体"/>
          <w:b/>
          <w:bCs/>
          <w:sz w:val="44"/>
          <w:szCs w:val="44"/>
        </w:rPr>
      </w:pPr>
    </w:p>
    <w:p w14:paraId="55C12C45">
      <w:pPr>
        <w:spacing w:line="560" w:lineRule="exact"/>
        <w:jc w:val="center"/>
        <w:rPr>
          <w:rFonts w:hint="eastAsia" w:ascii="宋体" w:hAnsi="宋体" w:cs="宋体"/>
          <w:b/>
          <w:bCs/>
          <w:sz w:val="44"/>
          <w:szCs w:val="44"/>
        </w:rPr>
      </w:pPr>
      <w:r>
        <w:rPr>
          <w:rFonts w:hint="eastAsia" w:ascii="宋体" w:hAnsi="宋体" w:cs="宋体"/>
          <w:b/>
          <w:bCs/>
          <w:sz w:val="44"/>
          <w:szCs w:val="44"/>
        </w:rPr>
        <w:t>高邑县人民检察院</w:t>
      </w:r>
    </w:p>
    <w:p w14:paraId="08F4217A">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14:paraId="4B286942">
      <w:pPr>
        <w:spacing w:line="560" w:lineRule="exact"/>
        <w:jc w:val="center"/>
        <w:rPr>
          <w:rFonts w:ascii="华文楷体" w:eastAsia="华文楷体"/>
          <w:sz w:val="32"/>
          <w:szCs w:val="32"/>
        </w:rPr>
      </w:pPr>
    </w:p>
    <w:p w14:paraId="206B832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贯彻落实市委市政府《关于全面落实预算绩效管理的实施意见》（石发﹝2019﹞8号）文件精神，遵循“科学性、规范性、客观性和公正性”的原则，对高邑县人民检察院202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7439BD5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137A59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A9339C5">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cs="黑体"/>
          <w:kern w:val="2"/>
          <w:sz w:val="32"/>
          <w:szCs w:val="32"/>
          <w:lang w:val="en-US" w:eastAsia="zh-CN"/>
        </w:rPr>
      </w:pPr>
      <w:r>
        <w:rPr>
          <w:rFonts w:hint="eastAsia" w:ascii="仿宋" w:hAnsi="仿宋" w:eastAsia="仿宋"/>
          <w:sz w:val="32"/>
          <w:szCs w:val="32"/>
          <w:lang w:val="en-US" w:eastAsia="zh-CN"/>
        </w:rPr>
        <w:t>部门职能</w:t>
      </w:r>
    </w:p>
    <w:p w14:paraId="69129135">
      <w:pPr>
        <w:widowControl w:val="0"/>
        <w:wordWrap/>
        <w:adjustRightInd/>
        <w:snapToGrid/>
        <w:spacing w:after="0" w:line="560" w:lineRule="exact"/>
        <w:ind w:left="0" w:leftChars="0" w:right="0" w:firstLine="640" w:firstLineChars="200"/>
        <w:jc w:val="both"/>
        <w:textAlignment w:val="auto"/>
        <w:outlineLvl w:val="9"/>
        <w:rPr>
          <w:rFonts w:hint="eastAsia"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（一）深入贯彻习近平新时代中国特色社会主义思想，深入贯彻党的路线方针和决策部署，坚持党对检察工作的绝对领导，坚决维护习近平总书记的核心地位，坚决维护党中央权威和集中统一领导。</w:t>
      </w:r>
    </w:p>
    <w:p w14:paraId="24E6FB94">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（二）依法向县人民代表大会及其常务委员会提出议案。</w:t>
      </w:r>
    </w:p>
    <w:p w14:paraId="7BD9D431">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（三）贯彻落实检察工作方针、总体规划，研究制定检察工作计划并组织实施。</w:t>
      </w:r>
    </w:p>
    <w:p w14:paraId="628CC8D1">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（四）依照法律规定对直接受理的刑事案件刑事侦查权。</w:t>
      </w:r>
    </w:p>
    <w:p w14:paraId="14E20850">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（五）负责对管辖的各类刑事案件依法审查批准逮捕、决定逮捕、提起公诉。</w:t>
      </w:r>
    </w:p>
    <w:p w14:paraId="15518962">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（六）负责应由本院承办的刑事、民事、行政诉讼活动及刑事、民事、行政判决和裁定等生效法律文书执行的法律监督工作。</w:t>
      </w:r>
    </w:p>
    <w:p w14:paraId="70F1E78E">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（七）负责应由本院承办的提起公益诉讼工作。</w:t>
      </w:r>
    </w:p>
    <w:p w14:paraId="48785D61">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（八）依法受理核准追诉案件，审查是否上报。</w:t>
      </w:r>
    </w:p>
    <w:p w14:paraId="1DFEA004">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（九）负责应由本院承办的对看守所、社区矫正等执法活动的法律监督工作。</w:t>
      </w:r>
    </w:p>
    <w:p w14:paraId="586F1C76">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（十）受理向本院的控告申诉。</w:t>
      </w:r>
    </w:p>
    <w:p w14:paraId="4A1F1B3A">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（十一）组织检察工作中法律政策具体应用问题的研究；组织开展检察理论研究工作。</w:t>
      </w:r>
    </w:p>
    <w:p w14:paraId="27CDA05A">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（十二）负责检察人员思想政治教育和业务培训工作；按照权限管理检察官和其他工作人员。</w:t>
      </w:r>
    </w:p>
    <w:p w14:paraId="00F4401B">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（十三）负责本院检务督察工作。</w:t>
      </w:r>
    </w:p>
    <w:p w14:paraId="20E78397">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（十四）负责本院检务保障以及检察技术、信息化建设工作。</w:t>
      </w:r>
    </w:p>
    <w:p w14:paraId="732AAC06">
      <w:pPr>
        <w:widowControl w:val="0"/>
        <w:wordWrap/>
        <w:adjustRightInd/>
        <w:snapToGrid/>
        <w:spacing w:after="0" w:line="560" w:lineRule="exact"/>
        <w:ind w:left="0" w:leftChars="0" w:right="0" w:firstLine="640" w:firstLineChars="200"/>
        <w:jc w:val="both"/>
        <w:textAlignment w:val="auto"/>
        <w:outlineLvl w:val="9"/>
        <w:rPr>
          <w:rFonts w:hint="default"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（十五）完成其他应当由本院负责的工作。</w:t>
      </w:r>
    </w:p>
    <w:p w14:paraId="51BD8D52">
      <w:pPr>
        <w:widowControl w:val="0"/>
        <w:numPr>
          <w:ilvl w:val="0"/>
          <w:numId w:val="1"/>
        </w:numPr>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组织机构</w:t>
      </w:r>
    </w:p>
    <w:tbl>
      <w:tblPr>
        <w:tblStyle w:val="6"/>
        <w:tblpPr w:leftFromText="180" w:rightFromText="180" w:vertAnchor="text" w:horzAnchor="page" w:tblpX="1857" w:tblpY="153"/>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30"/>
        <w:gridCol w:w="1200"/>
        <w:gridCol w:w="1109"/>
        <w:gridCol w:w="2113"/>
        <w:gridCol w:w="2106"/>
      </w:tblGrid>
      <w:tr w14:paraId="693ED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3" w:hRule="atLeast"/>
          <w:tblHeader/>
        </w:trPr>
        <w:tc>
          <w:tcPr>
            <w:tcW w:w="2230" w:type="dxa"/>
            <w:noWrap w:val="0"/>
            <w:vAlign w:val="center"/>
          </w:tcPr>
          <w:p w14:paraId="6148DF7C">
            <w:pPr>
              <w:spacing w:line="300" w:lineRule="exact"/>
              <w:jc w:val="center"/>
              <w:rPr>
                <w:rFonts w:hint="eastAsia" w:ascii="方正书宋_GBK" w:hAnsi="Times New Roman" w:eastAsia="方正书宋_GBK" w:cs="Times New Roman"/>
                <w:b/>
                <w:bCs/>
              </w:rPr>
            </w:pPr>
            <w:r>
              <w:rPr>
                <w:rFonts w:hint="eastAsia" w:ascii="方正书宋_GBK" w:hAnsi="Times New Roman" w:eastAsia="方正书宋_GBK" w:cs="Times New Roman"/>
                <w:b/>
                <w:bCs/>
              </w:rPr>
              <w:t>单位名称</w:t>
            </w:r>
          </w:p>
        </w:tc>
        <w:tc>
          <w:tcPr>
            <w:tcW w:w="1200" w:type="dxa"/>
            <w:noWrap w:val="0"/>
            <w:vAlign w:val="center"/>
          </w:tcPr>
          <w:p w14:paraId="06DF9B5E">
            <w:pPr>
              <w:spacing w:line="300" w:lineRule="exact"/>
              <w:jc w:val="center"/>
              <w:rPr>
                <w:rFonts w:hint="eastAsia" w:ascii="方正书宋_GBK" w:hAnsi="Times New Roman" w:eastAsia="方正书宋_GBK" w:cs="Times New Roman"/>
                <w:b/>
                <w:bCs/>
              </w:rPr>
            </w:pPr>
            <w:r>
              <w:rPr>
                <w:rFonts w:hint="eastAsia" w:ascii="方正书宋_GBK" w:hAnsi="Times New Roman" w:eastAsia="方正书宋_GBK" w:cs="Times New Roman"/>
                <w:b/>
                <w:bCs/>
              </w:rPr>
              <w:t>单位性质</w:t>
            </w:r>
          </w:p>
        </w:tc>
        <w:tc>
          <w:tcPr>
            <w:tcW w:w="1109" w:type="dxa"/>
            <w:noWrap w:val="0"/>
            <w:vAlign w:val="center"/>
          </w:tcPr>
          <w:p w14:paraId="5FFDDF48">
            <w:pPr>
              <w:spacing w:line="300" w:lineRule="exact"/>
              <w:jc w:val="center"/>
              <w:rPr>
                <w:rFonts w:hint="eastAsia" w:ascii="方正书宋_GBK" w:hAnsi="Times New Roman" w:eastAsia="方正书宋_GBK" w:cs="Times New Roman"/>
                <w:b/>
                <w:bCs/>
              </w:rPr>
            </w:pPr>
            <w:r>
              <w:rPr>
                <w:rFonts w:hint="eastAsia" w:ascii="方正书宋_GBK" w:hAnsi="Times New Roman" w:eastAsia="方正书宋_GBK" w:cs="Times New Roman"/>
                <w:b/>
                <w:bCs/>
              </w:rPr>
              <w:t>单位规格</w:t>
            </w:r>
          </w:p>
        </w:tc>
        <w:tc>
          <w:tcPr>
            <w:tcW w:w="2113" w:type="dxa"/>
            <w:noWrap w:val="0"/>
            <w:vAlign w:val="center"/>
          </w:tcPr>
          <w:p w14:paraId="03D78BD8">
            <w:pPr>
              <w:spacing w:line="300" w:lineRule="exact"/>
              <w:jc w:val="center"/>
              <w:rPr>
                <w:rFonts w:hint="eastAsia" w:ascii="方正书宋_GBK" w:hAnsi="Times New Roman" w:eastAsia="方正书宋_GBK" w:cs="Times New Roman"/>
                <w:b/>
                <w:bCs/>
              </w:rPr>
            </w:pPr>
            <w:r>
              <w:rPr>
                <w:rFonts w:hint="eastAsia" w:ascii="方正书宋_GBK" w:hAnsi="Times New Roman" w:eastAsia="方正书宋_GBK" w:cs="Times New Roman"/>
                <w:b/>
                <w:bCs/>
              </w:rPr>
              <w:t>经费保障形式</w:t>
            </w:r>
          </w:p>
        </w:tc>
        <w:tc>
          <w:tcPr>
            <w:tcW w:w="2106" w:type="dxa"/>
            <w:noWrap w:val="0"/>
            <w:vAlign w:val="center"/>
          </w:tcPr>
          <w:p w14:paraId="19702993">
            <w:pPr>
              <w:spacing w:line="300" w:lineRule="exact"/>
              <w:jc w:val="center"/>
              <w:rPr>
                <w:rFonts w:hint="eastAsia" w:ascii="方正书宋_GBK" w:hAnsi="Times New Roman" w:eastAsia="方正书宋_GBK" w:cs="Times New Roman"/>
                <w:b/>
                <w:bCs/>
              </w:rPr>
            </w:pPr>
            <w:r>
              <w:rPr>
                <w:rFonts w:hint="eastAsia" w:ascii="方正书宋_GBK" w:hAnsi="Times New Roman" w:eastAsia="方正书宋_GBK" w:cs="Times New Roman"/>
                <w:b/>
                <w:bCs/>
              </w:rPr>
              <w:t>内设部门</w:t>
            </w:r>
          </w:p>
        </w:tc>
      </w:tr>
      <w:tr w14:paraId="49E8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rPr>
        <w:tc>
          <w:tcPr>
            <w:tcW w:w="2230" w:type="dxa"/>
            <w:vMerge w:val="restart"/>
            <w:noWrap w:val="0"/>
            <w:vAlign w:val="center"/>
          </w:tcPr>
          <w:p w14:paraId="17F0578C">
            <w:pPr>
              <w:spacing w:line="300" w:lineRule="exact"/>
              <w:jc w:val="center"/>
              <w:rPr>
                <w:rFonts w:hint="eastAsia" w:ascii="方正书宋_GBK" w:hAnsi="Times New Roman" w:eastAsia="方正书宋_GBK" w:cs="Times New Roman"/>
              </w:rPr>
            </w:pPr>
          </w:p>
          <w:p w14:paraId="5ECBE617">
            <w:pPr>
              <w:spacing w:line="300" w:lineRule="exact"/>
              <w:jc w:val="center"/>
              <w:rPr>
                <w:rFonts w:hint="eastAsia" w:ascii="方正书宋_GBK" w:hAnsi="Times New Roman" w:eastAsia="方正书宋_GBK" w:cs="Times New Roman"/>
              </w:rPr>
            </w:pPr>
          </w:p>
          <w:p w14:paraId="5B0407CD">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rPr>
              <w:t>高邑县人民检察院</w:t>
            </w:r>
          </w:p>
          <w:p w14:paraId="363D0084">
            <w:pPr>
              <w:spacing w:line="300" w:lineRule="exact"/>
              <w:jc w:val="center"/>
              <w:rPr>
                <w:rFonts w:hint="eastAsia" w:ascii="方正书宋_GBK" w:hAnsi="Times New Roman" w:eastAsia="方正书宋_GBK" w:cs="Times New Roman"/>
              </w:rPr>
            </w:pPr>
          </w:p>
          <w:p w14:paraId="7E816D62">
            <w:pPr>
              <w:spacing w:line="300" w:lineRule="exact"/>
              <w:jc w:val="center"/>
              <w:rPr>
                <w:rFonts w:hint="eastAsia" w:ascii="方正书宋_GBK" w:hAnsi="Times New Roman" w:eastAsia="方正书宋_GBK" w:cs="Times New Roman"/>
              </w:rPr>
            </w:pPr>
          </w:p>
        </w:tc>
        <w:tc>
          <w:tcPr>
            <w:tcW w:w="1200" w:type="dxa"/>
            <w:vMerge w:val="restart"/>
            <w:noWrap w:val="0"/>
            <w:vAlign w:val="center"/>
          </w:tcPr>
          <w:p w14:paraId="07B2015E">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rPr>
              <w:t>行政</w:t>
            </w:r>
          </w:p>
        </w:tc>
        <w:tc>
          <w:tcPr>
            <w:tcW w:w="1109" w:type="dxa"/>
            <w:vMerge w:val="restart"/>
            <w:noWrap w:val="0"/>
            <w:vAlign w:val="center"/>
          </w:tcPr>
          <w:p w14:paraId="30D59206">
            <w:pPr>
              <w:spacing w:line="300" w:lineRule="exact"/>
              <w:jc w:val="center"/>
              <w:rPr>
                <w:rFonts w:hint="eastAsia" w:ascii="方正书宋_GBK" w:hAnsi="Times New Roman" w:eastAsia="方正书宋_GBK" w:cs="Times New Roman"/>
              </w:rPr>
            </w:pPr>
            <w:r>
              <w:t>正科级</w:t>
            </w:r>
          </w:p>
        </w:tc>
        <w:tc>
          <w:tcPr>
            <w:tcW w:w="2113" w:type="dxa"/>
            <w:vMerge w:val="restart"/>
            <w:noWrap w:val="0"/>
            <w:vAlign w:val="center"/>
          </w:tcPr>
          <w:p w14:paraId="0F273F0A">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rPr>
              <w:t>财政拨款</w:t>
            </w:r>
          </w:p>
        </w:tc>
        <w:tc>
          <w:tcPr>
            <w:tcW w:w="2106" w:type="dxa"/>
            <w:noWrap w:val="0"/>
            <w:vAlign w:val="center"/>
          </w:tcPr>
          <w:p w14:paraId="2F3E5319">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rPr>
              <w:t>第一检察部</w:t>
            </w:r>
          </w:p>
        </w:tc>
      </w:tr>
      <w:tr w14:paraId="4827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rPr>
        <w:tc>
          <w:tcPr>
            <w:tcW w:w="2230" w:type="dxa"/>
            <w:vMerge w:val="continue"/>
            <w:noWrap w:val="0"/>
            <w:vAlign w:val="center"/>
          </w:tcPr>
          <w:p w14:paraId="76BFF47E">
            <w:pPr>
              <w:spacing w:line="300" w:lineRule="exact"/>
              <w:jc w:val="left"/>
              <w:rPr>
                <w:rFonts w:hint="eastAsia" w:ascii="方正书宋_GBK" w:hAnsi="Times New Roman" w:eastAsia="方正书宋_GBK" w:cs="Times New Roman"/>
              </w:rPr>
            </w:pPr>
          </w:p>
        </w:tc>
        <w:tc>
          <w:tcPr>
            <w:tcW w:w="1200" w:type="dxa"/>
            <w:vMerge w:val="continue"/>
            <w:noWrap w:val="0"/>
            <w:vAlign w:val="center"/>
          </w:tcPr>
          <w:p w14:paraId="53EBBB22">
            <w:pPr>
              <w:spacing w:line="300" w:lineRule="exact"/>
              <w:jc w:val="left"/>
              <w:rPr>
                <w:rFonts w:hint="eastAsia" w:ascii="方正书宋_GBK" w:hAnsi="Times New Roman" w:eastAsia="方正书宋_GBK" w:cs="Times New Roman"/>
              </w:rPr>
            </w:pPr>
          </w:p>
        </w:tc>
        <w:tc>
          <w:tcPr>
            <w:tcW w:w="1109" w:type="dxa"/>
            <w:vMerge w:val="continue"/>
            <w:noWrap w:val="0"/>
            <w:vAlign w:val="center"/>
          </w:tcPr>
          <w:p w14:paraId="4B84958E">
            <w:pPr>
              <w:spacing w:line="300" w:lineRule="exact"/>
              <w:jc w:val="left"/>
              <w:rPr>
                <w:rFonts w:hint="eastAsia" w:ascii="方正书宋_GBK" w:hAnsi="Times New Roman" w:eastAsia="方正书宋_GBK" w:cs="Times New Roman"/>
              </w:rPr>
            </w:pPr>
          </w:p>
        </w:tc>
        <w:tc>
          <w:tcPr>
            <w:tcW w:w="2113" w:type="dxa"/>
            <w:vMerge w:val="continue"/>
            <w:noWrap w:val="0"/>
            <w:vAlign w:val="center"/>
          </w:tcPr>
          <w:p w14:paraId="259EBDB2">
            <w:pPr>
              <w:spacing w:line="300" w:lineRule="exact"/>
              <w:jc w:val="left"/>
              <w:rPr>
                <w:rFonts w:hint="eastAsia" w:ascii="方正书宋_GBK" w:hAnsi="Times New Roman" w:eastAsia="方正书宋_GBK" w:cs="Times New Roman"/>
              </w:rPr>
            </w:pPr>
          </w:p>
        </w:tc>
        <w:tc>
          <w:tcPr>
            <w:tcW w:w="2106" w:type="dxa"/>
            <w:noWrap w:val="0"/>
            <w:vAlign w:val="center"/>
          </w:tcPr>
          <w:p w14:paraId="0CD92606">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rPr>
              <w:t>第二检察部</w:t>
            </w:r>
          </w:p>
        </w:tc>
      </w:tr>
      <w:tr w14:paraId="743A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rPr>
        <w:tc>
          <w:tcPr>
            <w:tcW w:w="2230" w:type="dxa"/>
            <w:vMerge w:val="continue"/>
            <w:noWrap w:val="0"/>
            <w:vAlign w:val="center"/>
          </w:tcPr>
          <w:p w14:paraId="7D9F0902">
            <w:pPr>
              <w:spacing w:line="300" w:lineRule="exact"/>
              <w:jc w:val="left"/>
              <w:rPr>
                <w:rFonts w:hint="eastAsia" w:ascii="方正书宋_GBK" w:hAnsi="Times New Roman" w:eastAsia="方正书宋_GBK" w:cs="Times New Roman"/>
              </w:rPr>
            </w:pPr>
          </w:p>
        </w:tc>
        <w:tc>
          <w:tcPr>
            <w:tcW w:w="1200" w:type="dxa"/>
            <w:vMerge w:val="continue"/>
            <w:noWrap w:val="0"/>
            <w:vAlign w:val="center"/>
          </w:tcPr>
          <w:p w14:paraId="58261E63">
            <w:pPr>
              <w:spacing w:line="300" w:lineRule="exact"/>
              <w:jc w:val="left"/>
              <w:rPr>
                <w:rFonts w:hint="eastAsia" w:ascii="方正书宋_GBK" w:hAnsi="Times New Roman" w:eastAsia="方正书宋_GBK" w:cs="Times New Roman"/>
              </w:rPr>
            </w:pPr>
          </w:p>
        </w:tc>
        <w:tc>
          <w:tcPr>
            <w:tcW w:w="1109" w:type="dxa"/>
            <w:vMerge w:val="continue"/>
            <w:noWrap w:val="0"/>
            <w:vAlign w:val="center"/>
          </w:tcPr>
          <w:p w14:paraId="2D138C91">
            <w:pPr>
              <w:spacing w:line="300" w:lineRule="exact"/>
              <w:jc w:val="left"/>
              <w:rPr>
                <w:rFonts w:hint="eastAsia" w:ascii="方正书宋_GBK" w:hAnsi="Times New Roman" w:eastAsia="方正书宋_GBK" w:cs="Times New Roman"/>
              </w:rPr>
            </w:pPr>
          </w:p>
        </w:tc>
        <w:tc>
          <w:tcPr>
            <w:tcW w:w="2113" w:type="dxa"/>
            <w:vMerge w:val="continue"/>
            <w:noWrap w:val="0"/>
            <w:vAlign w:val="center"/>
          </w:tcPr>
          <w:p w14:paraId="5A26B04B">
            <w:pPr>
              <w:spacing w:line="300" w:lineRule="exact"/>
              <w:jc w:val="left"/>
              <w:rPr>
                <w:rFonts w:hint="eastAsia" w:ascii="方正书宋_GBK" w:hAnsi="Times New Roman" w:eastAsia="方正书宋_GBK" w:cs="Times New Roman"/>
              </w:rPr>
            </w:pPr>
          </w:p>
        </w:tc>
        <w:tc>
          <w:tcPr>
            <w:tcW w:w="2106" w:type="dxa"/>
            <w:noWrap w:val="0"/>
            <w:vAlign w:val="center"/>
          </w:tcPr>
          <w:p w14:paraId="6FF58F3B">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rPr>
              <w:t>第三检察部</w:t>
            </w:r>
          </w:p>
        </w:tc>
      </w:tr>
      <w:tr w14:paraId="7D10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rPr>
        <w:tc>
          <w:tcPr>
            <w:tcW w:w="2230" w:type="dxa"/>
            <w:vMerge w:val="continue"/>
            <w:noWrap w:val="0"/>
            <w:vAlign w:val="center"/>
          </w:tcPr>
          <w:p w14:paraId="68EC07D4">
            <w:pPr>
              <w:spacing w:line="300" w:lineRule="exact"/>
              <w:jc w:val="left"/>
              <w:rPr>
                <w:rFonts w:hint="eastAsia" w:ascii="方正书宋_GBK" w:hAnsi="Times New Roman" w:eastAsia="方正书宋_GBK" w:cs="Times New Roman"/>
              </w:rPr>
            </w:pPr>
          </w:p>
        </w:tc>
        <w:tc>
          <w:tcPr>
            <w:tcW w:w="1200" w:type="dxa"/>
            <w:vMerge w:val="continue"/>
            <w:noWrap w:val="0"/>
            <w:vAlign w:val="center"/>
          </w:tcPr>
          <w:p w14:paraId="7E96210E">
            <w:pPr>
              <w:spacing w:line="300" w:lineRule="exact"/>
              <w:jc w:val="left"/>
              <w:rPr>
                <w:rFonts w:hint="eastAsia" w:ascii="方正书宋_GBK" w:hAnsi="Times New Roman" w:eastAsia="方正书宋_GBK" w:cs="Times New Roman"/>
              </w:rPr>
            </w:pPr>
          </w:p>
        </w:tc>
        <w:tc>
          <w:tcPr>
            <w:tcW w:w="1109" w:type="dxa"/>
            <w:vMerge w:val="continue"/>
            <w:noWrap w:val="0"/>
            <w:vAlign w:val="center"/>
          </w:tcPr>
          <w:p w14:paraId="255114A8">
            <w:pPr>
              <w:spacing w:line="300" w:lineRule="exact"/>
              <w:jc w:val="left"/>
              <w:rPr>
                <w:rFonts w:hint="eastAsia" w:ascii="方正书宋_GBK" w:hAnsi="Times New Roman" w:eastAsia="方正书宋_GBK" w:cs="Times New Roman"/>
              </w:rPr>
            </w:pPr>
          </w:p>
        </w:tc>
        <w:tc>
          <w:tcPr>
            <w:tcW w:w="2113" w:type="dxa"/>
            <w:vMerge w:val="continue"/>
            <w:noWrap w:val="0"/>
            <w:vAlign w:val="center"/>
          </w:tcPr>
          <w:p w14:paraId="1A9DF2DC">
            <w:pPr>
              <w:spacing w:line="300" w:lineRule="exact"/>
              <w:jc w:val="left"/>
              <w:rPr>
                <w:rFonts w:hint="eastAsia" w:ascii="方正书宋_GBK" w:hAnsi="Times New Roman" w:eastAsia="方正书宋_GBK" w:cs="Times New Roman"/>
              </w:rPr>
            </w:pPr>
          </w:p>
        </w:tc>
        <w:tc>
          <w:tcPr>
            <w:tcW w:w="2106" w:type="dxa"/>
            <w:noWrap w:val="0"/>
            <w:vAlign w:val="center"/>
          </w:tcPr>
          <w:p w14:paraId="5F78D840">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rPr>
              <w:t>政治部</w:t>
            </w:r>
          </w:p>
        </w:tc>
      </w:tr>
      <w:tr w14:paraId="6DFA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rPr>
        <w:tc>
          <w:tcPr>
            <w:tcW w:w="2230" w:type="dxa"/>
            <w:vMerge w:val="continue"/>
            <w:noWrap w:val="0"/>
            <w:vAlign w:val="center"/>
          </w:tcPr>
          <w:p w14:paraId="4FC4097B">
            <w:pPr>
              <w:spacing w:line="300" w:lineRule="exact"/>
              <w:jc w:val="left"/>
              <w:rPr>
                <w:rFonts w:hint="eastAsia" w:ascii="方正书宋_GBK" w:hAnsi="Times New Roman" w:eastAsia="方正书宋_GBK" w:cs="Times New Roman"/>
              </w:rPr>
            </w:pPr>
          </w:p>
        </w:tc>
        <w:tc>
          <w:tcPr>
            <w:tcW w:w="1200" w:type="dxa"/>
            <w:vMerge w:val="continue"/>
            <w:noWrap w:val="0"/>
            <w:vAlign w:val="center"/>
          </w:tcPr>
          <w:p w14:paraId="578C19BF">
            <w:pPr>
              <w:spacing w:line="300" w:lineRule="exact"/>
              <w:jc w:val="left"/>
              <w:rPr>
                <w:rFonts w:hint="eastAsia" w:ascii="方正书宋_GBK" w:hAnsi="Times New Roman" w:eastAsia="方正书宋_GBK" w:cs="Times New Roman"/>
              </w:rPr>
            </w:pPr>
          </w:p>
        </w:tc>
        <w:tc>
          <w:tcPr>
            <w:tcW w:w="1109" w:type="dxa"/>
            <w:vMerge w:val="continue"/>
            <w:noWrap w:val="0"/>
            <w:vAlign w:val="center"/>
          </w:tcPr>
          <w:p w14:paraId="0FD48497">
            <w:pPr>
              <w:spacing w:line="300" w:lineRule="exact"/>
              <w:jc w:val="left"/>
              <w:rPr>
                <w:rFonts w:hint="eastAsia" w:ascii="方正书宋_GBK" w:hAnsi="Times New Roman" w:eastAsia="方正书宋_GBK" w:cs="Times New Roman"/>
              </w:rPr>
            </w:pPr>
          </w:p>
        </w:tc>
        <w:tc>
          <w:tcPr>
            <w:tcW w:w="2113" w:type="dxa"/>
            <w:vMerge w:val="continue"/>
            <w:noWrap w:val="0"/>
            <w:vAlign w:val="center"/>
          </w:tcPr>
          <w:p w14:paraId="3A9DEF22">
            <w:pPr>
              <w:spacing w:line="300" w:lineRule="exact"/>
              <w:jc w:val="left"/>
              <w:rPr>
                <w:rFonts w:hint="eastAsia" w:ascii="方正书宋_GBK" w:hAnsi="Times New Roman" w:eastAsia="方正书宋_GBK" w:cs="Times New Roman"/>
              </w:rPr>
            </w:pPr>
          </w:p>
        </w:tc>
        <w:tc>
          <w:tcPr>
            <w:tcW w:w="2106" w:type="dxa"/>
            <w:noWrap w:val="0"/>
            <w:vAlign w:val="center"/>
          </w:tcPr>
          <w:p w14:paraId="20FB0F3D">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rPr>
              <w:t>办公室</w:t>
            </w:r>
          </w:p>
        </w:tc>
      </w:tr>
    </w:tbl>
    <w:p w14:paraId="5039351E">
      <w:pPr>
        <w:pStyle w:val="5"/>
        <w:ind w:left="0" w:leftChars="0" w:firstLine="0" w:firstLineChars="0"/>
        <w:rPr>
          <w:rFonts w:hint="default"/>
          <w:lang w:val="en-US" w:eastAsia="zh-CN"/>
        </w:rPr>
      </w:pPr>
    </w:p>
    <w:p w14:paraId="29629A5B">
      <w:pPr>
        <w:widowControl w:val="0"/>
        <w:numPr>
          <w:ilvl w:val="0"/>
          <w:numId w:val="1"/>
        </w:numPr>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人员情况</w:t>
      </w:r>
    </w:p>
    <w:p w14:paraId="304A5669">
      <w:pPr>
        <w:widowControl w:val="0"/>
        <w:numPr>
          <w:ilvl w:val="0"/>
          <w:numId w:val="0"/>
        </w:numPr>
        <w:wordWrap/>
        <w:adjustRightInd w:val="0"/>
        <w:snapToGrid w:val="0"/>
        <w:spacing w:line="560" w:lineRule="exact"/>
        <w:ind w:right="0" w:rightChars="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我院现有编制30名，在编人员26人；聘用制书记员10人，劳务派遣人员12人，退休人员28人。</w:t>
      </w:r>
    </w:p>
    <w:p w14:paraId="631033B8">
      <w:pPr>
        <w:widowControl w:val="0"/>
        <w:numPr>
          <w:ilvl w:val="0"/>
          <w:numId w:val="1"/>
        </w:numPr>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资产情况</w:t>
      </w:r>
    </w:p>
    <w:p w14:paraId="4D17228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截至</w:t>
      </w:r>
      <w:bookmarkStart w:id="0" w:name="_GoBack"/>
      <w:bookmarkEnd w:id="0"/>
      <w:r>
        <w:rPr>
          <w:rFonts w:hint="eastAsia" w:ascii="仿宋" w:hAnsi="仿宋" w:eastAsia="仿宋"/>
          <w:sz w:val="32"/>
          <w:szCs w:val="32"/>
          <w:lang w:val="en-US" w:eastAsia="zh-CN"/>
        </w:rPr>
        <w:t>2023年12月31</w:t>
      </w:r>
      <w:r>
        <w:rPr>
          <w:rFonts w:hint="eastAsia" w:ascii="仿宋" w:hAnsi="仿宋" w:eastAsia="仿宋" w:cs="黑体"/>
          <w:kern w:val="2"/>
          <w:sz w:val="32"/>
          <w:szCs w:val="32"/>
          <w:lang w:val="en-US" w:eastAsia="zh-CN" w:bidi="ar-SA"/>
        </w:rPr>
        <w:t>日，我院共有固定资产2569.33万元，其中：土地、房屋及构筑物946.99万元，设备1512.1万元，图书、档案1.11万元，家具和用具109.12万元。</w:t>
      </w:r>
    </w:p>
    <w:p w14:paraId="7D18C61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7AF638D6">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预算情况</w:t>
      </w:r>
    </w:p>
    <w:p w14:paraId="08ADCAAA">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我院2023年预算财政拨款收入1129.52万元，预算支出1129.52万元，其中：基本支出939.52万元，项目支出190万元。</w:t>
      </w:r>
    </w:p>
    <w:p w14:paraId="302E14B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决算情况</w:t>
      </w:r>
    </w:p>
    <w:p w14:paraId="64EE76B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 w:hAnsi="仿宋" w:eastAsia="仿宋"/>
          <w:sz w:val="32"/>
          <w:szCs w:val="32"/>
          <w:lang w:val="en-US" w:eastAsia="zh-CN"/>
        </w:rPr>
        <w:t>我院2023年决算财政拨款收入1202.09万元，决算支出1202.09万元，其中：基本支出891.56万元，项目支出310.53万元。</w:t>
      </w:r>
    </w:p>
    <w:p w14:paraId="3D149D9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29463E2">
      <w:pPr>
        <w:widowControl w:val="0"/>
        <w:numPr>
          <w:ilvl w:val="0"/>
          <w:numId w:val="2"/>
        </w:numPr>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部门整体支出绩效目标</w:t>
      </w:r>
    </w:p>
    <w:p w14:paraId="1F89557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以习近平新时代中国特色社会主义思想为指导，全面贯彻习近平法治思想，深入学习宣传贯彻党的二十大精神，坚决落实《中共中央关于加强新时代检察机关法律监督工作的意见》，全面执行省委、市委、县委和上级检察机关各项决策部署要求，坚持“三个务必”，牢记新时代新征程党的中心任务，全面履行检察职责，综合运用监督手段，更深融入法治国家、法治政府、法治社会一体建设，踔厉奋发、勇毅前行，以止于至善、求极致的精神，大力推进检察队伍革命化正规化专业化职业化建设。</w:t>
      </w:r>
    </w:p>
    <w:p w14:paraId="23DD905F">
      <w:pPr>
        <w:widowControl w:val="0"/>
        <w:numPr>
          <w:ilvl w:val="0"/>
          <w:numId w:val="2"/>
        </w:numPr>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分项指标</w:t>
      </w:r>
    </w:p>
    <w:p w14:paraId="65979EB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加强普通刑事犯罪检察工作</w:t>
      </w:r>
    </w:p>
    <w:p w14:paraId="61F7444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依法严肃打击侵犯公民财产权、人身权、扰乱社会秩序等各类刑事犯罪；与公安局、自然资源局、生态环境局联合组织开展打击危害自然资源和生态环境犯罪专项活动，增强人民群众的获得感幸福感安全感；深入推进扫黑除恶专项斗争工作，挂牌督办重大涉黑恶案件，做好起诉案件积压量大地区的点对点指导工作，坚决监督纠正片面追求打击数量而下指标等错误做法；持续做好认罪认罚从宽工作，不断提升办案质效；以规范化、专业化为导向，加强普通刑事犯罪检察人才队伍和工作机制建设。</w:t>
      </w:r>
    </w:p>
    <w:p w14:paraId="499FEB6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进一步提升重大刑事犯罪办案质效</w:t>
      </w:r>
    </w:p>
    <w:p w14:paraId="0549B9B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充分发挥重罪检察职能，坚持以司法办案为中心，依法严厉打击危害国家安全、危害公共安全、故意杀人、抢劫、毒品等重大刑事犯罪，进一步提升办案质效，维护社会和谐稳定。</w:t>
      </w:r>
    </w:p>
    <w:p w14:paraId="1FD2070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为反腐败深入发展提供有力司法保障</w:t>
      </w:r>
    </w:p>
    <w:p w14:paraId="309763F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充分履行职务犯罪检察职能，着力提高案件办理质效。与监察机关、审判机关、公安机关的协调配合，形成反腐败的工作合力。</w:t>
      </w:r>
    </w:p>
    <w:p w14:paraId="15FEFCA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rPr>
        <w:t>刑事执行检察职能得到充分发挥</w:t>
      </w:r>
    </w:p>
    <w:p w14:paraId="1718269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查办诉讼过程中侵犯公民权利、损害司法公正犯罪的能力不断提高，刑事执行检察监督方式进一步科学、合理，监督效果更加突显，刑事被执行人的权益得到有效保障，监管场所不发生重大敏感事件，刑事执行领域公平正义得以实现。</w:t>
      </w:r>
    </w:p>
    <w:p w14:paraId="1077F5D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w:t>
      </w:r>
      <w:r>
        <w:rPr>
          <w:rFonts w:hint="eastAsia" w:ascii="仿宋" w:hAnsi="仿宋" w:eastAsia="仿宋"/>
          <w:sz w:val="32"/>
          <w:szCs w:val="32"/>
        </w:rPr>
        <w:t>全面履行民事检察职能</w:t>
      </w:r>
    </w:p>
    <w:p w14:paraId="4A7E6CE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坚持以办案为中心，以做强民事检察工作为目标，坚持精细化监督理念，不断优化裁判结果监督，强化审判人员违法行为监督和执行活动监督，强化虚假诉讼监督，深化全面完善多元化监督格局，推进民事检察工作实现新突破、再上新台阶。</w:t>
      </w:r>
    </w:p>
    <w:p w14:paraId="2205027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6</w:t>
      </w:r>
      <w:r>
        <w:rPr>
          <w:rFonts w:hint="eastAsia" w:ascii="仿宋" w:hAnsi="仿宋" w:eastAsia="仿宋"/>
          <w:sz w:val="32"/>
          <w:szCs w:val="32"/>
          <w:lang w:eastAsia="zh-CN"/>
        </w:rPr>
        <w:t>）</w:t>
      </w:r>
      <w:r>
        <w:rPr>
          <w:rFonts w:hint="eastAsia" w:ascii="仿宋" w:hAnsi="仿宋" w:eastAsia="仿宋"/>
          <w:sz w:val="32"/>
          <w:szCs w:val="32"/>
        </w:rPr>
        <w:t>持续加大公益诉讼检察工作力度</w:t>
      </w:r>
    </w:p>
    <w:p w14:paraId="083C401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加大办理“4+1”领域公益诉讼案件力度，积极稳妥开展“等”外领域公益诉讼案件办理工作。加大公益诉讼宣传力度，扩大公众对公益诉讼检察的知晓度、参与度，营造良好舆论氛围，构建社会治理共同体。</w:t>
      </w:r>
    </w:p>
    <w:p w14:paraId="6FF5F1F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7</w:t>
      </w:r>
      <w:r>
        <w:rPr>
          <w:rFonts w:hint="eastAsia" w:ascii="仿宋" w:hAnsi="仿宋" w:eastAsia="仿宋"/>
          <w:sz w:val="32"/>
          <w:szCs w:val="32"/>
          <w:lang w:eastAsia="zh-CN"/>
        </w:rPr>
        <w:t>）</w:t>
      </w:r>
      <w:r>
        <w:rPr>
          <w:rFonts w:hint="eastAsia" w:ascii="仿宋" w:hAnsi="仿宋" w:eastAsia="仿宋"/>
          <w:sz w:val="32"/>
          <w:szCs w:val="32"/>
        </w:rPr>
        <w:t>有效履行新时期未检职能</w:t>
      </w:r>
    </w:p>
    <w:p w14:paraId="18FDC9A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严格落实各项未成年人特殊检察制度，切实保护涉罪未成年人及未成年被害人各项诉讼权利，将未成年人特殊司法理念、特殊司法任务落实到未检工作的每一个环节；加强未成年人检察社会支持体系建设，建立健全相关工作机制和制度，解决制约未成年人司法保护社会支持体系建设的难题；落实“谁执法谁普法”普法责任制要求，积极参与青少年法治教育工作，推动落实检察长、副检察长担任辖区中小学校兼职法治副校长制度，继续深入推进法治进校园等各类法治宣传活动。 </w:t>
      </w:r>
    </w:p>
    <w:p w14:paraId="1B710A9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8</w:t>
      </w:r>
      <w:r>
        <w:rPr>
          <w:rFonts w:hint="eastAsia" w:ascii="仿宋" w:hAnsi="仿宋" w:eastAsia="仿宋"/>
          <w:sz w:val="32"/>
          <w:szCs w:val="32"/>
          <w:lang w:eastAsia="zh-CN"/>
        </w:rPr>
        <w:t>）</w:t>
      </w:r>
      <w:r>
        <w:rPr>
          <w:rFonts w:hint="eastAsia" w:ascii="仿宋" w:hAnsi="仿宋" w:eastAsia="仿宋"/>
          <w:sz w:val="32"/>
          <w:szCs w:val="32"/>
        </w:rPr>
        <w:t>控告申诉检察业务能力整体增强</w:t>
      </w:r>
    </w:p>
    <w:p w14:paraId="61B2F14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进一步提高刑事申诉案件审查、移转效率，严格遵守法定程序和期限审查刑事申诉案件，做到因案分流，繁案精办，简案快办，规范有序；“群众来信件件有回复”工作能力和水平整体增强；国家司法救助工作进一步完善，扩大国家司法救助覆盖面。加大督查指导力度，继续实行月通报制度。 </w:t>
      </w:r>
    </w:p>
    <w:p w14:paraId="246510B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9</w:t>
      </w:r>
      <w:r>
        <w:rPr>
          <w:rFonts w:hint="eastAsia" w:ascii="仿宋" w:hAnsi="仿宋" w:eastAsia="仿宋"/>
          <w:sz w:val="32"/>
          <w:szCs w:val="32"/>
          <w:lang w:eastAsia="zh-CN"/>
        </w:rPr>
        <w:t>）</w:t>
      </w:r>
      <w:r>
        <w:rPr>
          <w:rFonts w:hint="eastAsia" w:ascii="仿宋" w:hAnsi="仿宋" w:eastAsia="仿宋"/>
          <w:sz w:val="32"/>
          <w:szCs w:val="32"/>
        </w:rPr>
        <w:t>干部人事管理水平进一步加强</w:t>
      </w:r>
    </w:p>
    <w:p w14:paraId="43ACD47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积极推进司法体制改革相关工作，进一步做好人员分类管理工作，不断完善规范员额动态管理、检察人员选升晋升等工作，持续推动检察人员职业保障及配套工作。全面加强队伍建设，进一步做好干部选拔任用、招录招聘、调配交流、职级调整、考核评价等工作，不断规范完善工资福利、档案考勤管理，持续强化干部监督管理。</w:t>
      </w:r>
    </w:p>
    <w:p w14:paraId="436AB2D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10</w:t>
      </w:r>
      <w:r>
        <w:rPr>
          <w:rFonts w:hint="eastAsia" w:ascii="仿宋" w:hAnsi="仿宋" w:eastAsia="仿宋"/>
          <w:sz w:val="32"/>
          <w:szCs w:val="32"/>
          <w:lang w:eastAsia="zh-CN"/>
        </w:rPr>
        <w:t>）</w:t>
      </w:r>
      <w:r>
        <w:rPr>
          <w:rFonts w:hint="eastAsia" w:ascii="仿宋" w:hAnsi="仿宋" w:eastAsia="仿宋"/>
          <w:sz w:val="32"/>
          <w:szCs w:val="32"/>
        </w:rPr>
        <w:t>检察宣传能力整体增强</w:t>
      </w:r>
    </w:p>
    <w:p w14:paraId="3EF6D9F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检察机关意识形态建设；积极开展主题宣传和专项宣传，检察公信力和群众满意度逐步提升，新闻发布管理，拓展新闻宣传阵地；“三同步”工作机制正常运转，积极开展涉检舆情应对工作；检务公开网络平台安全平稳运行，积极为群众提供信息服务；加大新媒体作品创作力度，提升新媒体运维管理水平，扩大网络平台社会影响力；大力开展先进典型培树宣传；积极推动检察文化建设深入发展，活跃检察机关精神生活。</w:t>
      </w:r>
    </w:p>
    <w:p w14:paraId="6208779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11</w:t>
      </w:r>
      <w:r>
        <w:rPr>
          <w:rFonts w:hint="eastAsia" w:ascii="仿宋" w:hAnsi="仿宋" w:eastAsia="仿宋"/>
          <w:sz w:val="32"/>
          <w:szCs w:val="32"/>
          <w:lang w:eastAsia="zh-CN"/>
        </w:rPr>
        <w:t>）</w:t>
      </w:r>
      <w:r>
        <w:rPr>
          <w:rFonts w:hint="eastAsia" w:ascii="仿宋" w:hAnsi="仿宋" w:eastAsia="仿宋"/>
          <w:sz w:val="32"/>
          <w:szCs w:val="32"/>
        </w:rPr>
        <w:t>检察理论研究工作整体增强</w:t>
      </w:r>
    </w:p>
    <w:p w14:paraId="176D682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调研机制建设和研究队伍建设，构建全员参与的大调研工作机制。以检委会信息化建设为契机，进一步规范检委会工作，用好专家人才库提供外脑智力支持。积极落实高检院对检答网、检察建议等工作的要求。</w:t>
      </w:r>
    </w:p>
    <w:p w14:paraId="3EBD49E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12</w:t>
      </w:r>
      <w:r>
        <w:rPr>
          <w:rFonts w:hint="eastAsia" w:ascii="仿宋" w:hAnsi="仿宋" w:eastAsia="仿宋"/>
          <w:sz w:val="32"/>
          <w:szCs w:val="32"/>
          <w:lang w:eastAsia="zh-CN"/>
        </w:rPr>
        <w:t>）</w:t>
      </w:r>
      <w:r>
        <w:rPr>
          <w:rFonts w:hint="eastAsia" w:ascii="仿宋" w:hAnsi="仿宋" w:eastAsia="仿宋"/>
          <w:sz w:val="32"/>
          <w:szCs w:val="32"/>
        </w:rPr>
        <w:t>案管监督、管理业务工作水平提升</w:t>
      </w:r>
    </w:p>
    <w:p w14:paraId="28A2E7A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接收、录入并及时分配各类案件；接待律师咨询、阅卷等各类工作，保障律师权益正确行使；定期评查案件，使案件质量整体进一步提高，加强统一业务应用系统的规范使用和深度应用，做好案件流程监控工作，提高案件整体质量；开展业务数据分析研判工作，为检察决策和业务开展提供参考依据；提升案件信息公开工作的整体水平；组织做好人民监督员监督工作；确保涉案财物按规定随案移交，妥善保管。</w:t>
      </w:r>
    </w:p>
    <w:p w14:paraId="40D01D0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13</w:t>
      </w:r>
      <w:r>
        <w:rPr>
          <w:rFonts w:hint="eastAsia" w:ascii="仿宋" w:hAnsi="仿宋" w:eastAsia="仿宋"/>
          <w:sz w:val="32"/>
          <w:szCs w:val="32"/>
          <w:lang w:eastAsia="zh-CN"/>
        </w:rPr>
        <w:t>）</w:t>
      </w:r>
      <w:r>
        <w:rPr>
          <w:rFonts w:hint="eastAsia" w:ascii="仿宋" w:hAnsi="仿宋" w:eastAsia="仿宋"/>
          <w:sz w:val="32"/>
          <w:szCs w:val="32"/>
        </w:rPr>
        <w:t>严格认真履职确保办案安全</w:t>
      </w:r>
    </w:p>
    <w:p w14:paraId="4DA070E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拓展履职空间，主动融入公益诉讼，协助远程提审，公开审查、宣告等新兴检察业务，参与职务犯罪自行侦查、刑事案件自行补充侦查、对监狱的巡回检察等工作，探索协助侦查监督提前介入、民行部门息诉工作、保护重大案件中检察人员和证人安全、协助刑事执行申诉案件的调查取证等工作，把警务保障做强做实。</w:t>
      </w:r>
    </w:p>
    <w:p w14:paraId="3977FD3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14</w:t>
      </w:r>
      <w:r>
        <w:rPr>
          <w:rFonts w:hint="eastAsia" w:ascii="仿宋" w:hAnsi="仿宋" w:eastAsia="仿宋"/>
          <w:sz w:val="32"/>
          <w:szCs w:val="32"/>
          <w:lang w:eastAsia="zh-CN"/>
        </w:rPr>
        <w:t>）</w:t>
      </w:r>
      <w:r>
        <w:rPr>
          <w:rFonts w:hint="eastAsia" w:ascii="仿宋" w:hAnsi="仿宋" w:eastAsia="仿宋"/>
          <w:sz w:val="32"/>
          <w:szCs w:val="32"/>
        </w:rPr>
        <w:t>检务保障水平和能力整体增强</w:t>
      </w:r>
    </w:p>
    <w:p w14:paraId="1F94D0D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科学合理编制部门预决算；做好财务管理、国有资产管理、政府采购、公务接待、后勤服务等工作。</w:t>
      </w:r>
    </w:p>
    <w:p w14:paraId="02E04AE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05E2A10">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4B2B6D1B">
      <w:pPr>
        <w:spacing w:line="560" w:lineRule="exact"/>
        <w:rPr>
          <w:rFonts w:ascii="仿宋" w:hAnsi="仿宋" w:eastAsia="仿宋"/>
          <w:sz w:val="32"/>
          <w:szCs w:val="32"/>
        </w:rPr>
      </w:pPr>
      <w:r>
        <w:rPr>
          <w:rFonts w:hint="eastAsia" w:ascii="仿宋" w:hAnsi="仿宋" w:eastAsia="仿宋"/>
          <w:sz w:val="32"/>
          <w:szCs w:val="32"/>
        </w:rPr>
        <w:t xml:space="preserve">     为扎实做好202</w:t>
      </w:r>
      <w:r>
        <w:rPr>
          <w:rFonts w:hint="eastAsia" w:ascii="仿宋" w:hAnsi="仿宋" w:eastAsia="仿宋"/>
          <w:sz w:val="32"/>
          <w:szCs w:val="32"/>
          <w:lang w:val="en-US" w:eastAsia="zh-CN"/>
        </w:rPr>
        <w:t>3</w:t>
      </w:r>
      <w:r>
        <w:rPr>
          <w:rFonts w:hint="eastAsia" w:ascii="仿宋" w:hAnsi="仿宋" w:eastAsia="仿宋"/>
          <w:sz w:val="32"/>
          <w:szCs w:val="32"/>
        </w:rPr>
        <w:t>年度项目资金绩效自评工作，切实提高财政资金使用效益，我单位认真学习县财政局下发有关专项资金绩效自评的工作要求与评价内容，结合实际，组织成立了绩效评价工作小组。</w:t>
      </w:r>
    </w:p>
    <w:p w14:paraId="0763E8C2">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44A49F2">
      <w:pPr>
        <w:adjustRightInd w:val="0"/>
        <w:snapToGrid w:val="0"/>
        <w:spacing w:line="560" w:lineRule="exact"/>
        <w:ind w:firstLine="640" w:firstLineChars="200"/>
        <w:rPr>
          <w:rFonts w:hint="eastAsia" w:ascii="仿宋" w:hAnsi="仿宋" w:eastAsia="仿宋"/>
          <w:sz w:val="32"/>
          <w:szCs w:val="32"/>
          <w:lang w:eastAsia="zh-CN"/>
        </w:rPr>
      </w:pPr>
      <w:r>
        <w:rPr>
          <w:rFonts w:hint="eastAsia" w:ascii="黑体" w:hAnsi="黑体" w:eastAsia="黑体"/>
          <w:sz w:val="32"/>
          <w:szCs w:val="32"/>
        </w:rPr>
        <w:t xml:space="preserve">   </w:t>
      </w:r>
      <w:r>
        <w:rPr>
          <w:rFonts w:hint="eastAsia" w:ascii="仿宋" w:hAnsi="仿宋" w:eastAsia="仿宋"/>
          <w:sz w:val="32"/>
          <w:szCs w:val="32"/>
          <w:lang w:eastAsia="zh-CN"/>
        </w:rPr>
        <w:t xml:space="preserve"> 1、评价方法</w:t>
      </w:r>
    </w:p>
    <w:p w14:paraId="511F7FC1">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采取定量分析与定性分析相结合，运用因素分析法、比较法、现场核查法、访谈、问卷调查等基本方法开展评价工作。</w:t>
      </w:r>
    </w:p>
    <w:p w14:paraId="75A2451C">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（1）因素分析法。通过列举分析影响绩效目标实现、实施效果的内外因素，评价绩效目标实现程度。</w:t>
      </w:r>
    </w:p>
    <w:p w14:paraId="403A0CBA">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（2）比较法。通过对项目当期实际产生的项目效益结果与预期目标进行分析对比和定性分析、定量分析，分析完成（或未完成）目标的因素，从而评价财政支出绩效。</w:t>
      </w:r>
    </w:p>
    <w:p w14:paraId="62FF507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（3）现场核查法。现场对项目进行核实，实事求是检查其财务情况和绩效表现等相关资料。</w:t>
      </w:r>
    </w:p>
    <w:p w14:paraId="386A80E7">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（4）访谈。通过与相关人员进行面谈，针对项目的不同特点和关键问题，直接听取项目管理者、实施人员的意见。</w:t>
      </w:r>
    </w:p>
    <w:p w14:paraId="5BDC65D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（5）问卷调查。设计有针对性的调查问卷，通过对服务对象和受益群体等发放调查问卷，获取对项目实施效果的满意程度。</w:t>
      </w:r>
    </w:p>
    <w:p w14:paraId="3CE99185">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2、评价过程</w:t>
      </w:r>
    </w:p>
    <w:p w14:paraId="0321B5E0">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本次绩效评价工作过程包括前期准备、组织实施、撰写评价报告三个阶段。</w:t>
      </w:r>
    </w:p>
    <w:p w14:paraId="1C2C286C">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（1）前期准备</w:t>
      </w:r>
    </w:p>
    <w:p w14:paraId="46D8083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一是按照绩效评价工作要求，明确绩效评价的内容和范围，初步制定绩效评价工作方案。二是召开座谈会，对工作方案进行反复讨论并广泛征求相关科室和有关人员意见。三是对我单位各预算项目单独进行打分自评，在资料搜集、信息核实、现场调研、访谈沟通等工作的基础上，挖掘绩效数据，拟定项目产出、项目执行、项目效益等指标体系，准确地计量和评判各项目实施后产生的经济效益、生态效益、社会效益和可持续响，最终形成评价结论。各项目自评工作为顺利实施我单位年度绩效评价工作奠定了基础。</w:t>
      </w:r>
    </w:p>
    <w:p w14:paraId="5840AE4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（2）组织实施</w:t>
      </w:r>
    </w:p>
    <w:p w14:paraId="57B59333">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评价工作小组对我单位年度绩效的相关资料进行收集、梳理。首先，通过分析、核实，确保所收集的数据和资料真实、可靠。其次，逐一梳理各文件内容，将存在的问题以批注形式予以说明，同时在梳理资料过程中将资料分类并排序编码，形成资料清单。最后，在与相关人员沟通过程中，直接对照资料清单进行核实，随时删除已核实的批注问题，即时更新备注信息，确保已提交和待补充的资料名称、存在的问题及重点信息同时展现。</w:t>
      </w:r>
    </w:p>
    <w:p w14:paraId="0135167A">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（3）撰写绩效评价报告</w:t>
      </w:r>
    </w:p>
    <w:p w14:paraId="2DDC356A">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小组成员在对收集的数据、资料进行核对、比较、计算的基础上，对比年度绩效目标，形成评价结论；根据评价结论，撰写绩效评价报告，并形成绩效评价档案。</w:t>
      </w:r>
    </w:p>
    <w:p w14:paraId="527936DB">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0532B4F3">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76ED179">
      <w:pPr>
        <w:keepNext w:val="0"/>
        <w:keepLines w:val="0"/>
        <w:pageBreakBefore w:val="0"/>
        <w:widowControl w:val="0"/>
        <w:kinsoku/>
        <w:wordWrap/>
        <w:overflowPunct/>
        <w:topLinePunct w:val="0"/>
        <w:autoSpaceDE/>
        <w:autoSpaceDN/>
        <w:bidi w:val="0"/>
        <w:adjustRightInd/>
        <w:snapToGrid/>
        <w:spacing w:after="0" w:line="520" w:lineRule="exact"/>
        <w:ind w:left="0" w:leftChars="0" w:right="0" w:firstLine="640" w:firstLineChars="200"/>
        <w:jc w:val="both"/>
        <w:textAlignment w:val="auto"/>
        <w:outlineLvl w:val="9"/>
        <w:rPr>
          <w:rFonts w:hint="eastAsia"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保障了我院进行全面、高效的工作，提高了工作质量和效率；为检察工作顺利开展提供了检务保障；加强了各项检察辅助职能，为检察业务提供了有力保障。</w:t>
      </w:r>
    </w:p>
    <w:p w14:paraId="68C2C835">
      <w:pPr>
        <w:pStyle w:val="5"/>
        <w:keepNext w:val="0"/>
        <w:keepLines w:val="0"/>
        <w:pageBreakBefore w:val="0"/>
        <w:widowControl w:val="0"/>
        <w:kinsoku/>
        <w:wordWrap/>
        <w:overflowPunct/>
        <w:topLinePunct w:val="0"/>
        <w:autoSpaceDE/>
        <w:autoSpaceDN/>
        <w:bidi w:val="0"/>
        <w:adjustRightInd/>
        <w:snapToGrid/>
        <w:spacing w:before="0" w:beforeAutospacing="0" w:after="0" w:line="520" w:lineRule="exact"/>
        <w:ind w:left="0" w:leftChars="0"/>
        <w:textAlignment w:val="auto"/>
        <w:rPr>
          <w:rFonts w:hint="eastAsia"/>
          <w:lang w:eastAsia="zh-CN"/>
        </w:rPr>
      </w:pPr>
      <w:r>
        <w:rPr>
          <w:rFonts w:hint="eastAsia" w:ascii="仿宋" w:hAnsi="仿宋" w:eastAsia="仿宋"/>
          <w:sz w:val="32"/>
          <w:szCs w:val="32"/>
          <w:lang w:val="en-US" w:eastAsia="zh-CN"/>
        </w:rPr>
        <w:t>我单位年中调整项目已对绩效目标指标做出相应的调整。</w:t>
      </w:r>
    </w:p>
    <w:p w14:paraId="4E13B1F5">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DE7B474">
      <w:pPr>
        <w:pStyle w:val="5"/>
        <w:keepNext w:val="0"/>
        <w:keepLines w:val="0"/>
        <w:pageBreakBefore w:val="0"/>
        <w:widowControl w:val="0"/>
        <w:kinsoku/>
        <w:wordWrap/>
        <w:overflowPunct/>
        <w:topLinePunct w:val="0"/>
        <w:autoSpaceDE/>
        <w:autoSpaceDN/>
        <w:bidi w:val="0"/>
        <w:adjustRightInd/>
        <w:snapToGrid/>
        <w:spacing w:before="0" w:beforeAutospacing="0" w:after="0" w:line="520" w:lineRule="exact"/>
        <w:ind w:left="0" w:leftChars="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我院2023年项目13个，具体详情见分项绩效项目清单。</w:t>
      </w:r>
    </w:p>
    <w:p w14:paraId="207566FE">
      <w:pPr>
        <w:pStyle w:val="5"/>
        <w:keepNext w:val="0"/>
        <w:keepLines w:val="0"/>
        <w:pageBreakBefore w:val="0"/>
        <w:widowControl w:val="0"/>
        <w:numPr>
          <w:ilvl w:val="0"/>
          <w:numId w:val="5"/>
        </w:numPr>
        <w:kinsoku/>
        <w:wordWrap/>
        <w:overflowPunct/>
        <w:topLinePunct w:val="0"/>
        <w:autoSpaceDE/>
        <w:autoSpaceDN/>
        <w:bidi w:val="0"/>
        <w:adjustRightInd/>
        <w:snapToGrid/>
        <w:spacing w:before="0" w:beforeAutospacing="0" w:after="0" w:line="560" w:lineRule="exact"/>
        <w:ind w:left="0" w:leftChars="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投入指标（20分）</w:t>
      </w:r>
    </w:p>
    <w:p w14:paraId="2603915F">
      <w:pPr>
        <w:pStyle w:val="5"/>
        <w:keepNext w:val="0"/>
        <w:keepLines w:val="0"/>
        <w:pageBreakBefore w:val="0"/>
        <w:widowControl w:val="0"/>
        <w:numPr>
          <w:ilvl w:val="0"/>
          <w:numId w:val="6"/>
        </w:numPr>
        <w:kinsoku/>
        <w:wordWrap/>
        <w:overflowPunct/>
        <w:topLinePunct w:val="0"/>
        <w:autoSpaceDE/>
        <w:autoSpaceDN/>
        <w:bidi w:val="0"/>
        <w:adjustRightInd/>
        <w:snapToGrid/>
        <w:spacing w:before="0" w:beforeAutospacing="0" w:after="0" w:line="560" w:lineRule="exact"/>
        <w:ind w:left="0" w:leftChars="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绩效目标指标管理（10分）</w:t>
      </w:r>
    </w:p>
    <w:p w14:paraId="5B6767D5">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1.绩效目标科学性</w:t>
      </w:r>
    </w:p>
    <w:p w14:paraId="01000077">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经自评，总体绩效目标、分项绩效目标和预算项目目标较为完整、指向精准、客观公正、数量适当、可行性，故此项得分6.5分。</w:t>
      </w:r>
    </w:p>
    <w:p w14:paraId="49DE846D">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2.绩效指标科学性</w:t>
      </w:r>
    </w:p>
    <w:p w14:paraId="3B0841F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经自评，绩效指标科学性较为准确的反映了绩效目标完成情况；清晰、细化、可评价、可衡量，故此项得分3分。</w:t>
      </w:r>
    </w:p>
    <w:p w14:paraId="071275AB">
      <w:pPr>
        <w:pStyle w:val="5"/>
        <w:keepNext w:val="0"/>
        <w:keepLines w:val="0"/>
        <w:pageBreakBefore w:val="0"/>
        <w:widowControl w:val="0"/>
        <w:numPr>
          <w:ilvl w:val="0"/>
          <w:numId w:val="6"/>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预算编制（10分）</w:t>
      </w:r>
    </w:p>
    <w:p w14:paraId="7ACC77E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1.预算编制完整性</w:t>
      </w:r>
    </w:p>
    <w:p w14:paraId="4FE857A3">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经自评，部门所有收入全部纳入部门预算；部门支出预算统筹各类支出，按基本支出、项目支出分别编制</w:t>
      </w:r>
      <w:r>
        <w:rPr>
          <w:rFonts w:hint="eastAsia" w:ascii="仿宋" w:hAnsi="仿宋" w:eastAsia="仿宋"/>
          <w:sz w:val="32"/>
          <w:szCs w:val="32"/>
          <w:lang w:val="en-US" w:eastAsia="zh-CN"/>
        </w:rPr>
        <w:t>，故此项得分2分</w:t>
      </w:r>
      <w:r>
        <w:rPr>
          <w:rFonts w:hint="eastAsia" w:ascii="仿宋" w:hAnsi="仿宋" w:eastAsia="仿宋" w:cs="仿宋"/>
          <w:i w:val="0"/>
          <w:iCs w:val="0"/>
          <w:color w:val="000000"/>
          <w:kern w:val="0"/>
          <w:sz w:val="32"/>
          <w:szCs w:val="32"/>
          <w:u w:val="none"/>
          <w:lang w:val="en-US" w:eastAsia="zh-CN" w:bidi="ar"/>
        </w:rPr>
        <w:t>。</w:t>
      </w:r>
    </w:p>
    <w:p w14:paraId="43C52AE1">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2.项目预算功能分类等编制合规性</w:t>
      </w:r>
    </w:p>
    <w:p w14:paraId="181C1748">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经自评，功能分类编制准确；项目支出按规定编制政府采购预算；项目支出按规定实施投资评审管理；项目支出按规定实施绩效目标管理</w:t>
      </w:r>
      <w:r>
        <w:rPr>
          <w:rFonts w:hint="eastAsia" w:ascii="仿宋" w:hAnsi="仿宋" w:eastAsia="仿宋"/>
          <w:sz w:val="32"/>
          <w:szCs w:val="32"/>
          <w:lang w:val="en-US" w:eastAsia="zh-CN"/>
        </w:rPr>
        <w:t>，故此项得分6分</w:t>
      </w:r>
      <w:r>
        <w:rPr>
          <w:rFonts w:hint="eastAsia" w:ascii="仿宋" w:hAnsi="仿宋" w:eastAsia="仿宋" w:cs="仿宋"/>
          <w:i w:val="0"/>
          <w:iCs w:val="0"/>
          <w:color w:val="000000"/>
          <w:kern w:val="0"/>
          <w:sz w:val="32"/>
          <w:szCs w:val="32"/>
          <w:u w:val="none"/>
          <w:lang w:val="en-US" w:eastAsia="zh-CN" w:bidi="ar"/>
        </w:rPr>
        <w:t>。</w:t>
      </w:r>
    </w:p>
    <w:p w14:paraId="7794414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3.预算上报及时性</w:t>
      </w:r>
    </w:p>
    <w:p w14:paraId="3985AA1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经自评，本部门预算按规定的时间进行了上报，</w:t>
      </w:r>
      <w:r>
        <w:rPr>
          <w:rFonts w:hint="eastAsia" w:ascii="仿宋" w:hAnsi="仿宋" w:eastAsia="仿宋"/>
          <w:sz w:val="32"/>
          <w:szCs w:val="32"/>
          <w:lang w:val="en-US" w:eastAsia="zh-CN"/>
        </w:rPr>
        <w:t>故此项得2分。</w:t>
      </w:r>
    </w:p>
    <w:p w14:paraId="0BEFFBF8">
      <w:pPr>
        <w:pStyle w:val="5"/>
        <w:keepNext w:val="0"/>
        <w:keepLines w:val="0"/>
        <w:pageBreakBefore w:val="0"/>
        <w:widowControl w:val="0"/>
        <w:numPr>
          <w:ilvl w:val="0"/>
          <w:numId w:val="5"/>
        </w:numPr>
        <w:kinsoku/>
        <w:wordWrap/>
        <w:overflowPunct/>
        <w:topLinePunct w:val="0"/>
        <w:autoSpaceDE/>
        <w:autoSpaceDN/>
        <w:bidi w:val="0"/>
        <w:adjustRightInd/>
        <w:snapToGrid/>
        <w:spacing w:beforeAutospacing="0" w:line="560" w:lineRule="exact"/>
        <w:ind w:left="0" w:leftChars="0" w:firstLine="640" w:firstLineChars="200"/>
        <w:textAlignment w:val="auto"/>
        <w:rPr>
          <w:rFonts w:hint="default" w:ascii="仿宋" w:hAnsi="仿宋" w:eastAsia="仿宋"/>
          <w:sz w:val="32"/>
          <w:szCs w:val="32"/>
          <w:lang w:val="en-US" w:eastAsia="zh-CN"/>
        </w:rPr>
      </w:pPr>
      <w:r>
        <w:rPr>
          <w:rFonts w:hint="default" w:ascii="仿宋" w:hAnsi="仿宋" w:eastAsia="仿宋"/>
          <w:sz w:val="32"/>
          <w:szCs w:val="32"/>
          <w:lang w:val="en-US" w:eastAsia="zh-CN"/>
        </w:rPr>
        <w:t>过程（执行）</w:t>
      </w:r>
      <w:r>
        <w:rPr>
          <w:rFonts w:hint="eastAsia" w:ascii="仿宋" w:hAnsi="仿宋" w:eastAsia="仿宋"/>
          <w:sz w:val="32"/>
          <w:szCs w:val="32"/>
          <w:lang w:val="en-US" w:eastAsia="zh-CN"/>
        </w:rPr>
        <w:t>指标（40分）</w:t>
      </w:r>
    </w:p>
    <w:p w14:paraId="18ED778F">
      <w:pPr>
        <w:pStyle w:val="5"/>
        <w:keepNext w:val="0"/>
        <w:keepLines w:val="0"/>
        <w:pageBreakBefore w:val="0"/>
        <w:widowControl w:val="0"/>
        <w:numPr>
          <w:ilvl w:val="0"/>
          <w:numId w:val="7"/>
        </w:numPr>
        <w:kinsoku/>
        <w:wordWrap/>
        <w:overflowPunct/>
        <w:topLinePunct w:val="0"/>
        <w:autoSpaceDE/>
        <w:autoSpaceDN/>
        <w:bidi w:val="0"/>
        <w:adjustRightInd/>
        <w:snapToGrid/>
        <w:spacing w:beforeAutospacing="0" w:line="560" w:lineRule="exac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预算执行（25分）</w:t>
      </w:r>
    </w:p>
    <w:p w14:paraId="0BDC7B49">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w:t>
      </w:r>
      <w:r>
        <w:rPr>
          <w:rFonts w:hint="default" w:ascii="仿宋" w:hAnsi="仿宋" w:eastAsia="仿宋" w:cs="黑体"/>
          <w:kern w:val="2"/>
          <w:sz w:val="32"/>
          <w:szCs w:val="32"/>
          <w:lang w:val="en-US" w:eastAsia="zh-CN" w:bidi="ar-SA"/>
        </w:rPr>
        <w:t>收入预算完成率</w:t>
      </w:r>
      <w:r>
        <w:rPr>
          <w:rFonts w:hint="default" w:ascii="仿宋" w:hAnsi="仿宋" w:eastAsia="仿宋" w:cs="黑体"/>
          <w:kern w:val="2"/>
          <w:sz w:val="32"/>
          <w:szCs w:val="32"/>
          <w:lang w:val="en-US" w:eastAsia="zh-CN" w:bidi="ar-SA"/>
        </w:rPr>
        <w:tab/>
      </w:r>
    </w:p>
    <w:p w14:paraId="6CE0FCC6">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部门收入预算完成数与预算数的比较，收入预算完成率</w:t>
      </w:r>
      <w:r>
        <w:rPr>
          <w:rFonts w:hint="eastAsia" w:ascii="仿宋" w:hAnsi="仿宋" w:eastAsia="仿宋" w:cs="黑体"/>
          <w:kern w:val="2"/>
          <w:sz w:val="32"/>
          <w:szCs w:val="32"/>
          <w:lang w:val="en-US" w:eastAsia="zh-CN" w:bidi="ar-SA"/>
        </w:rPr>
        <w:t>达到95</w:t>
      </w:r>
      <w:r>
        <w:rPr>
          <w:rFonts w:hint="default"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zh-CN" w:bidi="ar-SA"/>
        </w:rPr>
        <w:t>以上，故此项得2分。</w:t>
      </w:r>
    </w:p>
    <w:p w14:paraId="1DBC2C4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w:t>
      </w:r>
      <w:r>
        <w:rPr>
          <w:rFonts w:hint="default" w:ascii="仿宋" w:hAnsi="仿宋" w:eastAsia="仿宋" w:cs="黑体"/>
          <w:kern w:val="2"/>
          <w:sz w:val="32"/>
          <w:szCs w:val="32"/>
          <w:lang w:val="en-US" w:eastAsia="zh-CN" w:bidi="ar-SA"/>
        </w:rPr>
        <w:t>预算调整率</w:t>
      </w:r>
      <w:r>
        <w:rPr>
          <w:rFonts w:hint="default" w:ascii="仿宋" w:hAnsi="仿宋" w:eastAsia="仿宋" w:cs="黑体"/>
          <w:kern w:val="2"/>
          <w:sz w:val="32"/>
          <w:szCs w:val="32"/>
          <w:lang w:val="en-US" w:eastAsia="zh-CN" w:bidi="ar-SA"/>
        </w:rPr>
        <w:tab/>
      </w:r>
    </w:p>
    <w:p w14:paraId="26EF080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highlight w:val="none"/>
          <w:lang w:val="en-US" w:eastAsia="zh-CN" w:bidi="ar-SA"/>
        </w:rPr>
        <w:t>经自评，</w:t>
      </w:r>
      <w:r>
        <w:rPr>
          <w:rFonts w:hint="default" w:ascii="仿宋" w:hAnsi="仿宋" w:eastAsia="仿宋" w:cs="黑体"/>
          <w:kern w:val="2"/>
          <w:sz w:val="32"/>
          <w:szCs w:val="32"/>
          <w:highlight w:val="none"/>
          <w:lang w:val="en-US" w:eastAsia="zh-CN" w:bidi="ar-SA"/>
        </w:rPr>
        <w:t>部门本年度预算的调整数与年初预算数的比率</w:t>
      </w:r>
      <w:r>
        <w:rPr>
          <w:rFonts w:hint="eastAsia" w:ascii="仿宋" w:hAnsi="仿宋" w:eastAsia="仿宋" w:cs="黑体"/>
          <w:kern w:val="2"/>
          <w:sz w:val="32"/>
          <w:szCs w:val="32"/>
          <w:highlight w:val="none"/>
          <w:lang w:val="en-US" w:eastAsia="zh-CN" w:bidi="ar-SA"/>
        </w:rPr>
        <w:t>达到2</w:t>
      </w:r>
      <w:r>
        <w:rPr>
          <w:rFonts w:hint="default" w:ascii="仿宋" w:hAnsi="仿宋" w:eastAsia="仿宋" w:cs="黑体"/>
          <w:kern w:val="2"/>
          <w:sz w:val="32"/>
          <w:szCs w:val="32"/>
          <w:highlight w:val="none"/>
          <w:lang w:val="en-US" w:eastAsia="zh-CN" w:bidi="ar-SA"/>
        </w:rPr>
        <w:t>%。(因落实国家政策、发生不可抗力、上级部门或本级党委政府临时交办而产生的调整除外)</w:t>
      </w:r>
      <w:r>
        <w:rPr>
          <w:rFonts w:hint="eastAsia" w:ascii="仿宋" w:hAnsi="仿宋" w:eastAsia="仿宋" w:cs="黑体"/>
          <w:kern w:val="2"/>
          <w:sz w:val="32"/>
          <w:szCs w:val="32"/>
          <w:lang w:val="en-US" w:eastAsia="zh-CN" w:bidi="ar-SA"/>
        </w:rPr>
        <w:t>，故此项得1.5分。</w:t>
      </w:r>
    </w:p>
    <w:p w14:paraId="0DF585E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w:t>
      </w:r>
      <w:r>
        <w:rPr>
          <w:rFonts w:hint="default" w:ascii="仿宋" w:hAnsi="仿宋" w:eastAsia="仿宋" w:cs="黑体"/>
          <w:kern w:val="2"/>
          <w:sz w:val="32"/>
          <w:szCs w:val="32"/>
          <w:lang w:val="en-US" w:eastAsia="zh-CN" w:bidi="ar-SA"/>
        </w:rPr>
        <w:t>支出进度</w:t>
      </w:r>
      <w:r>
        <w:rPr>
          <w:rFonts w:hint="default" w:ascii="仿宋" w:hAnsi="仿宋" w:eastAsia="仿宋" w:cs="黑体"/>
          <w:kern w:val="2"/>
          <w:sz w:val="32"/>
          <w:szCs w:val="32"/>
          <w:lang w:val="en-US" w:eastAsia="zh-CN" w:bidi="ar-SA"/>
        </w:rPr>
        <w:tab/>
      </w:r>
    </w:p>
    <w:p w14:paraId="3F98BD5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部门季度支出进度情况</w:t>
      </w:r>
      <w:r>
        <w:rPr>
          <w:rFonts w:hint="eastAsia" w:ascii="仿宋" w:hAnsi="仿宋" w:eastAsia="仿宋" w:cs="黑体"/>
          <w:kern w:val="2"/>
          <w:sz w:val="32"/>
          <w:szCs w:val="32"/>
          <w:lang w:val="en-US" w:eastAsia="zh-CN" w:bidi="ar-SA"/>
        </w:rPr>
        <w:t>中，四个</w:t>
      </w:r>
      <w:r>
        <w:rPr>
          <w:rFonts w:hint="default" w:ascii="仿宋" w:hAnsi="仿宋" w:eastAsia="仿宋" w:cs="黑体"/>
          <w:kern w:val="2"/>
          <w:sz w:val="32"/>
          <w:szCs w:val="32"/>
          <w:lang w:val="en-US" w:eastAsia="zh-CN" w:bidi="ar-SA"/>
        </w:rPr>
        <w:t>季度支出进度</w:t>
      </w:r>
      <w:r>
        <w:rPr>
          <w:rFonts w:hint="eastAsia" w:ascii="仿宋" w:hAnsi="仿宋" w:eastAsia="仿宋" w:cs="黑体"/>
          <w:kern w:val="2"/>
          <w:sz w:val="32"/>
          <w:szCs w:val="32"/>
          <w:lang w:val="en-US" w:eastAsia="zh-CN" w:bidi="ar-SA"/>
        </w:rPr>
        <w:t>均</w:t>
      </w:r>
      <w:r>
        <w:rPr>
          <w:rFonts w:hint="default" w:ascii="仿宋" w:hAnsi="仿宋" w:eastAsia="仿宋" w:cs="黑体"/>
          <w:kern w:val="2"/>
          <w:sz w:val="32"/>
          <w:szCs w:val="32"/>
          <w:lang w:val="en-US" w:eastAsia="zh-CN" w:bidi="ar-SA"/>
        </w:rPr>
        <w:t>达到序时进度</w:t>
      </w:r>
      <w:r>
        <w:rPr>
          <w:rFonts w:hint="eastAsia" w:ascii="仿宋" w:hAnsi="仿宋" w:eastAsia="仿宋" w:cs="黑体"/>
          <w:kern w:val="2"/>
          <w:sz w:val="32"/>
          <w:szCs w:val="32"/>
          <w:lang w:val="en-US" w:eastAsia="zh-CN" w:bidi="ar-SA"/>
        </w:rPr>
        <w:t>，故此项得4分。</w:t>
      </w:r>
    </w:p>
    <w:p w14:paraId="5895AAE3">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w:t>
      </w:r>
      <w:r>
        <w:rPr>
          <w:rFonts w:hint="default" w:ascii="仿宋" w:hAnsi="仿宋" w:eastAsia="仿宋" w:cs="黑体"/>
          <w:kern w:val="2"/>
          <w:sz w:val="32"/>
          <w:szCs w:val="32"/>
          <w:lang w:val="en-US" w:eastAsia="zh-CN" w:bidi="ar-SA"/>
        </w:rPr>
        <w:t>资金结余结转率</w:t>
      </w:r>
      <w:r>
        <w:rPr>
          <w:rFonts w:hint="default" w:ascii="仿宋" w:hAnsi="仿宋" w:eastAsia="仿宋" w:cs="黑体"/>
          <w:kern w:val="2"/>
          <w:sz w:val="32"/>
          <w:szCs w:val="32"/>
          <w:lang w:val="en-US" w:eastAsia="zh-CN" w:bidi="ar-SA"/>
        </w:rPr>
        <w:tab/>
      </w:r>
    </w:p>
    <w:p w14:paraId="26C05BAF">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部门本年度</w:t>
      </w:r>
      <w:r>
        <w:rPr>
          <w:rFonts w:hint="eastAsia" w:ascii="仿宋" w:hAnsi="仿宋" w:eastAsia="仿宋" w:cs="黑体"/>
          <w:kern w:val="2"/>
          <w:sz w:val="32"/>
          <w:szCs w:val="32"/>
          <w:lang w:val="en-US" w:eastAsia="zh-CN" w:bidi="ar-SA"/>
        </w:rPr>
        <w:t>无</w:t>
      </w:r>
      <w:r>
        <w:rPr>
          <w:rFonts w:hint="default" w:ascii="仿宋" w:hAnsi="仿宋" w:eastAsia="仿宋" w:cs="黑体"/>
          <w:kern w:val="2"/>
          <w:sz w:val="32"/>
          <w:szCs w:val="32"/>
          <w:lang w:val="en-US" w:eastAsia="zh-CN" w:bidi="ar-SA"/>
        </w:rPr>
        <w:t>结转结</w:t>
      </w:r>
      <w:r>
        <w:rPr>
          <w:rFonts w:hint="eastAsia" w:ascii="仿宋" w:hAnsi="仿宋" w:eastAsia="仿宋" w:cs="黑体"/>
          <w:kern w:val="2"/>
          <w:sz w:val="32"/>
          <w:szCs w:val="32"/>
          <w:lang w:val="en-US" w:eastAsia="zh-CN" w:bidi="ar-SA"/>
        </w:rPr>
        <w:t>资金，故此项得2分。</w:t>
      </w:r>
    </w:p>
    <w:p w14:paraId="690D623F">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w:t>
      </w:r>
      <w:r>
        <w:rPr>
          <w:rFonts w:hint="default" w:ascii="仿宋" w:hAnsi="仿宋" w:eastAsia="仿宋" w:cs="黑体"/>
          <w:kern w:val="2"/>
          <w:sz w:val="32"/>
          <w:szCs w:val="32"/>
          <w:lang w:val="en-US" w:eastAsia="zh-CN" w:bidi="ar-SA"/>
        </w:rPr>
        <w:t>“三公经费”控制率</w:t>
      </w:r>
      <w:r>
        <w:rPr>
          <w:rFonts w:hint="default" w:ascii="仿宋" w:hAnsi="仿宋" w:eastAsia="仿宋" w:cs="黑体"/>
          <w:kern w:val="2"/>
          <w:sz w:val="32"/>
          <w:szCs w:val="32"/>
          <w:lang w:val="en-US" w:eastAsia="zh-CN" w:bidi="ar-SA"/>
        </w:rPr>
        <w:tab/>
      </w:r>
    </w:p>
    <w:p w14:paraId="0D6A7F7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本年度“三公经费”控制率</w:t>
      </w:r>
      <w:r>
        <w:rPr>
          <w:rFonts w:hint="eastAsia" w:ascii="仿宋" w:hAnsi="仿宋" w:eastAsia="仿宋" w:cs="黑体"/>
          <w:kern w:val="2"/>
          <w:sz w:val="32"/>
          <w:szCs w:val="32"/>
          <w:lang w:val="en-US" w:eastAsia="zh-CN" w:bidi="ar-SA"/>
        </w:rPr>
        <w:t>为100</w:t>
      </w:r>
      <w:r>
        <w:rPr>
          <w:rFonts w:hint="default"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zh-CN" w:bidi="ar-SA"/>
        </w:rPr>
        <w:t>，故此项得2分。</w:t>
      </w:r>
    </w:p>
    <w:p w14:paraId="073D5799">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w:t>
      </w:r>
      <w:r>
        <w:rPr>
          <w:rFonts w:hint="default" w:ascii="仿宋" w:hAnsi="仿宋" w:eastAsia="仿宋" w:cs="黑体"/>
          <w:kern w:val="2"/>
          <w:sz w:val="32"/>
          <w:szCs w:val="32"/>
          <w:lang w:val="en-US" w:eastAsia="zh-CN" w:bidi="ar-SA"/>
        </w:rPr>
        <w:t>政府采购执行率</w:t>
      </w:r>
      <w:r>
        <w:rPr>
          <w:rFonts w:hint="default" w:ascii="仿宋" w:hAnsi="仿宋" w:eastAsia="仿宋" w:cs="黑体"/>
          <w:kern w:val="2"/>
          <w:sz w:val="32"/>
          <w:szCs w:val="32"/>
          <w:lang w:val="en-US" w:eastAsia="zh-CN" w:bidi="ar-SA"/>
        </w:rPr>
        <w:tab/>
      </w:r>
    </w:p>
    <w:p w14:paraId="1B1F532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部门本年度政府采购预算</w:t>
      </w:r>
      <w:r>
        <w:rPr>
          <w:rFonts w:hint="eastAsia"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采购机关根据事业发展计划和行政任务编制的、并经过规定程序批准的年度政府采购计划</w:t>
      </w:r>
      <w:r>
        <w:rPr>
          <w:rFonts w:hint="eastAsia" w:ascii="仿宋" w:hAnsi="仿宋" w:eastAsia="仿宋" w:cs="黑体"/>
          <w:kern w:val="2"/>
          <w:sz w:val="32"/>
          <w:szCs w:val="32"/>
          <w:lang w:val="en-US" w:eastAsia="zh-CN" w:bidi="ar-SA"/>
        </w:rPr>
        <w:t>，故此项得2分。</w:t>
      </w:r>
    </w:p>
    <w:p w14:paraId="4192BA15">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w:t>
      </w:r>
      <w:r>
        <w:rPr>
          <w:rFonts w:hint="default" w:ascii="仿宋" w:hAnsi="仿宋" w:eastAsia="仿宋" w:cs="黑体"/>
          <w:kern w:val="2"/>
          <w:sz w:val="32"/>
          <w:szCs w:val="32"/>
          <w:lang w:val="en-US" w:eastAsia="zh-CN" w:bidi="ar-SA"/>
        </w:rPr>
        <w:t>决策真实性</w:t>
      </w:r>
      <w:r>
        <w:rPr>
          <w:rFonts w:hint="default" w:ascii="仿宋" w:hAnsi="仿宋" w:eastAsia="仿宋" w:cs="黑体"/>
          <w:kern w:val="2"/>
          <w:sz w:val="32"/>
          <w:szCs w:val="32"/>
          <w:lang w:val="en-US" w:eastAsia="zh-CN" w:bidi="ar-SA"/>
        </w:rPr>
        <w:tab/>
      </w:r>
    </w:p>
    <w:p w14:paraId="4A6EA71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考核决算编制数据账表一致,即决算报表数据与会计账簿数据一致</w:t>
      </w:r>
      <w:r>
        <w:rPr>
          <w:rFonts w:hint="eastAsia" w:ascii="仿宋" w:hAnsi="仿宋" w:eastAsia="仿宋" w:cs="黑体"/>
          <w:kern w:val="2"/>
          <w:sz w:val="32"/>
          <w:szCs w:val="32"/>
          <w:lang w:val="en-US" w:eastAsia="zh-CN" w:bidi="ar-SA"/>
        </w:rPr>
        <w:t>，故此项得2分。</w:t>
      </w:r>
    </w:p>
    <w:p w14:paraId="046B0F8F">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8.</w:t>
      </w:r>
      <w:r>
        <w:rPr>
          <w:rFonts w:hint="default" w:ascii="仿宋" w:hAnsi="仿宋" w:eastAsia="仿宋" w:cs="黑体"/>
          <w:kern w:val="2"/>
          <w:sz w:val="32"/>
          <w:szCs w:val="32"/>
          <w:highlight w:val="none"/>
          <w:lang w:val="en-US" w:eastAsia="zh-CN" w:bidi="ar-SA"/>
        </w:rPr>
        <w:t>资金使用合规性</w:t>
      </w:r>
      <w:r>
        <w:rPr>
          <w:rFonts w:hint="default" w:ascii="仿宋" w:hAnsi="仿宋" w:eastAsia="仿宋" w:cs="黑体"/>
          <w:kern w:val="2"/>
          <w:sz w:val="32"/>
          <w:szCs w:val="32"/>
          <w:highlight w:val="none"/>
          <w:lang w:val="en-US" w:eastAsia="zh-CN" w:bidi="ar-SA"/>
        </w:rPr>
        <w:tab/>
      </w:r>
    </w:p>
    <w:p w14:paraId="482805C3">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经自评，我院严格</w:t>
      </w:r>
      <w:r>
        <w:rPr>
          <w:rFonts w:hint="default" w:ascii="仿宋" w:hAnsi="仿宋" w:eastAsia="仿宋" w:cs="黑体"/>
          <w:kern w:val="2"/>
          <w:sz w:val="32"/>
          <w:szCs w:val="32"/>
          <w:highlight w:val="none"/>
          <w:lang w:val="en-US" w:eastAsia="zh-CN" w:bidi="ar-SA"/>
        </w:rPr>
        <w:t>按照相关法律法规以及资金管理办法规定的用途使用预算资金</w:t>
      </w:r>
      <w:r>
        <w:rPr>
          <w:rFonts w:hint="eastAsia" w:ascii="仿宋" w:hAnsi="仿宋" w:eastAsia="仿宋" w:cs="黑体"/>
          <w:kern w:val="2"/>
          <w:sz w:val="32"/>
          <w:szCs w:val="32"/>
          <w:highlight w:val="none"/>
          <w:lang w:val="en-US" w:eastAsia="zh-CN" w:bidi="ar-SA"/>
        </w:rPr>
        <w:t>，故此项得4分。</w:t>
      </w:r>
    </w:p>
    <w:p w14:paraId="3BA526F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9.</w:t>
      </w:r>
      <w:r>
        <w:rPr>
          <w:rFonts w:hint="default" w:ascii="仿宋" w:hAnsi="仿宋" w:eastAsia="仿宋" w:cs="黑体"/>
          <w:kern w:val="2"/>
          <w:sz w:val="32"/>
          <w:szCs w:val="32"/>
          <w:highlight w:val="none"/>
          <w:lang w:val="en-US" w:eastAsia="zh-CN" w:bidi="ar-SA"/>
        </w:rPr>
        <w:t>财务管理规范性</w:t>
      </w:r>
      <w:r>
        <w:rPr>
          <w:rFonts w:hint="default" w:ascii="仿宋" w:hAnsi="仿宋" w:eastAsia="仿宋" w:cs="黑体"/>
          <w:kern w:val="2"/>
          <w:sz w:val="32"/>
          <w:szCs w:val="32"/>
          <w:highlight w:val="none"/>
          <w:lang w:val="en-US" w:eastAsia="zh-CN" w:bidi="ar-SA"/>
        </w:rPr>
        <w:tab/>
      </w:r>
    </w:p>
    <w:p w14:paraId="1E7920E9">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经自评，我院</w:t>
      </w:r>
      <w:r>
        <w:rPr>
          <w:rFonts w:hint="default" w:ascii="仿宋" w:hAnsi="仿宋" w:eastAsia="仿宋" w:cs="黑体"/>
          <w:kern w:val="2"/>
          <w:sz w:val="32"/>
          <w:szCs w:val="32"/>
          <w:highlight w:val="none"/>
          <w:lang w:val="en-US" w:eastAsia="zh-CN" w:bidi="ar-SA"/>
        </w:rPr>
        <w:t>相关财务规则和会计制度的执行情况,符合国家财经法规和财务管理制度规定以及有关专项资金管理办法的规定；资金的拨付有完整的审批程序和手续；项目的重大开支经过评估论证；符合部门预算批复的用途；</w:t>
      </w:r>
      <w:r>
        <w:rPr>
          <w:rFonts w:hint="eastAsia" w:ascii="仿宋" w:hAnsi="仿宋" w:eastAsia="仿宋" w:cs="黑体"/>
          <w:kern w:val="2"/>
          <w:sz w:val="32"/>
          <w:szCs w:val="32"/>
          <w:highlight w:val="none"/>
          <w:lang w:val="en-US" w:eastAsia="zh-CN" w:bidi="ar-SA"/>
        </w:rPr>
        <w:t>不</w:t>
      </w:r>
      <w:r>
        <w:rPr>
          <w:rFonts w:hint="default" w:ascii="仿宋" w:hAnsi="仿宋" w:eastAsia="仿宋" w:cs="黑体"/>
          <w:kern w:val="2"/>
          <w:sz w:val="32"/>
          <w:szCs w:val="32"/>
          <w:highlight w:val="none"/>
          <w:lang w:val="en-US" w:eastAsia="zh-CN" w:bidi="ar-SA"/>
        </w:rPr>
        <w:t>存在截留支出情况；</w:t>
      </w:r>
      <w:r>
        <w:rPr>
          <w:rFonts w:hint="eastAsia" w:ascii="仿宋" w:hAnsi="仿宋" w:eastAsia="仿宋" w:cs="黑体"/>
          <w:kern w:val="2"/>
          <w:sz w:val="32"/>
          <w:szCs w:val="32"/>
          <w:highlight w:val="none"/>
          <w:lang w:val="en-US" w:eastAsia="zh-CN" w:bidi="ar-SA"/>
        </w:rPr>
        <w:t>不</w:t>
      </w:r>
      <w:r>
        <w:rPr>
          <w:rFonts w:hint="default" w:ascii="仿宋" w:hAnsi="仿宋" w:eastAsia="仿宋" w:cs="黑体"/>
          <w:kern w:val="2"/>
          <w:sz w:val="32"/>
          <w:szCs w:val="32"/>
          <w:highlight w:val="none"/>
          <w:lang w:val="en-US" w:eastAsia="zh-CN" w:bidi="ar-SA"/>
        </w:rPr>
        <w:t>存在挤占支出情况；</w:t>
      </w:r>
      <w:r>
        <w:rPr>
          <w:rFonts w:hint="eastAsia" w:ascii="仿宋" w:hAnsi="仿宋" w:eastAsia="仿宋" w:cs="黑体"/>
          <w:kern w:val="2"/>
          <w:sz w:val="32"/>
          <w:szCs w:val="32"/>
          <w:highlight w:val="none"/>
          <w:lang w:val="en-US" w:eastAsia="zh-CN" w:bidi="ar-SA"/>
        </w:rPr>
        <w:t>不</w:t>
      </w:r>
      <w:r>
        <w:rPr>
          <w:rFonts w:hint="default" w:ascii="仿宋" w:hAnsi="仿宋" w:eastAsia="仿宋" w:cs="黑体"/>
          <w:kern w:val="2"/>
          <w:sz w:val="32"/>
          <w:szCs w:val="32"/>
          <w:highlight w:val="none"/>
          <w:lang w:val="en-US" w:eastAsia="zh-CN" w:bidi="ar-SA"/>
        </w:rPr>
        <w:t>存在挪用支出情况；</w:t>
      </w:r>
      <w:r>
        <w:rPr>
          <w:rFonts w:hint="eastAsia" w:ascii="仿宋" w:hAnsi="仿宋" w:eastAsia="仿宋" w:cs="黑体"/>
          <w:kern w:val="2"/>
          <w:sz w:val="32"/>
          <w:szCs w:val="32"/>
          <w:highlight w:val="none"/>
          <w:lang w:val="en-US" w:eastAsia="zh-CN" w:bidi="ar-SA"/>
        </w:rPr>
        <w:t>不</w:t>
      </w:r>
      <w:r>
        <w:rPr>
          <w:rFonts w:hint="default" w:ascii="仿宋" w:hAnsi="仿宋" w:eastAsia="仿宋" w:cs="黑体"/>
          <w:kern w:val="2"/>
          <w:sz w:val="32"/>
          <w:szCs w:val="32"/>
          <w:highlight w:val="none"/>
          <w:lang w:val="en-US" w:eastAsia="zh-CN" w:bidi="ar-SA"/>
        </w:rPr>
        <w:t>存在虚列支出情况</w:t>
      </w:r>
      <w:r>
        <w:rPr>
          <w:rFonts w:hint="eastAsia" w:ascii="仿宋" w:hAnsi="仿宋" w:eastAsia="仿宋" w:cs="黑体"/>
          <w:kern w:val="2"/>
          <w:sz w:val="32"/>
          <w:szCs w:val="32"/>
          <w:highlight w:val="none"/>
          <w:lang w:val="en-US" w:eastAsia="zh-CN" w:bidi="ar-SA"/>
        </w:rPr>
        <w:t>，故此项得5分。</w:t>
      </w:r>
    </w:p>
    <w:p w14:paraId="71FD5DEA">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w:t>
      </w:r>
      <w:r>
        <w:rPr>
          <w:rFonts w:hint="default" w:ascii="仿宋" w:hAnsi="仿宋" w:eastAsia="仿宋" w:cs="黑体"/>
          <w:kern w:val="2"/>
          <w:sz w:val="32"/>
          <w:szCs w:val="32"/>
          <w:lang w:val="en-US" w:eastAsia="zh-CN" w:bidi="ar-SA"/>
        </w:rPr>
        <w:t>预算管理（7</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2C54322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w:t>
      </w:r>
      <w:r>
        <w:rPr>
          <w:rFonts w:hint="default" w:ascii="仿宋" w:hAnsi="仿宋" w:eastAsia="仿宋" w:cs="黑体"/>
          <w:kern w:val="2"/>
          <w:sz w:val="32"/>
          <w:szCs w:val="32"/>
          <w:lang w:val="en-US" w:eastAsia="zh-CN" w:bidi="ar-SA"/>
        </w:rPr>
        <w:t>管理制度健全性</w:t>
      </w:r>
      <w:r>
        <w:rPr>
          <w:rFonts w:hint="default" w:ascii="仿宋" w:hAnsi="仿宋" w:eastAsia="仿宋" w:cs="黑体"/>
          <w:kern w:val="2"/>
          <w:sz w:val="32"/>
          <w:szCs w:val="32"/>
          <w:lang w:val="en-US" w:eastAsia="zh-CN" w:bidi="ar-SA"/>
        </w:rPr>
        <w:tab/>
      </w:r>
    </w:p>
    <w:p w14:paraId="15176BC8">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部门为加强预算管理,规范财务行为而制定的管理制度健全完整,相关管理制度得到有效执行</w:t>
      </w:r>
      <w:r>
        <w:rPr>
          <w:rFonts w:hint="eastAsia" w:ascii="仿宋" w:hAnsi="仿宋" w:eastAsia="仿宋" w:cs="黑体"/>
          <w:kern w:val="2"/>
          <w:sz w:val="32"/>
          <w:szCs w:val="32"/>
          <w:lang w:val="en-US" w:eastAsia="zh-CN" w:bidi="ar-SA"/>
        </w:rPr>
        <w:t>，故此项得2分。</w:t>
      </w:r>
    </w:p>
    <w:p w14:paraId="5AA5FA3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w:t>
      </w:r>
      <w:r>
        <w:rPr>
          <w:rFonts w:hint="default" w:ascii="仿宋" w:hAnsi="仿宋" w:eastAsia="仿宋" w:cs="黑体"/>
          <w:kern w:val="2"/>
          <w:sz w:val="32"/>
          <w:szCs w:val="32"/>
          <w:lang w:val="en-US" w:eastAsia="zh-CN" w:bidi="ar-SA"/>
        </w:rPr>
        <w:t>预决算信息公开性</w:t>
      </w:r>
      <w:r>
        <w:rPr>
          <w:rFonts w:hint="default" w:ascii="仿宋" w:hAnsi="仿宋" w:eastAsia="仿宋" w:cs="黑体"/>
          <w:kern w:val="2"/>
          <w:sz w:val="32"/>
          <w:szCs w:val="32"/>
          <w:lang w:val="en-US" w:eastAsia="zh-CN" w:bidi="ar-SA"/>
        </w:rPr>
        <w:tab/>
      </w:r>
    </w:p>
    <w:p w14:paraId="39C2C04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部门按照政府信息公开有关规定内容</w:t>
      </w:r>
      <w:r>
        <w:rPr>
          <w:rFonts w:hint="eastAsia" w:ascii="仿宋" w:hAnsi="仿宋" w:eastAsia="仿宋" w:cs="黑体"/>
          <w:kern w:val="2"/>
          <w:sz w:val="32"/>
          <w:szCs w:val="32"/>
          <w:lang w:val="en-US" w:eastAsia="zh-CN" w:bidi="ar-SA"/>
        </w:rPr>
        <w:t>和</w:t>
      </w:r>
      <w:r>
        <w:rPr>
          <w:rFonts w:hint="default" w:ascii="仿宋" w:hAnsi="仿宋" w:eastAsia="仿宋" w:cs="黑体"/>
          <w:kern w:val="2"/>
          <w:sz w:val="32"/>
          <w:szCs w:val="32"/>
          <w:lang w:val="en-US" w:eastAsia="zh-CN" w:bidi="ar-SA"/>
        </w:rPr>
        <w:t>时限公开部门预算、执行、决算、监督、绩效等相关预决算信息,</w:t>
      </w:r>
      <w:r>
        <w:rPr>
          <w:rFonts w:hint="eastAsia" w:ascii="仿宋" w:hAnsi="仿宋" w:eastAsia="仿宋" w:cs="黑体"/>
          <w:kern w:val="2"/>
          <w:sz w:val="32"/>
          <w:szCs w:val="32"/>
          <w:lang w:val="en-US" w:eastAsia="zh-CN" w:bidi="ar-SA"/>
        </w:rPr>
        <w:t>故此项得2分。</w:t>
      </w:r>
    </w:p>
    <w:p w14:paraId="398FC97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w:t>
      </w:r>
      <w:r>
        <w:rPr>
          <w:rFonts w:hint="default" w:ascii="仿宋" w:hAnsi="仿宋" w:eastAsia="仿宋" w:cs="黑体"/>
          <w:kern w:val="2"/>
          <w:sz w:val="32"/>
          <w:szCs w:val="32"/>
          <w:lang w:val="en-US" w:eastAsia="zh-CN" w:bidi="ar-SA"/>
        </w:rPr>
        <w:t>基础信息完善性</w:t>
      </w:r>
      <w:r>
        <w:rPr>
          <w:rFonts w:hint="default" w:ascii="仿宋" w:hAnsi="仿宋" w:eastAsia="仿宋" w:cs="黑体"/>
          <w:kern w:val="2"/>
          <w:sz w:val="32"/>
          <w:szCs w:val="32"/>
          <w:lang w:val="en-US" w:eastAsia="zh-CN" w:bidi="ar-SA"/>
        </w:rPr>
        <w:tab/>
      </w:r>
    </w:p>
    <w:p w14:paraId="5C20EFC8">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部门基础数据信息和会计信息资料真实</w:t>
      </w:r>
      <w:r>
        <w:rPr>
          <w:rFonts w:hint="eastAsia"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完整,</w:t>
      </w:r>
      <w:r>
        <w:rPr>
          <w:rFonts w:hint="eastAsia" w:ascii="仿宋" w:hAnsi="仿宋" w:eastAsia="仿宋" w:cs="黑体"/>
          <w:kern w:val="2"/>
          <w:sz w:val="32"/>
          <w:szCs w:val="32"/>
          <w:lang w:val="en-US" w:eastAsia="zh-CN" w:bidi="ar-SA"/>
        </w:rPr>
        <w:t>故此项得1分。</w:t>
      </w:r>
    </w:p>
    <w:p w14:paraId="2B21C0A7">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w:t>
      </w:r>
      <w:r>
        <w:rPr>
          <w:rFonts w:hint="default" w:ascii="仿宋" w:hAnsi="仿宋" w:eastAsia="仿宋" w:cs="黑体"/>
          <w:kern w:val="2"/>
          <w:sz w:val="32"/>
          <w:szCs w:val="32"/>
          <w:lang w:val="en-US" w:eastAsia="zh-CN" w:bidi="ar-SA"/>
        </w:rPr>
        <w:t>资产管理规范性</w:t>
      </w:r>
      <w:r>
        <w:rPr>
          <w:rFonts w:hint="default" w:ascii="仿宋" w:hAnsi="仿宋" w:eastAsia="仿宋" w:cs="黑体"/>
          <w:kern w:val="2"/>
          <w:sz w:val="32"/>
          <w:szCs w:val="32"/>
          <w:lang w:val="en-US" w:eastAsia="zh-CN" w:bidi="ar-SA"/>
        </w:rPr>
        <w:tab/>
      </w:r>
    </w:p>
    <w:p w14:paraId="2E3839D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部门的资产配置、使用合规,处置规范,收</w:t>
      </w:r>
      <w:r>
        <w:rPr>
          <w:rFonts w:hint="eastAsia" w:ascii="仿宋" w:hAnsi="仿宋" w:eastAsia="仿宋" w:cs="黑体"/>
          <w:kern w:val="2"/>
          <w:sz w:val="32"/>
          <w:szCs w:val="32"/>
          <w:lang w:val="en-US" w:eastAsia="zh-CN" w:bidi="ar-SA"/>
        </w:rPr>
        <w:t>入</w:t>
      </w:r>
      <w:r>
        <w:rPr>
          <w:rFonts w:hint="default" w:ascii="仿宋" w:hAnsi="仿宋" w:eastAsia="仿宋" w:cs="黑体"/>
          <w:kern w:val="2"/>
          <w:sz w:val="32"/>
          <w:szCs w:val="32"/>
          <w:lang w:val="en-US" w:eastAsia="zh-CN" w:bidi="ar-SA"/>
        </w:rPr>
        <w:t>及时足额上缴,</w:t>
      </w:r>
      <w:r>
        <w:rPr>
          <w:rFonts w:hint="eastAsia" w:ascii="仿宋" w:hAnsi="仿宋" w:eastAsia="仿宋" w:cs="黑体"/>
          <w:kern w:val="2"/>
          <w:sz w:val="32"/>
          <w:szCs w:val="32"/>
          <w:lang w:val="en-US" w:eastAsia="zh-CN" w:bidi="ar-SA"/>
        </w:rPr>
        <w:t>故此项得2分。</w:t>
      </w:r>
    </w:p>
    <w:p w14:paraId="4F916E9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w:t>
      </w:r>
      <w:r>
        <w:rPr>
          <w:rFonts w:hint="default" w:ascii="仿宋" w:hAnsi="仿宋" w:eastAsia="仿宋" w:cs="黑体"/>
          <w:kern w:val="2"/>
          <w:sz w:val="32"/>
          <w:szCs w:val="32"/>
          <w:lang w:val="en-US" w:eastAsia="zh-CN" w:bidi="ar-SA"/>
        </w:rPr>
        <w:t>绩效评价（8</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2853D7A7">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w:t>
      </w:r>
      <w:r>
        <w:rPr>
          <w:rFonts w:hint="default" w:ascii="仿宋" w:hAnsi="仿宋" w:eastAsia="仿宋" w:cs="黑体"/>
          <w:kern w:val="2"/>
          <w:sz w:val="32"/>
          <w:szCs w:val="32"/>
          <w:lang w:val="en-US" w:eastAsia="zh-CN" w:bidi="ar-SA"/>
        </w:rPr>
        <w:t>绩效自评覆盖率</w:t>
      </w:r>
      <w:r>
        <w:rPr>
          <w:rFonts w:hint="default" w:ascii="仿宋" w:hAnsi="仿宋" w:eastAsia="仿宋" w:cs="黑体"/>
          <w:kern w:val="2"/>
          <w:sz w:val="32"/>
          <w:szCs w:val="32"/>
          <w:lang w:val="en-US" w:eastAsia="zh-CN" w:bidi="ar-SA"/>
        </w:rPr>
        <w:tab/>
      </w:r>
    </w:p>
    <w:p w14:paraId="5FBAF57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w:t>
      </w:r>
      <w:r>
        <w:rPr>
          <w:rFonts w:hint="eastAsia" w:ascii="仿宋" w:hAnsi="仿宋" w:eastAsia="仿宋" w:cs="黑体"/>
          <w:kern w:val="2"/>
          <w:sz w:val="32"/>
          <w:szCs w:val="32"/>
          <w:lang w:val="en-US" w:eastAsia="zh-CN" w:bidi="ar-SA"/>
        </w:rPr>
        <w:t>严格</w:t>
      </w:r>
      <w:r>
        <w:rPr>
          <w:rFonts w:hint="default" w:ascii="仿宋" w:hAnsi="仿宋" w:eastAsia="仿宋" w:cs="黑体"/>
          <w:kern w:val="2"/>
          <w:sz w:val="32"/>
          <w:szCs w:val="32"/>
          <w:lang w:val="en-US" w:eastAsia="zh-CN" w:bidi="ar-SA"/>
        </w:rPr>
        <w:t>按照财政局要求实施绩效自评并</w:t>
      </w:r>
      <w:r>
        <w:rPr>
          <w:rFonts w:hint="eastAsia" w:ascii="仿宋" w:hAnsi="仿宋" w:eastAsia="仿宋" w:cs="黑体"/>
          <w:kern w:val="2"/>
          <w:sz w:val="32"/>
          <w:szCs w:val="32"/>
          <w:lang w:val="en-US" w:eastAsia="zh-CN" w:bidi="ar-SA"/>
        </w:rPr>
        <w:t>全部</w:t>
      </w:r>
      <w:r>
        <w:rPr>
          <w:rFonts w:hint="default" w:ascii="仿宋" w:hAnsi="仿宋" w:eastAsia="仿宋" w:cs="黑体"/>
          <w:kern w:val="2"/>
          <w:sz w:val="32"/>
          <w:szCs w:val="32"/>
          <w:lang w:val="en-US" w:eastAsia="zh-CN" w:bidi="ar-SA"/>
        </w:rPr>
        <w:t>报送相关自评材料,</w:t>
      </w:r>
      <w:r>
        <w:rPr>
          <w:rFonts w:hint="eastAsia" w:ascii="仿宋" w:hAnsi="仿宋" w:eastAsia="仿宋" w:cs="黑体"/>
          <w:kern w:val="2"/>
          <w:sz w:val="32"/>
          <w:szCs w:val="32"/>
          <w:lang w:val="en-US" w:eastAsia="zh-CN" w:bidi="ar-SA"/>
        </w:rPr>
        <w:t>故此项得4分。</w:t>
      </w:r>
    </w:p>
    <w:p w14:paraId="050AE391">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w:t>
      </w:r>
      <w:r>
        <w:rPr>
          <w:rFonts w:hint="default" w:ascii="仿宋" w:hAnsi="仿宋" w:eastAsia="仿宋" w:cs="黑体"/>
          <w:kern w:val="2"/>
          <w:sz w:val="32"/>
          <w:szCs w:val="32"/>
          <w:lang w:val="en-US" w:eastAsia="zh-CN" w:bidi="ar-SA"/>
        </w:rPr>
        <w:t>评价结果应用率</w:t>
      </w:r>
      <w:r>
        <w:rPr>
          <w:rFonts w:hint="default" w:ascii="仿宋" w:hAnsi="仿宋" w:eastAsia="仿宋" w:cs="黑体"/>
          <w:kern w:val="2"/>
          <w:sz w:val="32"/>
          <w:szCs w:val="32"/>
          <w:lang w:val="en-US" w:eastAsia="zh-CN" w:bidi="ar-SA"/>
        </w:rPr>
        <w:tab/>
      </w:r>
    </w:p>
    <w:p w14:paraId="1601675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财政绩效评价、部门自评结果应用情况</w:t>
      </w:r>
      <w:r>
        <w:rPr>
          <w:rFonts w:hint="eastAsia" w:ascii="仿宋" w:hAnsi="仿宋" w:eastAsia="仿宋" w:cs="黑体"/>
          <w:kern w:val="2"/>
          <w:sz w:val="32"/>
          <w:szCs w:val="32"/>
          <w:lang w:val="en-US" w:eastAsia="zh-CN" w:bidi="ar-SA"/>
        </w:rPr>
        <w:t>中</w:t>
      </w:r>
      <w:r>
        <w:rPr>
          <w:rFonts w:hint="default" w:ascii="仿宋" w:hAnsi="仿宋" w:eastAsia="仿宋" w:cs="黑体"/>
          <w:kern w:val="2"/>
          <w:sz w:val="32"/>
          <w:szCs w:val="32"/>
          <w:lang w:val="en-US" w:eastAsia="zh-CN" w:bidi="ar-SA"/>
        </w:rPr>
        <w:t>提出的意见建议</w:t>
      </w:r>
      <w:r>
        <w:rPr>
          <w:rFonts w:hint="eastAsia" w:ascii="仿宋" w:hAnsi="仿宋" w:eastAsia="仿宋" w:cs="黑体"/>
          <w:kern w:val="2"/>
          <w:sz w:val="32"/>
          <w:szCs w:val="32"/>
          <w:lang w:val="en-US" w:eastAsia="zh-CN" w:bidi="ar-SA"/>
        </w:rPr>
        <w:t>被</w:t>
      </w:r>
      <w:r>
        <w:rPr>
          <w:rFonts w:hint="default" w:ascii="仿宋" w:hAnsi="仿宋" w:eastAsia="仿宋" w:cs="黑体"/>
          <w:kern w:val="2"/>
          <w:sz w:val="32"/>
          <w:szCs w:val="32"/>
          <w:lang w:val="en-US" w:eastAsia="zh-CN" w:bidi="ar-SA"/>
        </w:rPr>
        <w:t>采纳</w:t>
      </w:r>
      <w:r>
        <w:rPr>
          <w:rFonts w:hint="eastAsia" w:ascii="仿宋" w:hAnsi="仿宋" w:eastAsia="仿宋" w:cs="黑体"/>
          <w:kern w:val="2"/>
          <w:sz w:val="32"/>
          <w:szCs w:val="32"/>
          <w:lang w:val="en-US" w:eastAsia="zh-CN" w:bidi="ar-SA"/>
        </w:rPr>
        <w:t>并应用于下年预算</w:t>
      </w:r>
      <w:r>
        <w:rPr>
          <w:rFonts w:hint="default"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zh-CN" w:bidi="ar-SA"/>
        </w:rPr>
        <w:t>故此项得4分。</w:t>
      </w:r>
    </w:p>
    <w:p w14:paraId="2BA53406">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w:t>
      </w:r>
      <w:r>
        <w:rPr>
          <w:rFonts w:hint="default" w:ascii="仿宋" w:hAnsi="仿宋" w:eastAsia="仿宋" w:cs="黑体"/>
          <w:kern w:val="2"/>
          <w:sz w:val="32"/>
          <w:szCs w:val="32"/>
          <w:lang w:val="en-US" w:eastAsia="zh-CN" w:bidi="ar-SA"/>
        </w:rPr>
        <w:t>产出</w:t>
      </w:r>
      <w:r>
        <w:rPr>
          <w:rFonts w:hint="eastAsia" w:ascii="仿宋" w:hAnsi="仿宋" w:eastAsia="仿宋" w:cs="黑体"/>
          <w:kern w:val="2"/>
          <w:sz w:val="32"/>
          <w:szCs w:val="32"/>
          <w:lang w:val="en-US" w:eastAsia="zh-CN" w:bidi="ar-SA"/>
        </w:rPr>
        <w:t>指标</w:t>
      </w:r>
    </w:p>
    <w:p w14:paraId="3F1D058B">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w:t>
      </w:r>
      <w:r>
        <w:rPr>
          <w:rFonts w:hint="default" w:ascii="仿宋" w:hAnsi="仿宋" w:eastAsia="仿宋" w:cs="黑体"/>
          <w:kern w:val="2"/>
          <w:sz w:val="32"/>
          <w:szCs w:val="32"/>
          <w:lang w:val="en-US" w:eastAsia="zh-CN" w:bidi="ar-SA"/>
        </w:rPr>
        <w:t>数量指标（10</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66CBD5D6">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（1）办理案件数</w:t>
      </w:r>
    </w:p>
    <w:p w14:paraId="0C4AFB37">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经自评，2023年我院总共办理案件数830件，达到预期指标值。该项得分4分。</w:t>
      </w:r>
    </w:p>
    <w:p w14:paraId="204E7C2A">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（2）购买设备数量</w:t>
      </w:r>
    </w:p>
    <w:p w14:paraId="7040C7B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经自评，2023年购买了59（台/套）设备。该项得分3分。</w:t>
      </w:r>
    </w:p>
    <w:p w14:paraId="374B606B">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（3）保障人数</w:t>
      </w:r>
    </w:p>
    <w:p w14:paraId="1AE139D1">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经自评，经费保障了我院54人正常工作。该项得分3分。</w:t>
      </w:r>
    </w:p>
    <w:p w14:paraId="5602E26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w:t>
      </w:r>
      <w:r>
        <w:rPr>
          <w:rFonts w:hint="default" w:ascii="仿宋" w:hAnsi="仿宋" w:eastAsia="仿宋" w:cs="黑体"/>
          <w:kern w:val="2"/>
          <w:sz w:val="32"/>
          <w:szCs w:val="32"/>
          <w:lang w:val="en-US" w:eastAsia="zh-CN" w:bidi="ar-SA"/>
        </w:rPr>
        <w:t>质量指标（10</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43E0122A">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（1）验收合格率</w:t>
      </w:r>
    </w:p>
    <w:p w14:paraId="79028AD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经自评，验收合格率为98%。该项得分3分。</w:t>
      </w:r>
    </w:p>
    <w:p w14:paraId="473AE371">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（2）保障机关正常运转</w:t>
      </w:r>
    </w:p>
    <w:p w14:paraId="7802BD3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经自评，保障了我院正常工作运转。该项得分3分。</w:t>
      </w:r>
    </w:p>
    <w:p w14:paraId="43F056FC">
      <w:pPr>
        <w:pStyle w:val="5"/>
        <w:keepNext w:val="0"/>
        <w:keepLines w:val="0"/>
        <w:pageBreakBefore w:val="0"/>
        <w:widowControl w:val="0"/>
        <w:numPr>
          <w:ilvl w:val="0"/>
          <w:numId w:val="8"/>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案件办结率</w:t>
      </w:r>
    </w:p>
    <w:p w14:paraId="5CB328B1">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办结案件占所有</w:t>
      </w:r>
      <w:r>
        <w:rPr>
          <w:rFonts w:hint="eastAsia" w:ascii="仿宋" w:hAnsi="仿宋" w:eastAsia="仿宋" w:cs="黑体"/>
          <w:kern w:val="2"/>
          <w:sz w:val="32"/>
          <w:szCs w:val="32"/>
          <w:lang w:val="en-US" w:eastAsia="zh-CN" w:bidi="ar-SA"/>
        </w:rPr>
        <w:t>案件</w:t>
      </w:r>
      <w:r>
        <w:rPr>
          <w:rFonts w:hint="default" w:ascii="仿宋" w:hAnsi="仿宋" w:eastAsia="仿宋" w:cs="黑体"/>
          <w:kern w:val="2"/>
          <w:sz w:val="32"/>
          <w:szCs w:val="32"/>
          <w:lang w:val="en-US" w:eastAsia="zh-CN" w:bidi="ar-SA"/>
        </w:rPr>
        <w:t>的</w:t>
      </w:r>
      <w:r>
        <w:rPr>
          <w:rFonts w:hint="eastAsia" w:ascii="仿宋" w:hAnsi="仿宋" w:eastAsia="仿宋" w:cs="黑体"/>
          <w:kern w:val="2"/>
          <w:sz w:val="32"/>
          <w:szCs w:val="32"/>
          <w:lang w:val="en-US" w:eastAsia="zh-CN" w:bidi="ar-SA"/>
        </w:rPr>
        <w:t>98%。该项得分4分。</w:t>
      </w:r>
    </w:p>
    <w:p w14:paraId="3511AEBB">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w:t>
      </w:r>
      <w:r>
        <w:rPr>
          <w:rFonts w:hint="default" w:ascii="仿宋" w:hAnsi="仿宋" w:eastAsia="仿宋" w:cs="黑体"/>
          <w:kern w:val="2"/>
          <w:sz w:val="32"/>
          <w:szCs w:val="32"/>
          <w:lang w:val="en-US" w:eastAsia="zh-CN" w:bidi="ar-SA"/>
        </w:rPr>
        <w:t>时效指标（5</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2CD1D20D">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default" w:ascii="仿宋" w:hAnsi="仿宋" w:eastAsia="仿宋" w:cs="黑体"/>
          <w:kern w:val="2"/>
          <w:sz w:val="32"/>
          <w:szCs w:val="32"/>
          <w:lang w:val="en-US" w:eastAsia="zh-CN" w:bidi="ar-SA"/>
        </w:rPr>
        <w:t>经费保障时间</w:t>
      </w:r>
    </w:p>
    <w:p w14:paraId="79DF3B0A">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保障了我院正常运行周期1年，故此项得5分。</w:t>
      </w:r>
    </w:p>
    <w:p w14:paraId="6C9B72F9">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w:t>
      </w:r>
      <w:r>
        <w:rPr>
          <w:rFonts w:hint="default" w:ascii="仿宋" w:hAnsi="仿宋" w:eastAsia="仿宋" w:cs="黑体"/>
          <w:kern w:val="2"/>
          <w:sz w:val="32"/>
          <w:szCs w:val="32"/>
          <w:lang w:val="en-US" w:eastAsia="zh-CN" w:bidi="ar-SA"/>
        </w:rPr>
        <w:t>效果</w:t>
      </w:r>
      <w:r>
        <w:rPr>
          <w:rFonts w:hint="eastAsia" w:ascii="仿宋" w:hAnsi="仿宋" w:eastAsia="仿宋" w:cs="黑体"/>
          <w:kern w:val="2"/>
          <w:sz w:val="32"/>
          <w:szCs w:val="32"/>
          <w:lang w:val="en-US" w:eastAsia="zh-CN" w:bidi="ar-SA"/>
        </w:rPr>
        <w:t>指标</w:t>
      </w:r>
    </w:p>
    <w:p w14:paraId="4523E5F9">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default" w:ascii="仿宋" w:hAnsi="仿宋" w:eastAsia="仿宋" w:cs="黑体"/>
          <w:kern w:val="2"/>
          <w:sz w:val="32"/>
          <w:szCs w:val="32"/>
          <w:lang w:val="en-US" w:eastAsia="zh-CN" w:bidi="ar-SA"/>
        </w:rPr>
        <w:t>履职效益（15分）</w:t>
      </w:r>
      <w:r>
        <w:rPr>
          <w:rFonts w:hint="default" w:ascii="仿宋" w:hAnsi="仿宋" w:eastAsia="仿宋" w:cs="黑体"/>
          <w:kern w:val="2"/>
          <w:sz w:val="32"/>
          <w:szCs w:val="32"/>
          <w:lang w:val="en-US" w:eastAsia="zh-CN" w:bidi="ar-SA"/>
        </w:rPr>
        <w:tab/>
      </w:r>
    </w:p>
    <w:p w14:paraId="148920A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w:t>
      </w:r>
      <w:r>
        <w:rPr>
          <w:rFonts w:hint="default" w:ascii="仿宋" w:hAnsi="仿宋" w:eastAsia="仿宋" w:cs="黑体"/>
          <w:kern w:val="2"/>
          <w:sz w:val="32"/>
          <w:szCs w:val="32"/>
          <w:lang w:val="en-US" w:eastAsia="zh-CN" w:bidi="ar-SA"/>
        </w:rPr>
        <w:t>部门整体效益</w:t>
      </w:r>
      <w:r>
        <w:rPr>
          <w:rFonts w:hint="default" w:ascii="仿宋" w:hAnsi="仿宋" w:eastAsia="仿宋" w:cs="黑体"/>
          <w:kern w:val="2"/>
          <w:sz w:val="32"/>
          <w:szCs w:val="32"/>
          <w:lang w:val="en-US" w:eastAsia="zh-CN" w:bidi="ar-SA"/>
        </w:rPr>
        <w:tab/>
      </w:r>
    </w:p>
    <w:p w14:paraId="3F4B4506">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部门通过履行社会管理、公共服务、市场监管等职责间接影响</w:t>
      </w:r>
      <w:r>
        <w:rPr>
          <w:rFonts w:hint="eastAsia" w:ascii="仿宋" w:hAnsi="仿宋" w:eastAsia="仿宋" w:cs="黑体"/>
          <w:kern w:val="2"/>
          <w:sz w:val="32"/>
          <w:szCs w:val="32"/>
          <w:lang w:val="en-US" w:eastAsia="zh-CN" w:bidi="ar-SA"/>
        </w:rPr>
        <w:t>了</w:t>
      </w:r>
      <w:r>
        <w:rPr>
          <w:rFonts w:hint="default" w:ascii="仿宋" w:hAnsi="仿宋" w:eastAsia="仿宋" w:cs="黑体"/>
          <w:kern w:val="2"/>
          <w:sz w:val="32"/>
          <w:szCs w:val="32"/>
          <w:lang w:val="en-US" w:eastAsia="zh-CN" w:bidi="ar-SA"/>
        </w:rPr>
        <w:t>社会、经济、民生、环境发展等方面</w:t>
      </w:r>
      <w:r>
        <w:rPr>
          <w:rFonts w:hint="eastAsia" w:ascii="仿宋" w:hAnsi="仿宋" w:eastAsia="仿宋" w:cs="黑体"/>
          <w:kern w:val="2"/>
          <w:sz w:val="32"/>
          <w:szCs w:val="32"/>
          <w:lang w:val="en-US" w:eastAsia="zh-CN" w:bidi="ar-SA"/>
        </w:rPr>
        <w:t>，故此项得8分。</w:t>
      </w:r>
    </w:p>
    <w:p w14:paraId="66FF8E05">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w:t>
      </w:r>
      <w:r>
        <w:rPr>
          <w:rFonts w:hint="default" w:ascii="仿宋" w:hAnsi="仿宋" w:eastAsia="仿宋" w:cs="黑体"/>
          <w:kern w:val="2"/>
          <w:sz w:val="32"/>
          <w:szCs w:val="32"/>
          <w:lang w:val="en-US" w:eastAsia="zh-CN" w:bidi="ar-SA"/>
        </w:rPr>
        <w:t>社会公众满意度</w:t>
      </w:r>
    </w:p>
    <w:p w14:paraId="1D4001AF">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sz w:val="32"/>
          <w:szCs w:val="32"/>
        </w:rPr>
      </w:pPr>
      <w:r>
        <w:rPr>
          <w:rFonts w:hint="default" w:ascii="仿宋" w:hAnsi="仿宋" w:eastAsia="仿宋" w:cs="黑体"/>
          <w:kern w:val="2"/>
          <w:sz w:val="32"/>
          <w:szCs w:val="32"/>
          <w:lang w:val="en-US" w:eastAsia="zh-CN" w:bidi="ar-SA"/>
        </w:rPr>
        <w:t>通过调查了解社会公众在部门履职效果、解决民众关心的热点问题、厉行节约等方面的满度</w:t>
      </w:r>
      <w:r>
        <w:rPr>
          <w:rFonts w:hint="eastAsia" w:ascii="仿宋" w:hAnsi="仿宋" w:eastAsia="仿宋" w:cs="黑体"/>
          <w:kern w:val="2"/>
          <w:sz w:val="32"/>
          <w:szCs w:val="32"/>
          <w:lang w:val="en-US" w:eastAsia="zh-CN" w:bidi="ar-SA"/>
        </w:rPr>
        <w:t>在90%以上，故此项得6分。</w:t>
      </w:r>
    </w:p>
    <w:p w14:paraId="533A5D48">
      <w:pPr>
        <w:spacing w:line="560" w:lineRule="exact"/>
        <w:ind w:firstLine="800" w:firstLineChars="250"/>
        <w:rPr>
          <w:rFonts w:ascii="仿宋" w:hAnsi="仿宋" w:eastAsia="仿宋"/>
          <w:sz w:val="32"/>
          <w:szCs w:val="32"/>
        </w:rPr>
      </w:pPr>
      <w:r>
        <w:rPr>
          <w:rFonts w:hint="eastAsia" w:ascii="仿宋" w:hAnsi="仿宋" w:eastAsia="仿宋"/>
          <w:sz w:val="32"/>
          <w:szCs w:val="32"/>
        </w:rPr>
        <w:t>参照预算绩效文本中分项绩效目标、指标，从完成数量、质量、时效、成本效益等方面，对分项目标指标完成情况进行评价，指标要细化、量化，得分依据要充分。</w:t>
      </w:r>
    </w:p>
    <w:p w14:paraId="2BA40096">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43370C2">
      <w:pPr>
        <w:widowControl w:val="0"/>
        <w:wordWrap/>
        <w:adjustRightInd/>
        <w:snapToGrid/>
        <w:spacing w:after="0" w:line="560" w:lineRule="exact"/>
        <w:ind w:left="0" w:leftChars="0" w:right="0" w:firstLine="640" w:firstLineChars="200"/>
        <w:jc w:val="both"/>
        <w:textAlignment w:val="auto"/>
        <w:outlineLvl w:val="9"/>
        <w:rPr>
          <w:rFonts w:hint="eastAsia" w:ascii="仿宋" w:hAnsi="仿宋" w:eastAsia="仿宋" w:cs="黑体"/>
          <w:kern w:val="2"/>
          <w:sz w:val="32"/>
          <w:szCs w:val="32"/>
          <w:lang w:val="en-US" w:eastAsia="zh-CN"/>
        </w:rPr>
      </w:pPr>
      <w:r>
        <w:rPr>
          <w:rFonts w:hint="eastAsia" w:ascii="仿宋" w:hAnsi="仿宋" w:eastAsia="仿宋" w:cs="黑体"/>
          <w:kern w:val="2"/>
          <w:sz w:val="32"/>
          <w:szCs w:val="32"/>
          <w:lang w:eastAsia="zh-CN"/>
        </w:rPr>
        <w:t>根据部门职责定位和各项工作履职情况，对20</w:t>
      </w:r>
      <w:r>
        <w:rPr>
          <w:rFonts w:hint="eastAsia" w:ascii="仿宋" w:hAnsi="仿宋" w:eastAsia="仿宋" w:cs="黑体"/>
          <w:kern w:val="2"/>
          <w:sz w:val="32"/>
          <w:szCs w:val="32"/>
          <w:lang w:val="en-US" w:eastAsia="zh-CN"/>
        </w:rPr>
        <w:t>22</w:t>
      </w:r>
      <w:r>
        <w:rPr>
          <w:rFonts w:hint="eastAsia" w:ascii="仿宋" w:hAnsi="仿宋" w:eastAsia="仿宋" w:cs="黑体"/>
          <w:kern w:val="2"/>
          <w:sz w:val="32"/>
          <w:szCs w:val="32"/>
          <w:lang w:eastAsia="zh-CN"/>
        </w:rPr>
        <w:t>年度</w:t>
      </w:r>
      <w:r>
        <w:rPr>
          <w:rFonts w:hint="eastAsia" w:ascii="仿宋" w:hAnsi="仿宋" w:eastAsia="仿宋" w:cs="黑体"/>
          <w:kern w:val="2"/>
          <w:sz w:val="32"/>
          <w:szCs w:val="32"/>
          <w:lang w:val="en-US" w:eastAsia="zh-CN"/>
        </w:rPr>
        <w:t>高邑县人民检察院</w:t>
      </w:r>
      <w:r>
        <w:rPr>
          <w:rFonts w:hint="eastAsia" w:ascii="仿宋" w:hAnsi="仿宋" w:eastAsia="仿宋" w:cs="黑体"/>
          <w:kern w:val="2"/>
          <w:sz w:val="32"/>
          <w:szCs w:val="32"/>
          <w:lang w:eastAsia="zh-CN"/>
        </w:rPr>
        <w:t>进行绩效评估工作。通过查阅资料、实地调研等方式客观、公正地开展评价工作，对项目的投入、过程</w:t>
      </w:r>
      <w:r>
        <w:rPr>
          <w:rFonts w:hint="eastAsia" w:ascii="仿宋" w:hAnsi="仿宋" w:eastAsia="仿宋" w:cs="黑体"/>
          <w:kern w:val="2"/>
          <w:sz w:val="32"/>
          <w:szCs w:val="32"/>
          <w:lang w:val="en-US" w:eastAsia="zh-CN"/>
        </w:rPr>
        <w:t>控制、产出、效果方面进行了充分论证。</w:t>
      </w:r>
    </w:p>
    <w:p w14:paraId="77B69CD3">
      <w:pPr>
        <w:widowControl w:val="0"/>
        <w:wordWrap/>
        <w:adjustRightInd/>
        <w:snapToGrid/>
        <w:spacing w:after="0" w:line="560" w:lineRule="exact"/>
        <w:ind w:left="0" w:leftChars="0" w:right="0" w:firstLine="640" w:firstLineChars="200"/>
        <w:jc w:val="both"/>
        <w:textAlignment w:val="auto"/>
        <w:outlineLvl w:val="9"/>
        <w:rPr>
          <w:rFonts w:hint="eastAsia"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最终绩效评价得分98分，我们认为该项目总体绩效评价等级为“优秀”。</w:t>
      </w:r>
    </w:p>
    <w:p w14:paraId="155D1904">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2163190">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7FF8BEA1">
      <w:pPr>
        <w:widowControl w:val="0"/>
        <w:wordWrap/>
        <w:adjustRightInd/>
        <w:snapToGrid/>
        <w:spacing w:after="0" w:line="560" w:lineRule="exact"/>
        <w:ind w:left="0" w:leftChars="0" w:right="0" w:firstLine="640" w:firstLineChars="200"/>
        <w:jc w:val="both"/>
        <w:textAlignment w:val="auto"/>
        <w:outlineLvl w:val="9"/>
        <w:rPr>
          <w:rFonts w:hint="eastAsia" w:ascii="楷体" w:hAnsi="楷体" w:eastAsia="楷体"/>
          <w:bCs/>
          <w:sz w:val="32"/>
          <w:szCs w:val="32"/>
        </w:rPr>
      </w:pPr>
      <w:r>
        <w:rPr>
          <w:rFonts w:hint="eastAsia" w:ascii="仿宋" w:hAnsi="仿宋" w:eastAsia="仿宋" w:cs="黑体"/>
          <w:kern w:val="2"/>
          <w:sz w:val="32"/>
          <w:szCs w:val="32"/>
          <w:lang w:val="en-US" w:eastAsia="zh-CN"/>
        </w:rPr>
        <w:t>项目预算执行不够规范，部分项目前期工作准备不够充分，监督不够有力。</w:t>
      </w:r>
    </w:p>
    <w:p w14:paraId="1572A8B4">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0DDA4A34">
      <w:pPr>
        <w:widowControl w:val="0"/>
        <w:wordWrap/>
        <w:adjustRightInd/>
        <w:snapToGrid/>
        <w:spacing w:after="0" w:line="560" w:lineRule="exact"/>
        <w:ind w:left="0" w:leftChars="0" w:right="0" w:firstLine="640" w:firstLineChars="200"/>
        <w:jc w:val="both"/>
        <w:textAlignment w:val="auto"/>
        <w:outlineLvl w:val="9"/>
        <w:rPr>
          <w:rFonts w:hint="eastAsia" w:ascii="黑体" w:hAnsi="黑体" w:eastAsia="黑体"/>
          <w:sz w:val="32"/>
          <w:szCs w:val="32"/>
        </w:rPr>
      </w:pPr>
      <w:r>
        <w:rPr>
          <w:rFonts w:hint="eastAsia" w:ascii="仿宋" w:hAnsi="仿宋" w:eastAsia="仿宋" w:cs="黑体"/>
          <w:kern w:val="2"/>
          <w:sz w:val="32"/>
          <w:szCs w:val="32"/>
          <w:lang w:val="en-US" w:eastAsia="zh-CN"/>
        </w:rPr>
        <w:t>完善预算项目和专项资金使用的考核机制。严格预算执行，强化预算监督管理。科学合理编制项目，要科学合理选定科目，不断完善项目论证、评审、报批程序，做好项目前期工作。加强会计监督，提高资金的使用效益。</w:t>
      </w:r>
    </w:p>
    <w:p w14:paraId="4F0D0DBA">
      <w:pPr>
        <w:pStyle w:val="5"/>
        <w:rPr>
          <w:rFonts w:hint="eastAsia" w:ascii="仿宋" w:hAnsi="仿宋" w:eastAsia="仿宋" w:cs="黑体"/>
          <w:kern w:val="2"/>
          <w:sz w:val="32"/>
          <w:szCs w:val="32"/>
          <w:lang w:val="en-US" w:eastAsia="zh-CN"/>
        </w:rPr>
      </w:pPr>
    </w:p>
    <w:p w14:paraId="2792FCF5">
      <w:pPr>
        <w:pStyle w:val="5"/>
        <w:rPr>
          <w:rFonts w:hint="eastAsia" w:ascii="仿宋" w:hAnsi="仿宋" w:eastAsia="仿宋" w:cs="黑体"/>
          <w:kern w:val="2"/>
          <w:sz w:val="32"/>
          <w:szCs w:val="32"/>
          <w:lang w:val="en-US" w:eastAsia="zh-CN"/>
        </w:rPr>
      </w:pPr>
    </w:p>
    <w:p w14:paraId="7E979E5F">
      <w:pPr>
        <w:widowControl w:val="0"/>
        <w:wordWrap/>
        <w:adjustRightInd/>
        <w:snapToGrid/>
        <w:spacing w:after="0" w:line="560" w:lineRule="exact"/>
        <w:ind w:right="0"/>
        <w:jc w:val="right"/>
        <w:textAlignment w:val="auto"/>
        <w:outlineLvl w:val="9"/>
        <w:rPr>
          <w:rFonts w:hint="eastAsia" w:ascii="仿宋" w:hAnsi="仿宋" w:eastAsia="仿宋" w:cs="黑体"/>
          <w:kern w:val="2"/>
          <w:sz w:val="32"/>
          <w:szCs w:val="32"/>
          <w:lang w:val="en-US" w:eastAsia="zh-CN"/>
        </w:rPr>
      </w:pPr>
      <w:r>
        <w:rPr>
          <w:rFonts w:hint="eastAsia" w:ascii="仿宋" w:hAnsi="仿宋" w:eastAsia="仿宋" w:cs="黑体"/>
          <w:kern w:val="2"/>
          <w:sz w:val="32"/>
          <w:szCs w:val="32"/>
          <w:lang w:val="en-US" w:eastAsia="zh-CN"/>
        </w:rPr>
        <w:t>高邑县人民检察院</w:t>
      </w:r>
    </w:p>
    <w:p w14:paraId="384BCDF5">
      <w:pPr>
        <w:jc w:val="right"/>
      </w:pPr>
      <w:r>
        <w:rPr>
          <w:rFonts w:hint="eastAsia" w:ascii="仿宋" w:hAnsi="仿宋" w:eastAsia="仿宋" w:cs="黑体"/>
          <w:kern w:val="2"/>
          <w:sz w:val="32"/>
          <w:szCs w:val="32"/>
          <w:lang w:val="en-US" w:eastAsia="zh-CN"/>
        </w:rPr>
        <w:t>2024年4月16日</w:t>
      </w:r>
    </w:p>
    <w:p w14:paraId="75A52D5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FB4C49">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72EB8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024C2D"/>
    <w:multiLevelType w:val="singleLevel"/>
    <w:tmpl w:val="85024C2D"/>
    <w:lvl w:ilvl="0" w:tentative="0">
      <w:start w:val="1"/>
      <w:numFmt w:val="decimal"/>
      <w:suff w:val="nothing"/>
      <w:lvlText w:val="%1、"/>
      <w:lvlJc w:val="left"/>
    </w:lvl>
  </w:abstractNum>
  <w:abstractNum w:abstractNumId="1">
    <w:nsid w:val="95BF59F5"/>
    <w:multiLevelType w:val="singleLevel"/>
    <w:tmpl w:val="95BF59F5"/>
    <w:lvl w:ilvl="0" w:tentative="0">
      <w:start w:val="1"/>
      <w:numFmt w:val="decimal"/>
      <w:suff w:val="space"/>
      <w:lvlText w:val="%1."/>
      <w:lvlJc w:val="left"/>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1896A945"/>
    <w:multiLevelType w:val="singleLevel"/>
    <w:tmpl w:val="1896A945"/>
    <w:lvl w:ilvl="0" w:tentative="0">
      <w:start w:val="1"/>
      <w:numFmt w:val="chineseCounting"/>
      <w:suff w:val="nothing"/>
      <w:lvlText w:val="（%1）"/>
      <w:lvlJc w:val="left"/>
      <w:rPr>
        <w:rFonts w:hint="eastAsia"/>
      </w:rPr>
    </w:lvl>
  </w:abstractNum>
  <w:abstractNum w:abstractNumId="4">
    <w:nsid w:val="3811ED79"/>
    <w:multiLevelType w:val="singleLevel"/>
    <w:tmpl w:val="3811ED79"/>
    <w:lvl w:ilvl="0" w:tentative="0">
      <w:start w:val="1"/>
      <w:numFmt w:val="decimal"/>
      <w:suff w:val="nothing"/>
      <w:lvlText w:val="%1、"/>
      <w:lvlJc w:val="left"/>
    </w:lvl>
  </w:abstractNum>
  <w:abstractNum w:abstractNumId="5">
    <w:nsid w:val="460CFD46"/>
    <w:multiLevelType w:val="singleLevel"/>
    <w:tmpl w:val="460CFD46"/>
    <w:lvl w:ilvl="0" w:tentative="0">
      <w:start w:val="3"/>
      <w:numFmt w:val="decimal"/>
      <w:suff w:val="nothing"/>
      <w:lvlText w:val="（%1）"/>
      <w:lvlJc w:val="left"/>
    </w:lvl>
  </w:abstractNum>
  <w:abstractNum w:abstractNumId="6">
    <w:nsid w:val="47F567DC"/>
    <w:multiLevelType w:val="singleLevel"/>
    <w:tmpl w:val="47F567DC"/>
    <w:lvl w:ilvl="0" w:tentative="0">
      <w:start w:val="1"/>
      <w:numFmt w:val="chineseCounting"/>
      <w:suff w:val="nothing"/>
      <w:lvlText w:val="（%1）"/>
      <w:lvlJc w:val="left"/>
      <w:rPr>
        <w:rFonts w:hint="eastAsia"/>
      </w:rPr>
    </w:lvl>
  </w:abstractNum>
  <w:abstractNum w:abstractNumId="7">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4"/>
  </w:num>
  <w:num w:numId="2">
    <w:abstractNumId w:val="1"/>
  </w:num>
  <w:num w:numId="3">
    <w:abstractNumId w:val="2"/>
  </w:num>
  <w:num w:numId="4">
    <w:abstractNumId w:val="7"/>
  </w:num>
  <w:num w:numId="5">
    <w:abstractNumId w:val="0"/>
  </w:num>
  <w:num w:numId="6">
    <w:abstractNumId w:val="6"/>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RhMDBhZjE2OGIyNDdiNDhlNmRhNjk1NjNhMDQ1Mz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2A2968F1"/>
    <w:rsid w:val="33EB6CFF"/>
    <w:rsid w:val="35A12947"/>
    <w:rsid w:val="37387040"/>
    <w:rsid w:val="3B625C0A"/>
    <w:rsid w:val="3CEE1963"/>
    <w:rsid w:val="436B78D3"/>
    <w:rsid w:val="4C9C27FE"/>
    <w:rsid w:val="512260B4"/>
    <w:rsid w:val="52BD6ACB"/>
    <w:rsid w:val="55537534"/>
    <w:rsid w:val="561A74F1"/>
    <w:rsid w:val="57040B26"/>
    <w:rsid w:val="597244E8"/>
    <w:rsid w:val="5CCC2D25"/>
    <w:rsid w:val="5EB71C30"/>
    <w:rsid w:val="61FD01E8"/>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99"/>
    <w:pPr>
      <w:spacing w:after="120"/>
      <w:ind w:left="420" w:leftChars="200"/>
    </w:p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Body Text First Indent 2"/>
    <w:basedOn w:val="2"/>
    <w:qFormat/>
    <w:uiPriority w:val="99"/>
    <w:pPr>
      <w:spacing w:before="100" w:beforeAutospacing="1"/>
      <w:ind w:firstLine="420" w:firstLineChars="200"/>
    </w:pPr>
  </w:style>
  <w:style w:type="table" w:styleId="7">
    <w:name w:val="Table Grid"/>
    <w:basedOn w:val="6"/>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9">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6380</Words>
  <Characters>6549</Characters>
  <Lines>4</Lines>
  <Paragraphs>1</Paragraphs>
  <TotalTime>19</TotalTime>
  <ScaleCrop>false</ScaleCrop>
  <LinksUpToDate>false</LinksUpToDate>
  <CharactersWithSpaces>6595</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楠楠</cp:lastModifiedBy>
  <cp:lastPrinted>2024-04-19T03:18:00Z</cp:lastPrinted>
  <dcterms:modified xsi:type="dcterms:W3CDTF">2025-05-19T03:57:33Z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96934721B1514D3FBAA28020338CE855_12</vt:lpwstr>
  </property>
  <property fmtid="{D5CDD505-2E9C-101B-9397-08002B2CF9AE}" pid="4" name="KSOTemplateDocerSaveRecord">
    <vt:lpwstr>eyJoZGlkIjoiZjRhMDBhZjE2OGIyNDdiNDhlNmRhNjk1NjNhMDQ1MzciLCJ1c2VySWQiOiIyODA1MDUzNDMifQ==</vt:lpwstr>
  </property>
</Properties>
</file>