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rPr>
        <w:t>石家庄广播电视台</w:t>
      </w:r>
    </w:p>
    <w:p>
      <w:pPr>
        <w:spacing w:line="560" w:lineRule="exact"/>
        <w:jc w:val="center"/>
        <w:rPr>
          <w:rFonts w:ascii="宋体" w:hAnsi="宋体" w:cs="宋体"/>
          <w:b/>
          <w:bCs/>
          <w:sz w:val="44"/>
          <w:szCs w:val="44"/>
        </w:rPr>
      </w:pPr>
      <w:r>
        <w:rPr>
          <w:rFonts w:hint="eastAsia" w:ascii="宋体" w:hAnsi="宋体" w:cs="宋体"/>
          <w:b/>
          <w:bCs/>
          <w:sz w:val="44"/>
          <w:szCs w:val="44"/>
        </w:rPr>
        <w:t>2024年度整体支出绩效自评报告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贯彻落实市委市政府《关于全面落实预算绩效管理的实施意见》（石发﹝2019﹞8号）文件精神，遵循“科学性、规范性、客观性和公正性”的原则，对石家庄广播电视台2024年整体支出情况实施了财政支出绩效自评价，形成本评价报告。</w:t>
      </w:r>
    </w:p>
    <w:p>
      <w:pPr>
        <w:adjustRightInd w:val="0"/>
        <w:snapToGrid w:val="0"/>
        <w:spacing w:line="560" w:lineRule="exact"/>
        <w:rPr>
          <w:rFonts w:hint="eastAsia" w:ascii="仿宋_GB2312" w:hAnsi="仿宋_GB2312" w:eastAsia="仿宋_GB2312" w:cs="仿宋_GB2312"/>
          <w:b/>
          <w:bCs/>
          <w:color w:val="auto"/>
          <w:sz w:val="32"/>
          <w:szCs w:val="36"/>
        </w:rPr>
      </w:pPr>
      <w:r>
        <w:rPr>
          <w:rFonts w:hint="eastAsia" w:ascii="仿宋_GB2312" w:hAnsi="仿宋_GB2312" w:eastAsia="仿宋_GB2312" w:cs="仿宋_GB2312"/>
          <w:color w:val="auto"/>
          <w:sz w:val="32"/>
          <w:szCs w:val="32"/>
        </w:rPr>
        <w:t xml:space="preserve">     </w:t>
      </w:r>
      <w:r>
        <w:rPr>
          <w:rFonts w:hint="eastAsia" w:asciiTheme="minorEastAsia" w:hAnsiTheme="minorEastAsia" w:eastAsiaTheme="minorEastAsia" w:cstheme="minorEastAsia"/>
          <w:b/>
          <w:bCs/>
          <w:color w:val="auto"/>
          <w:sz w:val="32"/>
          <w:szCs w:val="32"/>
        </w:rPr>
        <w:t>一、部门</w:t>
      </w:r>
      <w:r>
        <w:rPr>
          <w:rFonts w:hint="eastAsia" w:asciiTheme="minorEastAsia" w:hAnsiTheme="minorEastAsia" w:eastAsiaTheme="minorEastAsia" w:cstheme="minorEastAsia"/>
          <w:b/>
          <w:bCs/>
          <w:color w:val="auto"/>
          <w:sz w:val="32"/>
          <w:szCs w:val="36"/>
        </w:rPr>
        <w:t>基本情况</w:t>
      </w:r>
    </w:p>
    <w:p>
      <w:pPr>
        <w:adjustRightInd w:val="0"/>
        <w:snapToGrid w:val="0"/>
        <w:spacing w:line="560" w:lineRule="exact"/>
        <w:ind w:firstLine="643" w:firstLineChars="200"/>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（一）部门概况</w:t>
      </w:r>
    </w:p>
    <w:p>
      <w:pPr>
        <w:adjustRightInd w:val="0"/>
        <w:snapToGrid w:val="0"/>
        <w:spacing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石家庄广播电视台坚定不移地推进文化体制改革，在体制创新上实现新突破。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拥有新闻综合、文娱传媒、生活城市3个电视频道，</w:t>
      </w:r>
      <w:r>
        <w:rPr>
          <w:rFonts w:hint="eastAsia" w:ascii="仿宋_GB2312" w:hAnsi="仿宋_GB2312" w:eastAsia="仿宋_GB2312" w:cs="仿宋_GB2312"/>
          <w:color w:val="auto"/>
          <w:sz w:val="32"/>
          <w:szCs w:val="32"/>
          <w:lang w:eastAsia="zh-CN"/>
        </w:rPr>
        <w:t>和广播新闻、</w:t>
      </w:r>
      <w:r>
        <w:rPr>
          <w:rFonts w:hint="eastAsia" w:ascii="仿宋_GB2312" w:hAnsi="仿宋_GB2312" w:eastAsia="仿宋_GB2312" w:cs="仿宋_GB2312"/>
          <w:color w:val="auto"/>
          <w:sz w:val="32"/>
          <w:szCs w:val="32"/>
        </w:rPr>
        <w:t>交通</w:t>
      </w:r>
      <w:r>
        <w:rPr>
          <w:rFonts w:hint="eastAsia" w:ascii="仿宋_GB2312" w:hAnsi="仿宋_GB2312" w:eastAsia="仿宋_GB2312" w:cs="仿宋_GB2312"/>
          <w:color w:val="auto"/>
          <w:sz w:val="32"/>
          <w:szCs w:val="32"/>
          <w:lang w:eastAsia="zh-CN"/>
        </w:rPr>
        <w:t>音乐</w:t>
      </w:r>
      <w:r>
        <w:rPr>
          <w:rFonts w:hint="eastAsia" w:ascii="仿宋_GB2312" w:hAnsi="仿宋_GB2312" w:eastAsia="仿宋_GB2312" w:cs="仿宋_GB2312"/>
          <w:color w:val="auto"/>
          <w:sz w:val="32"/>
          <w:szCs w:val="32"/>
        </w:rPr>
        <w:t>广播频率，以及新媒体中心、地铁电视等子媒体。石家庄广电传媒集团有限公司是石家庄广播电视台出资成立的台属、台控、台管的独资企业集团公司，从事节目制作、广告经营、活动营销、产业拓展等业务。全台现有职工855人，在编正式员工252人，岗位聘用员工603人。</w:t>
      </w:r>
    </w:p>
    <w:p>
      <w:pPr>
        <w:numPr>
          <w:ilvl w:val="0"/>
          <w:numId w:val="1"/>
        </w:numPr>
        <w:spacing w:line="360" w:lineRule="auto"/>
        <w:ind w:left="-10" w:leftChars="0" w:firstLine="640" w:firstLineChars="0"/>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部门收支预决算情况</w:t>
      </w:r>
    </w:p>
    <w:p>
      <w:pPr>
        <w:spacing w:line="360" w:lineRule="auto"/>
        <w:ind w:firstLine="640" w:firstLineChars="200"/>
        <w:rPr>
          <w:rFonts w:hint="eastAsia" w:ascii="仿宋_GB2312" w:hAnsi="仿宋_GB2312" w:eastAsia="仿宋_GB2312" w:cs="仿宋_GB2312"/>
          <w:bCs/>
          <w:color w:val="auto"/>
          <w:sz w:val="32"/>
          <w:szCs w:val="32"/>
        </w:rPr>
      </w:pPr>
      <w:r>
        <w:rPr>
          <w:rFonts w:hint="eastAsia" w:ascii="仿宋_GB2312" w:hAnsi="仿宋_GB2312" w:eastAsia="仿宋_GB2312" w:cs="仿宋_GB2312"/>
          <w:color w:val="auto"/>
          <w:sz w:val="32"/>
          <w:szCs w:val="32"/>
        </w:rPr>
        <w:t>2024年预算收入8706.98万元，其中：一般公共预算收入8570.1</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rPr>
        <w:t>万元，基金预算收入136.81万元，财政专户核拨收入0万元，其他来源收入0万元。2024年部门财政支出预算为8706.98万元，其中基本支出5177.70万元，包括人员经费5177.70万元（在职人员经费3538.09万元，离退休人员经费1639.61万元）和日常公用经费0万元；项目支出3529.28万元，其中贷款贴息支出500万元，石家庄电视发射台支出31.2万元，石家庄中波台支出12万元，2024年市级文化产业繁荣资金99.27万元，融媒体建设补助资金750万元，公益节目购买制作费2000万元，媒体融合基础设施提升改造项目债券付息136.8万元，媒体融合基础设施提升改造项目债券付息服务费0.01万元。</w:t>
      </w:r>
    </w:p>
    <w:p>
      <w:pPr>
        <w:adjustRightInd w:val="0"/>
        <w:snapToGrid w:val="0"/>
        <w:spacing w:line="560" w:lineRule="exact"/>
        <w:ind w:firstLine="643" w:firstLineChars="200"/>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（三）部门整体支出绩效目标、指标</w:t>
      </w:r>
    </w:p>
    <w:p>
      <w:pPr>
        <w:spacing w:line="600" w:lineRule="exact"/>
        <w:ind w:left="64" w:firstLine="532"/>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近两年来，我台在市委市政府、市委宣传部正确领导下，积极应对严峻的生存压力和发展挑战，努力改革创新、开拓进取。始终坚持新闻立台、政治家办台理念，围绕中心，服务大局，舆论引导正确有力；开展各类媒体活动，不断扩大广电影响力。在2024年度，我单位深入贯彻落实党的二十届三中全会精神，加快推进主流媒体系统性变革。一是重组调整内设业务机构。先后撤销交通频率、音乐频率、娱乐频道、生活频道、都市频道、新闻频率、经济频率、农村频率8个业务科室，成立了交通音乐传媒中心、文娱传媒中心、生活传媒中心、精品创作中心、广播新闻中心、传媒拓展中心6个业务科室，实现整合资源、集约管理，努力提升运行质量和效益。二是积极稳妥精简精办电视频道。在着力做强新闻综合频道的同时，将原娱乐频道、生活频道、都市频道3个非新闻电视频道精办为城市服务和文化娱乐2个特色电视频道，进一步优化了资源配置。三是构建重大宣传报道联动机制。统筹新闻频道（率）、新媒体中心、外宣中心等时政报道资源，重点题材统一指挥、协调联动，移动优先、矩阵传播，确保高质高效完成各项宣传任务。</w:t>
      </w:r>
    </w:p>
    <w:p>
      <w:pPr>
        <w:spacing w:line="360" w:lineRule="auto"/>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pict>
          <v:shape id="_x0000_s1026" o:spid="_x0000_s1026" o:spt="100" style="position:absolute;left:0pt;margin-left:204.65pt;margin-top:548.9pt;height:7.2pt;width:7.1pt;mso-position-horizontal-relative:margin;mso-position-vertical-relative:margin;z-index:-251657216;mso-width-relative:margin;mso-height-relative:margin;" filled="f" stroked="f" coordsize="21600,21600">
            <v:fill on="f" focussize="0,0"/>
            <v:stroke on="f"/>
            <v:imagedata o:title=""/>
            <o:lock v:ext="edit"/>
            <v:textbox inset="0mm,0mm,0mm,0mm" style="layout-flow:vertical-ideographic;mso-fit-shape-to-text:t;">
              <w:txbxContent>
                <w:p>
                  <w:pPr>
                    <w:spacing w:line="0" w:lineRule="atLeast"/>
                    <w:jc w:val="left"/>
                  </w:pPr>
                  <w:r>
                    <w:rPr>
                      <w:rFonts w:hAnsi="宋体"/>
                      <w:sz w:val="12"/>
                    </w:rPr>
                    <w:t>in</w:t>
                  </w:r>
                </w:p>
              </w:txbxContent>
            </v:textbox>
          </v:shape>
        </w:pict>
      </w:r>
      <w:r>
        <w:rPr>
          <w:rFonts w:hint="eastAsia" w:ascii="仿宋_GB2312" w:hAnsi="仿宋_GB2312" w:eastAsia="仿宋_GB2312" w:cs="仿宋_GB2312"/>
          <w:color w:val="auto"/>
          <w:sz w:val="32"/>
          <w:szCs w:val="32"/>
        </w:rPr>
        <w:t xml:space="preserve"> 2024年部门分项绩效目标</w:t>
      </w:r>
    </w:p>
    <w:p>
      <w:pPr>
        <w:spacing w:line="360" w:lineRule="auto"/>
        <w:ind w:firstLine="643" w:firstLineChars="200"/>
        <w:jc w:val="left"/>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（一）广播电视节目制作播出</w:t>
      </w:r>
    </w:p>
    <w:p>
      <w:pPr>
        <w:spacing w:line="360" w:lineRule="auto"/>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绩效目标：制作有分量、有力度、有温度的新闻报道，扎实推进2024实事宣传报道工作。</w:t>
      </w:r>
    </w:p>
    <w:p>
      <w:pPr>
        <w:pStyle w:val="6"/>
        <w:widowControl/>
        <w:shd w:val="clear" w:color="auto" w:fill="FFFFFF"/>
        <w:spacing w:before="0" w:beforeAutospacing="0" w:after="300" w:afterAutospacing="0" w:line="420" w:lineRule="atLeast"/>
        <w:ind w:firstLine="640" w:firstLineChars="200"/>
        <w:jc w:val="both"/>
        <w:textAlignment w:val="baseline"/>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绩效指标：</w:t>
      </w:r>
      <w:r>
        <w:rPr>
          <w:rFonts w:hint="eastAsia" w:ascii="仿宋_GB2312" w:hAnsi="仿宋_GB2312" w:eastAsia="仿宋_GB2312" w:cs="仿宋_GB2312"/>
          <w:color w:val="auto"/>
          <w:kern w:val="2"/>
          <w:sz w:val="32"/>
          <w:szCs w:val="32"/>
        </w:rPr>
        <w:t>以独特的视角，</w:t>
      </w:r>
      <w:r>
        <w:rPr>
          <w:rFonts w:hint="eastAsia" w:ascii="仿宋_GB2312" w:hAnsi="仿宋_GB2312" w:eastAsia="仿宋_GB2312" w:cs="仿宋_GB2312"/>
          <w:color w:val="auto"/>
          <w:sz w:val="32"/>
          <w:szCs w:val="32"/>
        </w:rPr>
        <w:t>借助多端口平台分发渠道，实现IP价值的塑造和跃升。</w:t>
      </w:r>
    </w:p>
    <w:p>
      <w:pPr>
        <w:spacing w:line="360" w:lineRule="auto"/>
        <w:ind w:firstLine="643" w:firstLineChars="200"/>
        <w:jc w:val="left"/>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（二）广播电视节目制作能力建设</w:t>
      </w:r>
    </w:p>
    <w:p>
      <w:pPr>
        <w:spacing w:line="360" w:lineRule="auto"/>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绩效目标：保障安全优质播出，扩大广播电视节目覆盖，全台数字化，高清化发展程度。</w:t>
      </w:r>
    </w:p>
    <w:p>
      <w:pPr>
        <w:spacing w:line="360" w:lineRule="auto"/>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绩效指标:低故障率，覆盖率大于等于85%</w:t>
      </w:r>
    </w:p>
    <w:p>
      <w:pPr>
        <w:spacing w:line="360" w:lineRule="auto"/>
        <w:ind w:firstLine="643" w:firstLineChars="200"/>
        <w:jc w:val="left"/>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（三）核心价值观宣传</w:t>
      </w:r>
    </w:p>
    <w:p>
      <w:pPr>
        <w:spacing w:line="360" w:lineRule="auto"/>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绩效目标：传播正能量，弘扬民族精神</w:t>
      </w:r>
    </w:p>
    <w:p>
      <w:pPr>
        <w:spacing w:line="360" w:lineRule="auto"/>
        <w:ind w:firstLine="640" w:firstLineChars="200"/>
        <w:jc w:val="left"/>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绩效指标：创新报道方式，提升报道质量，挖掘文脉资源打造精品力作</w:t>
      </w:r>
    </w:p>
    <w:p>
      <w:pPr>
        <w:adjustRightInd w:val="0"/>
        <w:snapToGrid w:val="0"/>
        <w:spacing w:line="560" w:lineRule="exact"/>
        <w:ind w:firstLine="643" w:firstLineChars="200"/>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二、自评工作开展情况</w:t>
      </w:r>
    </w:p>
    <w:p>
      <w:pPr>
        <w:spacing w:line="560" w:lineRule="exact"/>
        <w:rPr>
          <w:rFonts w:hint="eastAsia" w:ascii="楷体" w:hAnsi="楷体" w:eastAsia="楷体" w:cs="楷体"/>
          <w:b/>
          <w:bCs w:val="0"/>
          <w:color w:val="auto"/>
          <w:sz w:val="32"/>
          <w:szCs w:val="32"/>
        </w:rPr>
      </w:pPr>
      <w:r>
        <w:rPr>
          <w:rFonts w:hint="eastAsia" w:ascii="仿宋_GB2312" w:hAnsi="仿宋_GB2312" w:eastAsia="仿宋_GB2312" w:cs="仿宋_GB2312"/>
          <w:b/>
          <w:bCs/>
          <w:color w:val="auto"/>
          <w:sz w:val="32"/>
          <w:szCs w:val="32"/>
        </w:rPr>
        <w:t xml:space="preserve"> </w:t>
      </w:r>
      <w:r>
        <w:rPr>
          <w:rFonts w:hint="eastAsia" w:ascii="楷体" w:hAnsi="楷体" w:eastAsia="楷体" w:cs="楷体"/>
          <w:b/>
          <w:bCs w:val="0"/>
          <w:color w:val="auto"/>
          <w:sz w:val="32"/>
          <w:szCs w:val="32"/>
        </w:rPr>
        <w:t xml:space="preserve">   （一）自评的组织工作</w:t>
      </w:r>
    </w:p>
    <w:p>
      <w:pPr>
        <w:spacing w:line="360" w:lineRule="auto"/>
        <w:ind w:firstLine="64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说明评价资料收集、评价过程、评价工作管理组织等情况。我台对项目评价工作非常重视，成立了石家庄广播电视台项目绩效自评工作组。由王永利副台长任组长。成员包括财务部主任冯宏涛、副主任陶丽宏、各个项目负责人。</w:t>
      </w:r>
    </w:p>
    <w:p>
      <w:pPr>
        <w:spacing w:line="360" w:lineRule="auto"/>
        <w:ind w:firstLine="64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工作组及时召开专门会议，组织有关技术人员进行了认真学习相关法律文件。并按照要求逐项搞好资料检查和现场调查，收集相关评价资料。</w:t>
      </w:r>
    </w:p>
    <w:p>
      <w:pPr>
        <w:spacing w:line="360" w:lineRule="auto"/>
        <w:ind w:firstLine="640"/>
        <w:outlineLvl w:val="2"/>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（二）自评的方法和过程</w:t>
      </w:r>
    </w:p>
    <w:p>
      <w:pPr>
        <w:spacing w:line="360" w:lineRule="auto"/>
        <w:ind w:firstLine="640"/>
        <w:outlineLvl w:val="2"/>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1、制定了项目绩效自评打分标准和项目绩效自评打分表。</w:t>
      </w:r>
    </w:p>
    <w:p>
      <w:pPr>
        <w:spacing w:line="360" w:lineRule="auto"/>
        <w:ind w:firstLine="640"/>
        <w:outlineLvl w:val="2"/>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2、评价工作组采用对照方法，按财政要求从项目产出指标、预算执行率指标、播出效益指标、播出社会满意度指标四个方面，对照实际执行情况进行评价打分。</w:t>
      </w:r>
    </w:p>
    <w:p>
      <w:pPr>
        <w:spacing w:line="360" w:lineRule="auto"/>
        <w:ind w:firstLine="640"/>
        <w:outlineLvl w:val="2"/>
        <w:rPr>
          <w:rFonts w:hint="eastAsia" w:ascii="仿宋_GB2312" w:hAnsi="仿宋_GB2312" w:eastAsia="仿宋_GB2312" w:cs="仿宋_GB2312"/>
          <w:color w:val="auto"/>
        </w:rPr>
      </w:pPr>
      <w:r>
        <w:rPr>
          <w:rFonts w:hint="eastAsia" w:ascii="仿宋_GB2312" w:hAnsi="仿宋_GB2312" w:eastAsia="仿宋_GB2312" w:cs="仿宋_GB2312"/>
          <w:color w:val="auto"/>
          <w:sz w:val="32"/>
          <w:szCs w:val="32"/>
        </w:rPr>
        <w:t>3、评价工作组根据绩效评价结果撰写绩效评价报告。</w:t>
      </w:r>
    </w:p>
    <w:p>
      <w:pPr>
        <w:spacing w:line="560" w:lineRule="exact"/>
        <w:rPr>
          <w:rFonts w:hint="eastAsia" w:ascii="仿宋_GB2312" w:hAnsi="仿宋_GB2312" w:eastAsia="仿宋_GB2312" w:cs="仿宋_GB2312"/>
          <w:b/>
          <w:bCs/>
          <w:color w:val="auto"/>
          <w:sz w:val="32"/>
          <w:szCs w:val="32"/>
        </w:rPr>
      </w:pPr>
      <w:r>
        <w:rPr>
          <w:rFonts w:hint="eastAsia" w:ascii="仿宋_GB2312" w:hAnsi="仿宋_GB2312" w:eastAsia="仿宋_GB2312" w:cs="仿宋_GB2312"/>
          <w:color w:val="auto"/>
          <w:sz w:val="32"/>
          <w:szCs w:val="32"/>
        </w:rPr>
        <w:t xml:space="preserve">   </w:t>
      </w:r>
      <w:r>
        <w:rPr>
          <w:rFonts w:hint="eastAsia" w:asciiTheme="minorEastAsia" w:hAnsiTheme="minorEastAsia" w:eastAsiaTheme="minorEastAsia" w:cstheme="minorEastAsia"/>
          <w:b/>
          <w:bCs/>
          <w:color w:val="auto"/>
          <w:sz w:val="32"/>
          <w:szCs w:val="32"/>
        </w:rPr>
        <w:t xml:space="preserve"> 三、部门整体支出绩效目标实现情况及指标分析</w:t>
      </w:r>
    </w:p>
    <w:p>
      <w:pPr>
        <w:numPr>
          <w:ilvl w:val="0"/>
          <w:numId w:val="2"/>
        </w:numPr>
        <w:spacing w:line="560" w:lineRule="exact"/>
        <w:ind w:firstLine="643" w:firstLineChars="200"/>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总体绩效目标实现情况</w:t>
      </w:r>
    </w:p>
    <w:p>
      <w:pPr>
        <w:spacing w:line="360" w:lineRule="auto"/>
        <w:ind w:firstLine="640"/>
        <w:jc w:val="center"/>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参照预算绩效文本中总体绩效目标，说明整体绩效目标实现</w:t>
      </w:r>
    </w:p>
    <w:p>
      <w:pPr>
        <w:spacing w:line="360" w:lineRule="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情况。</w:t>
      </w:r>
    </w:p>
    <w:p>
      <w:pPr>
        <w:pStyle w:val="2"/>
        <w:ind w:firstLine="640"/>
        <w:rPr>
          <w:rFonts w:hint="eastAsia" w:ascii="仿宋_GB2312" w:hAnsi="仿宋_GB2312" w:eastAsia="仿宋_GB2312" w:cs="仿宋_GB2312"/>
          <w:color w:val="auto"/>
          <w:sz w:val="32"/>
          <w:szCs w:val="32"/>
        </w:rPr>
      </w:pPr>
    </w:p>
    <w:p>
      <w:pPr>
        <w:pStyle w:val="5"/>
        <w:rPr>
          <w:rFonts w:hint="eastAsia" w:ascii="仿宋_GB2312" w:hAnsi="仿宋_GB2312" w:eastAsia="仿宋_GB2312" w:cs="仿宋_GB2312"/>
          <w:color w:val="auto"/>
        </w:rPr>
      </w:pPr>
    </w:p>
    <w:p>
      <w:pPr>
        <w:spacing w:line="360" w:lineRule="auto"/>
        <w:jc w:val="center"/>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市级部门预算项目绩效自评表</w:t>
      </w:r>
    </w:p>
    <w:p>
      <w:pPr>
        <w:pStyle w:val="2"/>
        <w:ind w:firstLine="420"/>
        <w:rPr>
          <w:rFonts w:hint="eastAsia" w:ascii="仿宋_GB2312" w:hAnsi="仿宋_GB2312" w:eastAsia="仿宋_GB2312" w:cs="仿宋_GB2312"/>
          <w:color w:val="auto"/>
        </w:rPr>
      </w:pPr>
    </w:p>
    <w:tbl>
      <w:tblPr>
        <w:tblStyle w:val="7"/>
        <w:tblW w:w="4998" w:type="pct"/>
        <w:tblInd w:w="0" w:type="dxa"/>
        <w:tblLayout w:type="autofit"/>
        <w:tblCellMar>
          <w:top w:w="0" w:type="dxa"/>
          <w:left w:w="0" w:type="dxa"/>
          <w:bottom w:w="0" w:type="dxa"/>
          <w:right w:w="0" w:type="dxa"/>
        </w:tblCellMar>
      </w:tblPr>
      <w:tblGrid>
        <w:gridCol w:w="755"/>
        <w:gridCol w:w="756"/>
        <w:gridCol w:w="3319"/>
        <w:gridCol w:w="3079"/>
        <w:gridCol w:w="525"/>
        <w:gridCol w:w="437"/>
      </w:tblGrid>
      <w:tr>
        <w:tblPrEx>
          <w:tblCellMar>
            <w:top w:w="0" w:type="dxa"/>
            <w:left w:w="0" w:type="dxa"/>
            <w:bottom w:w="0" w:type="dxa"/>
            <w:right w:w="0" w:type="dxa"/>
          </w:tblCellMar>
        </w:tblPrEx>
        <w:trPr>
          <w:trHeight w:val="509" w:hRule="atLeast"/>
        </w:trPr>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一级指标</w:t>
            </w:r>
          </w:p>
        </w:tc>
        <w:tc>
          <w:tcPr>
            <w:tcW w:w="42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二级指标</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三级指标</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预期完成值</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实际完成值</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自评得分</w:t>
            </w:r>
          </w:p>
        </w:tc>
      </w:tr>
      <w:tr>
        <w:tblPrEx>
          <w:tblCellMar>
            <w:top w:w="0" w:type="dxa"/>
            <w:left w:w="0" w:type="dxa"/>
            <w:bottom w:w="0" w:type="dxa"/>
            <w:right w:w="0" w:type="dxa"/>
          </w:tblCellMar>
        </w:tblPrEx>
        <w:trPr>
          <w:trHeight w:val="1048" w:hRule="atLeast"/>
        </w:trPr>
        <w:tc>
          <w:tcPr>
            <w:tcW w:w="426" w:type="pct"/>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产出指标</w:t>
            </w:r>
          </w:p>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（40分）</w:t>
            </w:r>
          </w:p>
        </w:tc>
        <w:tc>
          <w:tcPr>
            <w:tcW w:w="426" w:type="pct"/>
            <w:vMerge w:val="restart"/>
            <w:tcBorders>
              <w:top w:val="nil"/>
              <w:left w:val="nil"/>
              <w:bottom w:val="nil"/>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数量指标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（10分）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pStyle w:val="2"/>
              <w:ind w:firstLine="320"/>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rPr>
              <w:t>《问政·12345马上办》专栏解决百姓问题房地产办证难、行路难、电动汽车充电难、供热难等群众急难愁盼问题50余件。《石企新脉动》以独特的视角捕捉鲜活经济事件，记录产业向上动能，借助多端口平台分发渠道，实现了IP价值的塑造和跃升。</w:t>
            </w:r>
            <w:r>
              <w:rPr>
                <w:rFonts w:hint="eastAsia" w:ascii="仿宋_GB2312" w:hAnsi="仿宋_GB2312" w:eastAsia="仿宋_GB2312" w:cs="仿宋_GB2312"/>
                <w:color w:val="auto"/>
                <w:kern w:val="0"/>
                <w:sz w:val="16"/>
                <w:szCs w:val="16"/>
                <w:lang w:bidi="ar"/>
              </w:rPr>
              <w:t>（5分）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确保广播电视节目制作播出圆满完成</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5</w:t>
            </w:r>
          </w:p>
        </w:tc>
      </w:tr>
      <w:tr>
        <w:tblPrEx>
          <w:tblCellMar>
            <w:top w:w="0" w:type="dxa"/>
            <w:left w:w="0" w:type="dxa"/>
            <w:bottom w:w="0" w:type="dxa"/>
            <w:right w:w="0" w:type="dxa"/>
          </w:tblCellMar>
        </w:tblPrEx>
        <w:trPr>
          <w:trHeight w:val="912"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vMerge w:val="continue"/>
            <w:tcBorders>
              <w:top w:val="nil"/>
              <w:left w:val="nil"/>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节目时长36500分钟，开设8个专栏，讲好石家庄故事（5分）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主题以及市委市政府中心工作，艺术化展现石家庄的文明渊源、经济发展成果；推进经济社会全面发展，提高百姓幸福指数。</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5</w:t>
            </w:r>
          </w:p>
        </w:tc>
      </w:tr>
      <w:tr>
        <w:tblPrEx>
          <w:tblCellMar>
            <w:top w:w="0" w:type="dxa"/>
            <w:left w:w="0" w:type="dxa"/>
            <w:bottom w:w="0" w:type="dxa"/>
            <w:right w:w="0" w:type="dxa"/>
          </w:tblCellMar>
        </w:tblPrEx>
        <w:trPr>
          <w:trHeight w:val="435"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质量指标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（10分）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制作完成适合在</w:t>
            </w:r>
            <w:r>
              <w:rPr>
                <w:rFonts w:hint="eastAsia" w:ascii="仿宋_GB2312" w:hAnsi="仿宋_GB2312" w:eastAsia="仿宋_GB2312" w:cs="仿宋_GB2312"/>
                <w:color w:val="auto"/>
                <w:kern w:val="0"/>
                <w:sz w:val="16"/>
                <w:szCs w:val="16"/>
                <w:lang w:eastAsia="zh-CN" w:bidi="ar"/>
              </w:rPr>
              <w:t>省、市级以上</w:t>
            </w:r>
            <w:r>
              <w:rPr>
                <w:rFonts w:hint="eastAsia" w:ascii="仿宋_GB2312" w:hAnsi="仿宋_GB2312" w:eastAsia="仿宋_GB2312" w:cs="仿宋_GB2312"/>
                <w:color w:val="auto"/>
                <w:kern w:val="0"/>
                <w:sz w:val="16"/>
                <w:szCs w:val="16"/>
                <w:lang w:bidi="ar"/>
              </w:rPr>
              <w:t>媒体平台播发的高质量节目（5分）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节目</w:t>
            </w:r>
            <w:r>
              <w:rPr>
                <w:rFonts w:hint="eastAsia" w:ascii="仿宋_GB2312" w:hAnsi="仿宋_GB2312" w:eastAsia="仿宋_GB2312" w:cs="仿宋_GB2312"/>
                <w:i w:val="0"/>
                <w:iCs w:val="0"/>
                <w:color w:val="000000"/>
                <w:kern w:val="0"/>
                <w:sz w:val="16"/>
                <w:szCs w:val="16"/>
                <w:u w:val="none"/>
                <w:lang w:val="en-US" w:eastAsia="zh-CN" w:bidi="ar"/>
              </w:rPr>
              <w:t>进行精品提升后，推送至国家、省级媒体及学习强国平台等待播出</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5</w:t>
            </w:r>
          </w:p>
        </w:tc>
      </w:tr>
      <w:tr>
        <w:tblPrEx>
          <w:tblCellMar>
            <w:top w:w="0" w:type="dxa"/>
            <w:left w:w="0" w:type="dxa"/>
            <w:bottom w:w="0" w:type="dxa"/>
            <w:right w:w="0" w:type="dxa"/>
          </w:tblCellMar>
        </w:tblPrEx>
        <w:trPr>
          <w:trHeight w:val="420"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体现节目主流媒体播出特性（5分）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节目</w:t>
            </w:r>
            <w:r>
              <w:rPr>
                <w:rFonts w:hint="eastAsia" w:ascii="仿宋_GB2312" w:hAnsi="仿宋_GB2312" w:eastAsia="仿宋_GB2312" w:cs="仿宋_GB2312"/>
                <w:i w:val="0"/>
                <w:iCs w:val="0"/>
                <w:color w:val="000000"/>
                <w:kern w:val="0"/>
                <w:sz w:val="16"/>
                <w:szCs w:val="16"/>
                <w:u w:val="none"/>
                <w:lang w:val="en-US" w:eastAsia="zh-CN" w:bidi="ar"/>
              </w:rPr>
              <w:t>进行精品提升后，推送至国家、省级媒体及学习强国平台等待播出</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5</w:t>
            </w:r>
          </w:p>
        </w:tc>
      </w:tr>
      <w:tr>
        <w:tblPrEx>
          <w:tblCellMar>
            <w:top w:w="0" w:type="dxa"/>
            <w:left w:w="0" w:type="dxa"/>
            <w:bottom w:w="0" w:type="dxa"/>
            <w:right w:w="0" w:type="dxa"/>
          </w:tblCellMar>
        </w:tblPrEx>
        <w:trPr>
          <w:trHeight w:val="285"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时效指标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（10分）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rPr>
              <w:t>继续整合人力资源，做好节目建设，抢占早、晚高峰收听高地，加大节目主题策划，优化节目编排，创新节目形式，使互动性、趣味性、服务性更强，靠龙头节目带动频道率收听收视数据的提升。</w:t>
            </w:r>
            <w:r>
              <w:rPr>
                <w:rFonts w:hint="eastAsia" w:ascii="仿宋_GB2312" w:hAnsi="仿宋_GB2312" w:eastAsia="仿宋_GB2312" w:cs="仿宋_GB2312"/>
                <w:color w:val="auto"/>
                <w:sz w:val="16"/>
                <w:szCs w:val="16"/>
                <w:lang w:bidi="ar"/>
              </w:rPr>
              <w:t>“准确安全、高质高效、融合传播、创新创优”做好新闻报道(10分)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提高效率</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10</w:t>
            </w:r>
          </w:p>
        </w:tc>
      </w:tr>
      <w:tr>
        <w:tblPrEx>
          <w:tblCellMar>
            <w:top w:w="0" w:type="dxa"/>
            <w:left w:w="0" w:type="dxa"/>
            <w:bottom w:w="0" w:type="dxa"/>
            <w:right w:w="0" w:type="dxa"/>
          </w:tblCellMar>
        </w:tblPrEx>
        <w:trPr>
          <w:trHeight w:val="563" w:hRule="exac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成本指标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（10分）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收支保持平衡（10分）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成本支出不超预算</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10</w:t>
            </w:r>
          </w:p>
        </w:tc>
      </w:tr>
      <w:tr>
        <w:tblPrEx>
          <w:tblCellMar>
            <w:top w:w="0" w:type="dxa"/>
            <w:left w:w="0" w:type="dxa"/>
            <w:bottom w:w="0" w:type="dxa"/>
            <w:right w:w="0" w:type="dxa"/>
          </w:tblCellMar>
        </w:tblPrEx>
        <w:trPr>
          <w:trHeight w:val="533" w:hRule="exact"/>
        </w:trPr>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预算执行率指标（10分）</w:t>
            </w:r>
          </w:p>
        </w:tc>
        <w:tc>
          <w:tcPr>
            <w:tcW w:w="426" w:type="pc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预算执行率</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按制作节目计划进度支付款项</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已经支付合同额的</w:t>
            </w:r>
            <w:r>
              <w:rPr>
                <w:rFonts w:hint="eastAsia" w:ascii="仿宋_GB2312" w:hAnsi="仿宋_GB2312" w:eastAsia="仿宋_GB2312" w:cs="仿宋_GB2312"/>
                <w:color w:val="auto"/>
                <w:kern w:val="0"/>
                <w:sz w:val="16"/>
                <w:szCs w:val="16"/>
                <w:lang w:val="en-US" w:eastAsia="zh-CN" w:bidi="ar"/>
              </w:rPr>
              <w:t>100</w:t>
            </w:r>
            <w:r>
              <w:rPr>
                <w:rFonts w:hint="eastAsia" w:ascii="仿宋_GB2312" w:hAnsi="仿宋_GB2312" w:eastAsia="仿宋_GB2312" w:cs="仿宋_GB2312"/>
                <w:color w:val="auto"/>
                <w:kern w:val="0"/>
                <w:sz w:val="16"/>
                <w:szCs w:val="16"/>
                <w:lang w:bidi="ar"/>
              </w:rPr>
              <w:t>%</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10</w:t>
            </w:r>
          </w:p>
        </w:tc>
      </w:tr>
      <w:tr>
        <w:tblPrEx>
          <w:tblCellMar>
            <w:top w:w="0" w:type="dxa"/>
            <w:left w:w="0" w:type="dxa"/>
            <w:bottom w:w="0" w:type="dxa"/>
            <w:right w:w="0" w:type="dxa"/>
          </w:tblCellMar>
        </w:tblPrEx>
        <w:trPr>
          <w:trHeight w:val="703" w:hRule="exact"/>
        </w:trPr>
        <w:tc>
          <w:tcPr>
            <w:tcW w:w="426" w:type="pct"/>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效益指标</w:t>
            </w:r>
          </w:p>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（45分）</w:t>
            </w:r>
          </w:p>
        </w:tc>
        <w:tc>
          <w:tcPr>
            <w:tcW w:w="42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经济效益指标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（10分）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在各媒体播出后提高了石家庄的声誉，改善石家庄市营商环境，为我市经济社会发展服务。（10分）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改善石家庄市营商环境</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kern w:val="0"/>
                <w:szCs w:val="21"/>
                <w:lang w:val="en-US" w:eastAsia="zh-CN" w:bidi="ar"/>
              </w:rPr>
              <w:t>10</w:t>
            </w:r>
            <w:r>
              <w:rPr>
                <w:rFonts w:hint="eastAsia" w:ascii="仿宋_GB2312" w:hAnsi="仿宋_GB2312" w:eastAsia="仿宋_GB2312" w:cs="仿宋_GB2312"/>
                <w:color w:val="auto"/>
                <w:kern w:val="0"/>
                <w:szCs w:val="21"/>
                <w:lang w:bidi="ar"/>
              </w:rPr>
              <w:t>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10</w:t>
            </w:r>
          </w:p>
        </w:tc>
      </w:tr>
      <w:tr>
        <w:tblPrEx>
          <w:tblCellMar>
            <w:top w:w="0" w:type="dxa"/>
            <w:left w:w="0" w:type="dxa"/>
            <w:bottom w:w="0" w:type="dxa"/>
            <w:right w:w="0" w:type="dxa"/>
          </w:tblCellMar>
        </w:tblPrEx>
        <w:trPr>
          <w:trHeight w:val="1687"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社会效益指标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（10分）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rPr>
              <w:t>《石家庄新闻》精心办好“锚定现代化 改革再深化”等专题专栏，推出了一大批有分量、有温度、有亮点的重头报道；圆满完成习近平总书记视察河北、视察石家庄一周年系列报道，</w:t>
            </w:r>
            <w:r>
              <w:rPr>
                <w:rFonts w:hint="eastAsia" w:ascii="仿宋_GB2312" w:hAnsi="仿宋_GB2312" w:eastAsia="仿宋_GB2312" w:cs="仿宋_GB2312"/>
                <w:color w:val="auto"/>
                <w:kern w:val="0"/>
                <w:sz w:val="16"/>
                <w:szCs w:val="16"/>
                <w:lang w:bidi="ar"/>
              </w:rPr>
              <w:t>（5分）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240" w:lineRule="auto"/>
              <w:ind w:firstLine="320" w:firstLineChars="200"/>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得到社会各界广大认可，收到良好反响，提升了党媒宣传力度；</w:t>
            </w:r>
            <w:r>
              <w:rPr>
                <w:rFonts w:hint="eastAsia" w:ascii="仿宋_GB2312" w:hAnsi="仿宋_GB2312" w:eastAsia="仿宋_GB2312" w:cs="仿宋_GB2312"/>
                <w:color w:val="auto"/>
                <w:sz w:val="16"/>
                <w:szCs w:val="16"/>
              </w:rPr>
              <w:t>展现了我市全面推进文旅融合向更深层次迈进、更广领域拓展、更高水平提升的成功经验；营商环境和人才强市报道丰富多彩，可圈可点。</w:t>
            </w:r>
          </w:p>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rPr>
              <w:t xml:space="preserve"> </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5</w:t>
            </w:r>
          </w:p>
        </w:tc>
      </w:tr>
      <w:tr>
        <w:tblPrEx>
          <w:tblCellMar>
            <w:top w:w="0" w:type="dxa"/>
            <w:left w:w="0" w:type="dxa"/>
            <w:bottom w:w="0" w:type="dxa"/>
            <w:right w:w="0" w:type="dxa"/>
          </w:tblCellMar>
        </w:tblPrEx>
        <w:trPr>
          <w:trHeight w:val="808"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rPr>
              <w:t>全力高质完成遇见石家庄第三季——《恰好，“河”你相遇》制作、播出以及全媒体分发。节目将以滹沱河为线索，探寻强省会战略</w:t>
            </w:r>
            <w:r>
              <w:rPr>
                <w:rFonts w:hint="eastAsia" w:ascii="仿宋_GB2312" w:hAnsi="仿宋_GB2312" w:eastAsia="仿宋_GB2312" w:cs="仿宋_GB2312"/>
                <w:color w:val="auto"/>
                <w:kern w:val="0"/>
                <w:sz w:val="16"/>
                <w:szCs w:val="16"/>
                <w:lang w:bidi="ar"/>
              </w:rPr>
              <w:t>（5分）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rPr>
              <w:t>打造可感、可触、可体验的新时代石家庄系列文化场景，打造河北对外传播中亮眼的城市名片。</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5</w:t>
            </w:r>
          </w:p>
        </w:tc>
      </w:tr>
      <w:tr>
        <w:tblPrEx>
          <w:tblCellMar>
            <w:top w:w="0" w:type="dxa"/>
            <w:left w:w="0" w:type="dxa"/>
            <w:bottom w:w="0" w:type="dxa"/>
            <w:right w:w="0" w:type="dxa"/>
          </w:tblCellMar>
        </w:tblPrEx>
        <w:trPr>
          <w:trHeight w:val="908"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生态效益指标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（10分）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在各媒体播出后提高了石家庄的声誉，改善石家庄市营商环境，为我市经济社会发展服务。（10分）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激发爱国热情，结合城市新风貌和地标，展现祖国欣欣向荣、生机勃勃的时代主旋律，切实提高了党的新闻舆论传播力、引导力、影响力、公信力。</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10</w:t>
            </w:r>
          </w:p>
        </w:tc>
      </w:tr>
      <w:tr>
        <w:tblPrEx>
          <w:tblCellMar>
            <w:top w:w="0" w:type="dxa"/>
            <w:left w:w="0" w:type="dxa"/>
            <w:bottom w:w="0" w:type="dxa"/>
            <w:right w:w="0" w:type="dxa"/>
          </w:tblCellMar>
        </w:tblPrEx>
        <w:trPr>
          <w:trHeight w:val="614"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可持续影</w:t>
            </w:r>
            <w:bookmarkStart w:id="0" w:name="_GoBack"/>
            <w:bookmarkEnd w:id="0"/>
            <w:r>
              <w:rPr>
                <w:rFonts w:hint="eastAsia" w:ascii="仿宋_GB2312" w:hAnsi="仿宋_GB2312" w:eastAsia="仿宋_GB2312" w:cs="仿宋_GB2312"/>
                <w:color w:val="auto"/>
                <w:kern w:val="0"/>
                <w:sz w:val="16"/>
                <w:szCs w:val="16"/>
                <w:lang w:bidi="ar"/>
              </w:rPr>
              <w:t>响指标（15分）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宣传时代精神，弘扬社会主义核心价值观、占领宣传主阵地。（5分）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提高传统主流媒体影响力，形成风清气正的社会舆论环境。</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5</w:t>
            </w:r>
          </w:p>
        </w:tc>
      </w:tr>
      <w:tr>
        <w:tblPrEx>
          <w:tblCellMar>
            <w:top w:w="0" w:type="dxa"/>
            <w:left w:w="0" w:type="dxa"/>
            <w:bottom w:w="0" w:type="dxa"/>
            <w:right w:w="0" w:type="dxa"/>
          </w:tblCellMar>
        </w:tblPrEx>
        <w:trPr>
          <w:trHeight w:val="920" w:hRule="atLeast"/>
        </w:trPr>
        <w:tc>
          <w:tcPr>
            <w:tcW w:w="426" w:type="pct"/>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426" w:type="pct"/>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rPr>
                <w:rFonts w:hint="eastAsia" w:ascii="仿宋_GB2312" w:hAnsi="仿宋_GB2312" w:eastAsia="仿宋_GB2312" w:cs="仿宋_GB2312"/>
                <w:color w:val="auto"/>
                <w:sz w:val="20"/>
                <w:szCs w:val="20"/>
              </w:rPr>
            </w:pP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rPr>
              <w:t>“掌上问政”项目无线石家庄APP端，微信小程序端都已建设到位，择期上线运行。</w:t>
            </w:r>
            <w:r>
              <w:rPr>
                <w:rFonts w:hint="eastAsia" w:ascii="仿宋_GB2312" w:hAnsi="仿宋_GB2312" w:eastAsia="仿宋_GB2312" w:cs="仿宋_GB2312"/>
                <w:color w:val="auto"/>
                <w:kern w:val="0"/>
                <w:sz w:val="16"/>
                <w:szCs w:val="16"/>
                <w:lang w:bidi="ar"/>
              </w:rPr>
              <w:t>（10分）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rPr>
              <w:t>及时报道解决过程，市民非常认可，反响特别好。</w:t>
            </w:r>
            <w:r>
              <w:rPr>
                <w:rFonts w:hint="eastAsia" w:ascii="仿宋_GB2312" w:hAnsi="仿宋_GB2312" w:eastAsia="仿宋_GB2312" w:cs="仿宋_GB2312"/>
                <w:color w:val="auto"/>
                <w:kern w:val="0"/>
                <w:sz w:val="16"/>
                <w:szCs w:val="16"/>
                <w:lang w:bidi="ar"/>
              </w:rPr>
              <w:t>政治站位高，引发社会共鸣，很好的宣传了石家庄。</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10</w:t>
            </w:r>
          </w:p>
        </w:tc>
      </w:tr>
      <w:tr>
        <w:tblPrEx>
          <w:tblCellMar>
            <w:top w:w="0" w:type="dxa"/>
            <w:left w:w="0" w:type="dxa"/>
            <w:bottom w:w="0" w:type="dxa"/>
            <w:right w:w="0" w:type="dxa"/>
          </w:tblCellMar>
        </w:tblPrEx>
        <w:trPr>
          <w:trHeight w:val="821" w:hRule="atLeast"/>
        </w:trPr>
        <w:tc>
          <w:tcPr>
            <w:tcW w:w="426"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满意度指标</w:t>
            </w:r>
          </w:p>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（5分）</w:t>
            </w:r>
          </w:p>
        </w:tc>
        <w:tc>
          <w:tcPr>
            <w:tcW w:w="42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满意度指标</w:t>
            </w:r>
          </w:p>
          <w:p>
            <w:pPr>
              <w:widowControl/>
              <w:spacing w:line="168" w:lineRule="auto"/>
              <w:jc w:val="center"/>
              <w:textAlignment w:val="center"/>
              <w:rPr>
                <w:rFonts w:hint="eastAsia" w:ascii="仿宋_GB2312" w:hAnsi="仿宋_GB2312" w:eastAsia="仿宋_GB2312" w:cs="仿宋_GB2312"/>
                <w:color w:val="auto"/>
                <w:kern w:val="0"/>
                <w:sz w:val="16"/>
                <w:szCs w:val="16"/>
              </w:rPr>
            </w:pPr>
            <w:r>
              <w:rPr>
                <w:rFonts w:hint="eastAsia" w:ascii="仿宋_GB2312" w:hAnsi="仿宋_GB2312" w:eastAsia="仿宋_GB2312" w:cs="仿宋_GB2312"/>
                <w:color w:val="auto"/>
                <w:kern w:val="0"/>
                <w:sz w:val="16"/>
                <w:szCs w:val="16"/>
                <w:lang w:bidi="ar"/>
              </w:rPr>
              <w:t>(5分)</w:t>
            </w:r>
          </w:p>
        </w:tc>
        <w:tc>
          <w:tcPr>
            <w:tcW w:w="1870"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left"/>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广播电视节目播出后，在社会上引起了很大的反响，让更多的人了解石家庄，喜欢石家庄，对石家庄在经济、文化、生态等各方面所取得的成绩印象深刻。（5分）</w:t>
            </w:r>
          </w:p>
        </w:tc>
        <w:tc>
          <w:tcPr>
            <w:tcW w:w="1735"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95%以上</w:t>
            </w:r>
          </w:p>
        </w:tc>
        <w:tc>
          <w:tcPr>
            <w:tcW w:w="294"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 w:val="16"/>
                <w:szCs w:val="16"/>
                <w:lang w:bidi="ar"/>
              </w:rPr>
              <w:t>100%</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5</w:t>
            </w:r>
          </w:p>
        </w:tc>
      </w:tr>
      <w:tr>
        <w:tblPrEx>
          <w:tblCellMar>
            <w:top w:w="0" w:type="dxa"/>
            <w:left w:w="0" w:type="dxa"/>
            <w:bottom w:w="0" w:type="dxa"/>
            <w:right w:w="0" w:type="dxa"/>
          </w:tblCellMar>
        </w:tblPrEx>
        <w:trPr>
          <w:trHeight w:val="285" w:hRule="atLeast"/>
        </w:trPr>
        <w:tc>
          <w:tcPr>
            <w:tcW w:w="4753" w:type="pct"/>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168" w:lineRule="auto"/>
              <w:jc w:val="center"/>
              <w:textAlignment w:val="center"/>
              <w:rPr>
                <w:rFonts w:hint="eastAsia" w:ascii="仿宋_GB2312" w:hAnsi="仿宋_GB2312" w:eastAsia="仿宋_GB2312" w:cs="仿宋_GB2312"/>
                <w:color w:val="auto"/>
                <w:sz w:val="16"/>
                <w:szCs w:val="16"/>
              </w:rPr>
            </w:pPr>
            <w:r>
              <w:rPr>
                <w:rFonts w:hint="eastAsia" w:ascii="仿宋_GB2312" w:hAnsi="仿宋_GB2312" w:eastAsia="仿宋_GB2312" w:cs="仿宋_GB2312"/>
                <w:color w:val="auto"/>
                <w:kern w:val="0"/>
                <w:sz w:val="16"/>
                <w:szCs w:val="16"/>
                <w:lang w:bidi="ar"/>
              </w:rPr>
              <w:t>总分</w:t>
            </w:r>
          </w:p>
        </w:tc>
        <w:tc>
          <w:tcPr>
            <w:tcW w:w="246" w:type="pc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168" w:lineRule="auto"/>
              <w:jc w:val="center"/>
              <w:rPr>
                <w:rFonts w:hint="eastAsia" w:ascii="仿宋_GB2312" w:hAnsi="仿宋_GB2312" w:eastAsia="仿宋_GB2312" w:cs="仿宋_GB2312"/>
                <w:color w:val="auto"/>
                <w:szCs w:val="21"/>
              </w:rPr>
            </w:pPr>
            <w:r>
              <w:rPr>
                <w:rFonts w:hint="eastAsia" w:ascii="仿宋_GB2312" w:hAnsi="仿宋_GB2312" w:eastAsia="仿宋_GB2312" w:cs="仿宋_GB2312"/>
                <w:color w:val="auto"/>
                <w:szCs w:val="21"/>
                <w:lang w:bidi="ar"/>
              </w:rPr>
              <w:t>100</w:t>
            </w:r>
          </w:p>
        </w:tc>
      </w:tr>
    </w:tbl>
    <w:p>
      <w:pPr>
        <w:spacing w:line="560" w:lineRule="exact"/>
        <w:ind w:firstLine="800" w:firstLineChars="250"/>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rPr>
          <w:rFonts w:hint="eastAsia" w:ascii="仿宋_GB2312" w:hAnsi="仿宋_GB2312" w:eastAsia="仿宋_GB2312" w:cs="仿宋_GB2312"/>
          <w:color w:val="auto"/>
          <w:sz w:val="32"/>
          <w:szCs w:val="32"/>
        </w:rPr>
      </w:pPr>
    </w:p>
    <w:p>
      <w:pPr>
        <w:pStyle w:val="2"/>
        <w:ind w:firstLine="420"/>
        <w:rPr>
          <w:rFonts w:hint="eastAsia" w:ascii="仿宋_GB2312" w:hAnsi="仿宋_GB2312" w:eastAsia="仿宋_GB2312" w:cs="仿宋_GB2312"/>
          <w:color w:val="auto"/>
        </w:rPr>
      </w:pPr>
    </w:p>
    <w:p>
      <w:pPr>
        <w:spacing w:line="560" w:lineRule="exact"/>
        <w:rPr>
          <w:rFonts w:hint="eastAsia" w:ascii="仿宋_GB2312" w:hAnsi="仿宋_GB2312" w:eastAsia="仿宋_GB2312" w:cs="仿宋_GB2312"/>
          <w:bCs/>
          <w:color w:val="auto"/>
          <w:sz w:val="32"/>
          <w:szCs w:val="32"/>
        </w:rPr>
      </w:pPr>
      <w:r>
        <w:rPr>
          <w:rFonts w:hint="eastAsia" w:ascii="仿宋_GB2312" w:hAnsi="仿宋_GB2312" w:eastAsia="仿宋_GB2312" w:cs="仿宋_GB2312"/>
          <w:b/>
          <w:bCs/>
          <w:color w:val="auto"/>
          <w:sz w:val="32"/>
          <w:szCs w:val="32"/>
        </w:rPr>
        <w:t xml:space="preserve">   </w:t>
      </w:r>
      <w:r>
        <w:rPr>
          <w:rFonts w:hint="eastAsia" w:ascii="楷体" w:hAnsi="楷体" w:eastAsia="楷体" w:cs="楷体"/>
          <w:b/>
          <w:bCs w:val="0"/>
          <w:color w:val="auto"/>
          <w:sz w:val="32"/>
          <w:szCs w:val="32"/>
        </w:rPr>
        <w:t xml:space="preserve"> （二）分项绩效目标实现情况及指标分析</w:t>
      </w:r>
    </w:p>
    <w:p>
      <w:pPr>
        <w:ind w:firstLine="643" w:firstLineChars="200"/>
        <w:jc w:val="left"/>
        <w:rPr>
          <w:rFonts w:hint="eastAsia" w:ascii="仿宋_GB2312" w:hAnsi="仿宋_GB2312" w:eastAsia="仿宋_GB2312" w:cs="仿宋_GB2312"/>
          <w:b/>
          <w:color w:val="auto"/>
          <w:sz w:val="32"/>
          <w:szCs w:val="32"/>
        </w:rPr>
      </w:pPr>
    </w:p>
    <w:p>
      <w:pPr>
        <w:ind w:firstLine="643" w:firstLineChars="200"/>
        <w:jc w:val="lef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1、融媒体建设补助资金绩效目标表750万元</w:t>
      </w:r>
    </w:p>
    <w:p>
      <w:pPr>
        <w:pStyle w:val="2"/>
        <w:ind w:firstLine="0" w:firstLineChars="0"/>
        <w:rPr>
          <w:rFonts w:hint="eastAsia" w:ascii="仿宋_GB2312" w:hAnsi="仿宋_GB2312" w:eastAsia="仿宋_GB2312" w:cs="仿宋_GB2312"/>
          <w:color w:val="auto"/>
        </w:rPr>
      </w:pPr>
    </w:p>
    <w:tbl>
      <w:tblPr>
        <w:tblStyle w:val="7"/>
        <w:tblW w:w="9301"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244"/>
        <w:gridCol w:w="7057"/>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1100" w:hRule="atLeast"/>
          <w:jc w:val="center"/>
        </w:trPr>
        <w:tc>
          <w:tcPr>
            <w:tcW w:w="2244" w:type="dxa"/>
            <w:tcBorders>
              <w:top w:val="single" w:color="000000" w:sz="6" w:space="0"/>
              <w:bottom w:val="nil"/>
            </w:tcBorders>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 xml:space="preserve"> 绩效目标</w:t>
            </w:r>
          </w:p>
        </w:tc>
        <w:tc>
          <w:tcPr>
            <w:tcW w:w="7057" w:type="dxa"/>
            <w:tcBorders>
              <w:top w:val="single" w:color="000000" w:sz="6" w:space="0"/>
              <w:bottom w:val="nil"/>
            </w:tcBorders>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1.使之成为省内一流，全国城市台中领先的融媒体传播平台</w:t>
            </w:r>
          </w:p>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2.更好地履行政治责任和新闻宣传功能</w:t>
            </w:r>
          </w:p>
        </w:tc>
      </w:tr>
    </w:tbl>
    <w:p>
      <w:pPr>
        <w:spacing w:line="14"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w:t>
      </w:r>
    </w:p>
    <w:tbl>
      <w:tblPr>
        <w:tblStyle w:val="7"/>
        <w:tblW w:w="928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222"/>
        <w:gridCol w:w="1485"/>
        <w:gridCol w:w="1767"/>
        <w:gridCol w:w="1640"/>
        <w:gridCol w:w="1038"/>
        <w:gridCol w:w="11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015"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 xml:space="preserve">         一级指标</w:t>
            </w:r>
          </w:p>
        </w:tc>
        <w:tc>
          <w:tcPr>
            <w:tcW w:w="1222"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二级指标</w:t>
            </w:r>
          </w:p>
        </w:tc>
        <w:tc>
          <w:tcPr>
            <w:tcW w:w="1485"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三级指标</w:t>
            </w:r>
          </w:p>
        </w:tc>
        <w:tc>
          <w:tcPr>
            <w:tcW w:w="1767"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绩效指标描述</w:t>
            </w:r>
          </w:p>
        </w:tc>
        <w:tc>
          <w:tcPr>
            <w:tcW w:w="1640"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lang w:eastAsia="zh-CN"/>
              </w:rPr>
              <w:t>预期完成</w:t>
            </w:r>
            <w:r>
              <w:rPr>
                <w:rFonts w:hint="eastAsia" w:ascii="仿宋_GB2312" w:hAnsi="仿宋_GB2312" w:eastAsia="仿宋_GB2312" w:cs="仿宋_GB2312"/>
                <w:b/>
                <w:color w:val="auto"/>
                <w:sz w:val="24"/>
                <w:szCs w:val="24"/>
              </w:rPr>
              <w:t>值</w:t>
            </w:r>
          </w:p>
        </w:tc>
        <w:tc>
          <w:tcPr>
            <w:tcW w:w="1038" w:type="dxa"/>
            <w:vAlign w:val="center"/>
          </w:tcPr>
          <w:p>
            <w:pPr>
              <w:spacing w:line="300" w:lineRule="exact"/>
              <w:rPr>
                <w:rFonts w:hint="default" w:ascii="仿宋_GB2312" w:hAnsi="仿宋_GB2312" w:eastAsia="仿宋_GB2312" w:cs="仿宋_GB2312"/>
                <w:b/>
                <w:color w:val="auto"/>
                <w:sz w:val="24"/>
                <w:szCs w:val="24"/>
                <w:lang w:val="en-US" w:eastAsia="zh-CN"/>
              </w:rPr>
            </w:pPr>
            <w:r>
              <w:rPr>
                <w:rFonts w:hint="eastAsia" w:ascii="仿宋_GB2312" w:hAnsi="仿宋_GB2312" w:eastAsia="仿宋_GB2312" w:cs="仿宋_GB2312"/>
                <w:b/>
                <w:color w:val="auto"/>
                <w:sz w:val="24"/>
                <w:szCs w:val="24"/>
                <w:lang w:val="en-US" w:eastAsia="zh-CN"/>
              </w:rPr>
              <w:t>实际完成值</w:t>
            </w:r>
          </w:p>
        </w:tc>
        <w:tc>
          <w:tcPr>
            <w:tcW w:w="1113" w:type="dxa"/>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自评得分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产出指标</w:t>
            </w: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数量指标</w:t>
            </w:r>
          </w:p>
        </w:tc>
        <w:tc>
          <w:tcPr>
            <w:tcW w:w="1485"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移动媒体传</w:t>
            </w:r>
            <w:r>
              <w:rPr>
                <w:rFonts w:hint="eastAsia" w:ascii="仿宋_GB2312" w:hAnsi="仿宋_GB2312" w:eastAsia="仿宋_GB2312" w:cs="仿宋_GB2312"/>
                <w:color w:val="auto"/>
                <w:sz w:val="24"/>
                <w:szCs w:val="24"/>
                <w:lang w:eastAsia="zh-CN"/>
              </w:rPr>
              <w:t>播</w:t>
            </w:r>
          </w:p>
        </w:tc>
        <w:tc>
          <w:tcPr>
            <w:tcW w:w="176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加强内容建设及短视频</w:t>
            </w:r>
            <w:r>
              <w:rPr>
                <w:rFonts w:hint="eastAsia" w:ascii="仿宋_GB2312" w:hAnsi="仿宋_GB2312" w:eastAsia="仿宋_GB2312" w:cs="仿宋_GB2312"/>
                <w:color w:val="auto"/>
                <w:sz w:val="24"/>
                <w:szCs w:val="24"/>
                <w:lang w:eastAsia="zh-CN"/>
              </w:rPr>
              <w:t>编辑发布</w:t>
            </w:r>
            <w:r>
              <w:rPr>
                <w:rFonts w:hint="eastAsia" w:ascii="仿宋_GB2312" w:hAnsi="仿宋_GB2312" w:eastAsia="仿宋_GB2312" w:cs="仿宋_GB2312"/>
                <w:color w:val="auto"/>
                <w:sz w:val="24"/>
                <w:szCs w:val="24"/>
              </w:rPr>
              <w:t>制作</w:t>
            </w:r>
          </w:p>
        </w:tc>
        <w:tc>
          <w:tcPr>
            <w:tcW w:w="164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≥1300条</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质量指标</w:t>
            </w:r>
          </w:p>
        </w:tc>
        <w:tc>
          <w:tcPr>
            <w:tcW w:w="148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保证质量，达到使用标准</w:t>
            </w:r>
          </w:p>
        </w:tc>
        <w:tc>
          <w:tcPr>
            <w:tcW w:w="1767"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精心制作外宣精品</w:t>
            </w:r>
          </w:p>
        </w:tc>
        <w:tc>
          <w:tcPr>
            <w:tcW w:w="1640"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已完成</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时效指标</w:t>
            </w:r>
          </w:p>
        </w:tc>
        <w:tc>
          <w:tcPr>
            <w:tcW w:w="148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eastAsia="zh-CN"/>
              </w:rPr>
              <w:t>完成资金</w:t>
            </w:r>
            <w:r>
              <w:rPr>
                <w:rFonts w:hint="eastAsia" w:ascii="仿宋_GB2312" w:hAnsi="仿宋_GB2312" w:eastAsia="仿宋_GB2312" w:cs="仿宋_GB2312"/>
                <w:color w:val="auto"/>
                <w:sz w:val="24"/>
                <w:szCs w:val="24"/>
              </w:rPr>
              <w:t>拨付情况</w:t>
            </w:r>
          </w:p>
        </w:tc>
        <w:tc>
          <w:tcPr>
            <w:tcW w:w="176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一年之内完成</w:t>
            </w:r>
          </w:p>
        </w:tc>
        <w:tc>
          <w:tcPr>
            <w:tcW w:w="164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2024年12月31日前</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成本指标</w:t>
            </w:r>
          </w:p>
        </w:tc>
        <w:tc>
          <w:tcPr>
            <w:tcW w:w="148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资金成本</w:t>
            </w:r>
          </w:p>
        </w:tc>
        <w:tc>
          <w:tcPr>
            <w:tcW w:w="176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按照预算之内</w:t>
            </w:r>
          </w:p>
        </w:tc>
        <w:tc>
          <w:tcPr>
            <w:tcW w:w="164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750万元</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Align w:val="center"/>
          </w:tcPr>
          <w:p>
            <w:pPr>
              <w:spacing w:line="300" w:lineRule="exact"/>
              <w:jc w:val="center"/>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预算执行率指标</w:t>
            </w:r>
          </w:p>
        </w:tc>
        <w:tc>
          <w:tcPr>
            <w:tcW w:w="1222"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预算执行率</w:t>
            </w:r>
          </w:p>
        </w:tc>
        <w:tc>
          <w:tcPr>
            <w:tcW w:w="1485"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按执行进度支付</w:t>
            </w:r>
          </w:p>
        </w:tc>
        <w:tc>
          <w:tcPr>
            <w:tcW w:w="1767"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按合同执行进度</w:t>
            </w:r>
          </w:p>
        </w:tc>
        <w:tc>
          <w:tcPr>
            <w:tcW w:w="164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效益指标</w:t>
            </w: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社会效益指标</w:t>
            </w:r>
          </w:p>
        </w:tc>
        <w:tc>
          <w:tcPr>
            <w:tcW w:w="148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促进广电传媒稳步发展</w:t>
            </w:r>
          </w:p>
        </w:tc>
        <w:tc>
          <w:tcPr>
            <w:tcW w:w="176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促进电视台主流媒体业务</w:t>
            </w:r>
          </w:p>
        </w:tc>
        <w:tc>
          <w:tcPr>
            <w:tcW w:w="1640" w:type="dxa"/>
            <w:vAlign w:val="center"/>
          </w:tcPr>
          <w:p>
            <w:pPr>
              <w:spacing w:line="300" w:lineRule="exact"/>
              <w:jc w:val="left"/>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eastAsia="zh-CN"/>
              </w:rPr>
              <w:t>打造优质媒体</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生态效益指标</w:t>
            </w:r>
          </w:p>
        </w:tc>
        <w:tc>
          <w:tcPr>
            <w:tcW w:w="148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打造意识形态安全的网络环境</w:t>
            </w:r>
          </w:p>
        </w:tc>
        <w:tc>
          <w:tcPr>
            <w:tcW w:w="176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建设天朗气清的网络环境</w:t>
            </w:r>
          </w:p>
        </w:tc>
        <w:tc>
          <w:tcPr>
            <w:tcW w:w="164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打造优质媒体</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可持续影响指标</w:t>
            </w:r>
          </w:p>
        </w:tc>
        <w:tc>
          <w:tcPr>
            <w:tcW w:w="148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网络安全性</w:t>
            </w:r>
          </w:p>
        </w:tc>
        <w:tc>
          <w:tcPr>
            <w:tcW w:w="176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保证网络安全</w:t>
            </w:r>
          </w:p>
        </w:tc>
        <w:tc>
          <w:tcPr>
            <w:tcW w:w="1640"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已完成</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满意度指标</w:t>
            </w:r>
          </w:p>
        </w:tc>
        <w:tc>
          <w:tcPr>
            <w:tcW w:w="122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服务对象满意度指标</w:t>
            </w:r>
          </w:p>
        </w:tc>
        <w:tc>
          <w:tcPr>
            <w:tcW w:w="148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群众满意度</w:t>
            </w:r>
          </w:p>
        </w:tc>
        <w:tc>
          <w:tcPr>
            <w:tcW w:w="176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非常满意</w:t>
            </w:r>
          </w:p>
        </w:tc>
        <w:tc>
          <w:tcPr>
            <w:tcW w:w="1640" w:type="dxa"/>
            <w:vAlign w:val="center"/>
          </w:tcPr>
          <w:p>
            <w:pPr>
              <w:spacing w:line="300" w:lineRule="exact"/>
              <w:jc w:val="left"/>
              <w:rPr>
                <w:rFonts w:hint="eastAsia"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rPr>
              <w:t>≥90</w:t>
            </w:r>
            <w:r>
              <w:rPr>
                <w:rFonts w:hint="eastAsia" w:ascii="仿宋_GB2312" w:hAnsi="仿宋_GB2312" w:eastAsia="仿宋_GB2312" w:cs="仿宋_GB2312"/>
                <w:color w:val="auto"/>
                <w:sz w:val="24"/>
                <w:szCs w:val="24"/>
                <w:lang w:val="en-US" w:eastAsia="zh-CN"/>
              </w:rPr>
              <w:t>%</w:t>
            </w:r>
          </w:p>
        </w:tc>
        <w:tc>
          <w:tcPr>
            <w:tcW w:w="103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1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27" w:hRule="atLeast"/>
          <w:jc w:val="center"/>
        </w:trPr>
        <w:tc>
          <w:tcPr>
            <w:tcW w:w="8167" w:type="dxa"/>
            <w:gridSpan w:val="6"/>
            <w:vAlign w:val="center"/>
          </w:tcPr>
          <w:p>
            <w:pPr>
              <w:spacing w:line="300" w:lineRule="exact"/>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eastAsia="zh-CN"/>
              </w:rPr>
              <w:t>总</w:t>
            </w:r>
            <w:r>
              <w:rPr>
                <w:rFonts w:hint="eastAsia" w:ascii="仿宋_GB2312" w:hAnsi="仿宋_GB2312" w:eastAsia="仿宋_GB2312" w:cs="仿宋_GB2312"/>
                <w:color w:val="auto"/>
                <w:sz w:val="24"/>
                <w:szCs w:val="24"/>
                <w:lang w:val="en-US" w:eastAsia="zh-CN"/>
              </w:rPr>
              <w:t xml:space="preserve">                  </w:t>
            </w:r>
            <w:r>
              <w:rPr>
                <w:rFonts w:hint="eastAsia" w:ascii="仿宋_GB2312" w:hAnsi="仿宋_GB2312" w:eastAsia="仿宋_GB2312" w:cs="仿宋_GB2312"/>
                <w:color w:val="auto"/>
                <w:sz w:val="24"/>
                <w:szCs w:val="24"/>
                <w:lang w:eastAsia="zh-CN"/>
              </w:rPr>
              <w:t>分</w:t>
            </w:r>
            <w:r>
              <w:rPr>
                <w:rFonts w:hint="eastAsia" w:ascii="仿宋_GB2312" w:hAnsi="仿宋_GB2312" w:eastAsia="仿宋_GB2312" w:cs="仿宋_GB2312"/>
                <w:color w:val="auto"/>
                <w:sz w:val="24"/>
                <w:szCs w:val="24"/>
                <w:lang w:val="en-US" w:eastAsia="zh-CN"/>
              </w:rPr>
              <w:t xml:space="preserve"> </w:t>
            </w:r>
          </w:p>
        </w:tc>
        <w:tc>
          <w:tcPr>
            <w:tcW w:w="1113" w:type="dxa"/>
            <w:vAlign w:val="center"/>
          </w:tcPr>
          <w:p>
            <w:pPr>
              <w:rPr>
                <w:rFonts w:hint="default"/>
                <w:lang w:val="en-US" w:eastAsia="zh-CN"/>
              </w:rPr>
            </w:pPr>
            <w:r>
              <w:rPr>
                <w:rFonts w:hint="eastAsia"/>
                <w:lang w:val="en-US" w:eastAsia="zh-CN"/>
              </w:rPr>
              <w:t>100分</w:t>
            </w:r>
          </w:p>
        </w:tc>
      </w:tr>
    </w:tbl>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2、石家庄电视发射台绩效目标表31.2万元</w:t>
      </w:r>
    </w:p>
    <w:p>
      <w:pPr>
        <w:pStyle w:val="2"/>
        <w:ind w:left="420" w:leftChars="200" w:firstLine="0" w:firstLineChars="0"/>
        <w:rPr>
          <w:rFonts w:hint="eastAsia" w:ascii="仿宋_GB2312" w:hAnsi="仿宋_GB2312" w:eastAsia="仿宋_GB2312" w:cs="仿宋_GB2312"/>
          <w:color w:val="auto"/>
        </w:rPr>
      </w:pPr>
    </w:p>
    <w:tbl>
      <w:tblPr>
        <w:tblStyle w:val="7"/>
        <w:tblW w:w="9062"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95"/>
        <w:gridCol w:w="7567"/>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1388" w:hRule="atLeast"/>
          <w:jc w:val="center"/>
        </w:trPr>
        <w:tc>
          <w:tcPr>
            <w:tcW w:w="1495" w:type="dxa"/>
            <w:tcBorders>
              <w:top w:val="single" w:color="000000" w:sz="6" w:space="0"/>
              <w:bottom w:val="nil"/>
            </w:tcBorders>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 xml:space="preserve">            绩效目标</w:t>
            </w:r>
          </w:p>
        </w:tc>
        <w:tc>
          <w:tcPr>
            <w:tcW w:w="7567" w:type="dxa"/>
            <w:tcBorders>
              <w:top w:val="single" w:color="000000" w:sz="6" w:space="0"/>
              <w:bottom w:val="nil"/>
            </w:tcBorders>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两个频道为代维播出任务，严格按照相关技术要求监听监看，定期对各系统进行预防性日常维护、检测、调整，确保21、32频道单频网同步播出及稳定运行；设备技术参数达到相关要求。确保地面数字电视有效覆盖。</w:t>
            </w:r>
          </w:p>
        </w:tc>
      </w:tr>
    </w:tbl>
    <w:p>
      <w:pPr>
        <w:spacing w:line="14"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w:t>
      </w:r>
    </w:p>
    <w:tbl>
      <w:tblPr>
        <w:tblStyle w:val="7"/>
        <w:tblW w:w="906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7"/>
        <w:gridCol w:w="1341"/>
        <w:gridCol w:w="934"/>
        <w:gridCol w:w="2175"/>
        <w:gridCol w:w="1272"/>
        <w:gridCol w:w="961"/>
        <w:gridCol w:w="8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44" w:hRule="atLeast"/>
          <w:tblHeader/>
          <w:jc w:val="center"/>
        </w:trPr>
        <w:tc>
          <w:tcPr>
            <w:tcW w:w="1497"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一        一级指标</w:t>
            </w:r>
          </w:p>
        </w:tc>
        <w:tc>
          <w:tcPr>
            <w:tcW w:w="1341"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二级指标</w:t>
            </w:r>
          </w:p>
        </w:tc>
        <w:tc>
          <w:tcPr>
            <w:tcW w:w="934"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三级指标</w:t>
            </w:r>
          </w:p>
        </w:tc>
        <w:tc>
          <w:tcPr>
            <w:tcW w:w="2175"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绩效指标描述</w:t>
            </w:r>
          </w:p>
        </w:tc>
        <w:tc>
          <w:tcPr>
            <w:tcW w:w="1272"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lang w:eastAsia="zh-CN"/>
              </w:rPr>
              <w:t>指标</w:t>
            </w:r>
            <w:r>
              <w:rPr>
                <w:rFonts w:hint="eastAsia" w:ascii="仿宋_GB2312" w:hAnsi="仿宋_GB2312" w:eastAsia="仿宋_GB2312" w:cs="仿宋_GB2312"/>
                <w:b/>
                <w:color w:val="auto"/>
                <w:sz w:val="24"/>
                <w:szCs w:val="24"/>
              </w:rPr>
              <w:t>值</w:t>
            </w:r>
          </w:p>
        </w:tc>
        <w:tc>
          <w:tcPr>
            <w:tcW w:w="961" w:type="dxa"/>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实际完成值</w:t>
            </w:r>
          </w:p>
        </w:tc>
        <w:tc>
          <w:tcPr>
            <w:tcW w:w="883" w:type="dxa"/>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自评得</w:t>
            </w:r>
            <w:r>
              <w:rPr>
                <w:rFonts w:hint="eastAsia" w:ascii="仿宋_GB2312" w:hAnsi="仿宋_GB2312" w:eastAsia="仿宋_GB2312" w:cs="仿宋_GB2312"/>
                <w:b/>
                <w:color w:val="auto"/>
                <w:sz w:val="24"/>
                <w:szCs w:val="24"/>
                <w:lang w:val="en-US" w:eastAsia="zh-CN"/>
              </w:rPr>
              <w:t xml:space="preserve"> </w:t>
            </w:r>
            <w:r>
              <w:rPr>
                <w:rFonts w:hint="eastAsia" w:ascii="仿宋_GB2312" w:hAnsi="仿宋_GB2312" w:eastAsia="仿宋_GB2312" w:cs="仿宋_GB2312"/>
                <w:b/>
                <w:color w:val="auto"/>
                <w:sz w:val="24"/>
                <w:szCs w:val="24"/>
                <w:lang w:eastAsia="zh-CN"/>
              </w:rPr>
              <w:t>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w:t>
            </w:r>
          </w:p>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产出指标</w:t>
            </w: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数量指标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运行机器</w:t>
            </w:r>
          </w:p>
        </w:tc>
        <w:tc>
          <w:tcPr>
            <w:tcW w:w="21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运行机器数量</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2台</w:t>
            </w:r>
          </w:p>
        </w:tc>
        <w:tc>
          <w:tcPr>
            <w:tcW w:w="961"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质量指标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安全播出</w:t>
            </w:r>
          </w:p>
        </w:tc>
        <w:tc>
          <w:tcPr>
            <w:tcW w:w="21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满时间功率</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100%</w:t>
            </w:r>
          </w:p>
        </w:tc>
        <w:tc>
          <w:tcPr>
            <w:tcW w:w="961"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时效指标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一年内</w:t>
            </w:r>
          </w:p>
        </w:tc>
        <w:tc>
          <w:tcPr>
            <w:tcW w:w="21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运行情况</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稳定运行</w:t>
            </w:r>
          </w:p>
        </w:tc>
        <w:tc>
          <w:tcPr>
            <w:tcW w:w="9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成本指标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预算成本</w:t>
            </w:r>
          </w:p>
        </w:tc>
        <w:tc>
          <w:tcPr>
            <w:tcW w:w="21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不超预算</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31.2万元</w:t>
            </w:r>
          </w:p>
        </w:tc>
        <w:tc>
          <w:tcPr>
            <w:tcW w:w="9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Align w:val="center"/>
          </w:tcPr>
          <w:p>
            <w:pPr>
              <w:spacing w:line="300" w:lineRule="exact"/>
              <w:jc w:val="center"/>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预算执行率指标</w:t>
            </w:r>
          </w:p>
        </w:tc>
        <w:tc>
          <w:tcPr>
            <w:tcW w:w="134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w:t>
            </w:r>
          </w:p>
        </w:tc>
        <w:tc>
          <w:tcPr>
            <w:tcW w:w="934"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按执行进度支付</w:t>
            </w:r>
          </w:p>
        </w:tc>
        <w:tc>
          <w:tcPr>
            <w:tcW w:w="217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按工作执行进度</w:t>
            </w:r>
          </w:p>
        </w:tc>
        <w:tc>
          <w:tcPr>
            <w:tcW w:w="1272"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9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效益指标</w:t>
            </w: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经济效益指标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播出率</w:t>
            </w:r>
          </w:p>
        </w:tc>
        <w:tc>
          <w:tcPr>
            <w:tcW w:w="21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确保播出</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100%</w:t>
            </w:r>
          </w:p>
        </w:tc>
        <w:tc>
          <w:tcPr>
            <w:tcW w:w="9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社会效益指标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覆盖率</w:t>
            </w:r>
          </w:p>
        </w:tc>
        <w:tc>
          <w:tcPr>
            <w:tcW w:w="21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保障安全优质播出，广播电视节目有效覆盖</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≥95%</w:t>
            </w:r>
          </w:p>
        </w:tc>
        <w:tc>
          <w:tcPr>
            <w:tcW w:w="9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可持续影响指标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确保运行</w:t>
            </w:r>
          </w:p>
        </w:tc>
        <w:tc>
          <w:tcPr>
            <w:tcW w:w="2175"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确保运行，定期维护</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≥95%</w:t>
            </w:r>
          </w:p>
        </w:tc>
        <w:tc>
          <w:tcPr>
            <w:tcW w:w="9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满意度指标</w:t>
            </w:r>
          </w:p>
        </w:tc>
        <w:tc>
          <w:tcPr>
            <w:tcW w:w="1341"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服务对象满意度指标</w:t>
            </w:r>
          </w:p>
        </w:tc>
        <w:tc>
          <w:tcPr>
            <w:tcW w:w="93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满意度</w:t>
            </w:r>
          </w:p>
        </w:tc>
        <w:tc>
          <w:tcPr>
            <w:tcW w:w="21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群众满意度</w:t>
            </w:r>
          </w:p>
        </w:tc>
        <w:tc>
          <w:tcPr>
            <w:tcW w:w="127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≥95%</w:t>
            </w:r>
          </w:p>
        </w:tc>
        <w:tc>
          <w:tcPr>
            <w:tcW w:w="9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57" w:hRule="atLeast"/>
          <w:jc w:val="center"/>
        </w:trPr>
        <w:tc>
          <w:tcPr>
            <w:tcW w:w="8180" w:type="dxa"/>
            <w:gridSpan w:val="6"/>
            <w:vAlign w:val="center"/>
          </w:tcPr>
          <w:p>
            <w:pPr>
              <w:spacing w:line="300" w:lineRule="exact"/>
              <w:jc w:val="center"/>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总          分</w:t>
            </w:r>
          </w:p>
        </w:tc>
        <w:tc>
          <w:tcPr>
            <w:tcW w:w="883"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r>
    </w:tbl>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pStyle w:val="2"/>
        <w:rPr>
          <w:rFonts w:hint="eastAsia" w:ascii="仿宋_GB2312" w:hAnsi="仿宋_GB2312" w:eastAsia="仿宋_GB2312" w:cs="仿宋_GB2312"/>
          <w:b/>
          <w:color w:val="auto"/>
          <w:sz w:val="32"/>
          <w:szCs w:val="32"/>
        </w:rPr>
      </w:pPr>
    </w:p>
    <w:p>
      <w:pPr>
        <w:pStyle w:val="2"/>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3、贷款贴息绩效目标表500万元</w:t>
      </w:r>
    </w:p>
    <w:p>
      <w:pPr>
        <w:pStyle w:val="2"/>
        <w:ind w:left="420" w:leftChars="200" w:firstLine="0" w:firstLineChars="0"/>
        <w:rPr>
          <w:rFonts w:hint="eastAsia" w:ascii="仿宋_GB2312" w:hAnsi="仿宋_GB2312" w:eastAsia="仿宋_GB2312" w:cs="仿宋_GB2312"/>
          <w:color w:val="auto"/>
        </w:rPr>
      </w:pPr>
    </w:p>
    <w:p>
      <w:pPr>
        <w:spacing w:line="14"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w:t>
      </w:r>
    </w:p>
    <w:tbl>
      <w:tblPr>
        <w:tblStyle w:val="7"/>
        <w:tblW w:w="94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1475"/>
        <w:gridCol w:w="1416"/>
        <w:gridCol w:w="1864"/>
        <w:gridCol w:w="1579"/>
        <w:gridCol w:w="1155"/>
        <w:gridCol w:w="7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248" w:hRule="atLeast"/>
          <w:tblHeader/>
          <w:jc w:val="center"/>
        </w:trPr>
        <w:tc>
          <w:tcPr>
            <w:tcW w:w="2721" w:type="dxa"/>
            <w:gridSpan w:val="2"/>
            <w:vAlign w:val="center"/>
          </w:tcPr>
          <w:p>
            <w:pPr>
              <w:spacing w:line="300" w:lineRule="exact"/>
              <w:jc w:val="center"/>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绩效目标</w:t>
            </w:r>
          </w:p>
        </w:tc>
        <w:tc>
          <w:tcPr>
            <w:tcW w:w="6732" w:type="dxa"/>
            <w:gridSpan w:val="5"/>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1.支付贷款利息，提高资金的综合效益。提高资金的综合效益，保证资金的正常运转。</w:t>
            </w:r>
          </w:p>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color w:val="auto"/>
                <w:sz w:val="24"/>
                <w:szCs w:val="24"/>
              </w:rPr>
              <w:t>2.对提升节目质量，更好地围绕市委市政府重点工作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46"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 xml:space="preserve">           一级指标</w:t>
            </w:r>
          </w:p>
        </w:tc>
        <w:tc>
          <w:tcPr>
            <w:tcW w:w="1475"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二级指标</w:t>
            </w:r>
          </w:p>
        </w:tc>
        <w:tc>
          <w:tcPr>
            <w:tcW w:w="1416"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三级指标</w:t>
            </w:r>
          </w:p>
        </w:tc>
        <w:tc>
          <w:tcPr>
            <w:tcW w:w="1864"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绩效指标描述</w:t>
            </w:r>
          </w:p>
        </w:tc>
        <w:tc>
          <w:tcPr>
            <w:tcW w:w="1579"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lang w:eastAsia="zh-CN"/>
              </w:rPr>
              <w:t>指标</w:t>
            </w:r>
            <w:r>
              <w:rPr>
                <w:rFonts w:hint="eastAsia" w:ascii="仿宋_GB2312" w:hAnsi="仿宋_GB2312" w:eastAsia="仿宋_GB2312" w:cs="仿宋_GB2312"/>
                <w:b/>
                <w:color w:val="auto"/>
                <w:sz w:val="24"/>
                <w:szCs w:val="24"/>
              </w:rPr>
              <w:t>值</w:t>
            </w:r>
          </w:p>
        </w:tc>
        <w:tc>
          <w:tcPr>
            <w:tcW w:w="1155" w:type="dxa"/>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实际完成值</w:t>
            </w:r>
          </w:p>
        </w:tc>
        <w:tc>
          <w:tcPr>
            <w:tcW w:w="718" w:type="dxa"/>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自评得分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jc w:val="center"/>
        </w:trPr>
        <w:tc>
          <w:tcPr>
            <w:tcW w:w="1246"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产出指标</w:t>
            </w: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数量指标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贷款额度</w:t>
            </w:r>
          </w:p>
        </w:tc>
        <w:tc>
          <w:tcPr>
            <w:tcW w:w="186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从银行贷款近1.6亿资金</w:t>
            </w:r>
          </w:p>
        </w:tc>
        <w:tc>
          <w:tcPr>
            <w:tcW w:w="1579"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≥95</w:t>
            </w:r>
            <w:r>
              <w:rPr>
                <w:rFonts w:hint="eastAsia" w:ascii="仿宋_GB2312" w:hAnsi="仿宋_GB2312" w:eastAsia="仿宋_GB2312" w:cs="仿宋_GB2312"/>
                <w:color w:val="auto"/>
                <w:sz w:val="24"/>
                <w:szCs w:val="24"/>
                <w:lang w:val="en-US" w:eastAsia="zh-CN"/>
              </w:rPr>
              <w:t>%</w:t>
            </w:r>
          </w:p>
        </w:tc>
        <w:tc>
          <w:tcPr>
            <w:tcW w:w="115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质量指标</w:t>
            </w:r>
          </w:p>
        </w:tc>
        <w:tc>
          <w:tcPr>
            <w:tcW w:w="1416"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资金及时拨付率</w:t>
            </w:r>
          </w:p>
        </w:tc>
        <w:tc>
          <w:tcPr>
            <w:tcW w:w="1864"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及时拨付</w:t>
            </w:r>
          </w:p>
        </w:tc>
        <w:tc>
          <w:tcPr>
            <w:tcW w:w="1579"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100%</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时效指标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项目完成时间</w:t>
            </w:r>
          </w:p>
        </w:tc>
        <w:tc>
          <w:tcPr>
            <w:tcW w:w="1864"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一年之内</w:t>
            </w:r>
            <w:r>
              <w:rPr>
                <w:rFonts w:hint="eastAsia" w:ascii="仿宋_GB2312" w:hAnsi="仿宋_GB2312" w:eastAsia="仿宋_GB2312" w:cs="仿宋_GB2312"/>
                <w:color w:val="auto"/>
                <w:sz w:val="24"/>
                <w:szCs w:val="24"/>
                <w:lang w:eastAsia="zh-CN"/>
              </w:rPr>
              <w:t>完成利息支付</w:t>
            </w:r>
          </w:p>
        </w:tc>
        <w:tc>
          <w:tcPr>
            <w:tcW w:w="1579"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≥90%</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7" w:hRule="atLeast"/>
          <w:jc w:val="center"/>
        </w:trPr>
        <w:tc>
          <w:tcPr>
            <w:tcW w:w="1246"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成本指标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预算资金</w:t>
            </w:r>
          </w:p>
        </w:tc>
        <w:tc>
          <w:tcPr>
            <w:tcW w:w="186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控制预算之内</w:t>
            </w:r>
          </w:p>
        </w:tc>
        <w:tc>
          <w:tcPr>
            <w:tcW w:w="1579"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500万元</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Align w:val="center"/>
          </w:tcPr>
          <w:p>
            <w:pPr>
              <w:spacing w:line="300" w:lineRule="exact"/>
              <w:jc w:val="center"/>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预算执行率指标</w:t>
            </w:r>
          </w:p>
        </w:tc>
        <w:tc>
          <w:tcPr>
            <w:tcW w:w="147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w:t>
            </w:r>
          </w:p>
        </w:tc>
        <w:tc>
          <w:tcPr>
            <w:tcW w:w="1416"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按执行进度支付</w:t>
            </w:r>
          </w:p>
        </w:tc>
        <w:tc>
          <w:tcPr>
            <w:tcW w:w="1864"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按工作计划执行进度</w:t>
            </w:r>
          </w:p>
        </w:tc>
        <w:tc>
          <w:tcPr>
            <w:tcW w:w="1579"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效益指标</w:t>
            </w: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经济效益指标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正常运行</w:t>
            </w:r>
          </w:p>
        </w:tc>
        <w:tc>
          <w:tcPr>
            <w:tcW w:w="186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保证电视台广告创收，正常运行</w:t>
            </w:r>
          </w:p>
        </w:tc>
        <w:tc>
          <w:tcPr>
            <w:tcW w:w="1579"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正常运行</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社会效益指标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保证持续经营</w:t>
            </w:r>
          </w:p>
        </w:tc>
        <w:tc>
          <w:tcPr>
            <w:tcW w:w="186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保证收视率，持续经营</w:t>
            </w:r>
          </w:p>
        </w:tc>
        <w:tc>
          <w:tcPr>
            <w:tcW w:w="1579"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持续经营</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生态效益指标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完成任务</w:t>
            </w:r>
          </w:p>
        </w:tc>
        <w:tc>
          <w:tcPr>
            <w:tcW w:w="186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完成偿还贷款任务</w:t>
            </w:r>
          </w:p>
        </w:tc>
        <w:tc>
          <w:tcPr>
            <w:tcW w:w="1579"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100%</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pStyle w:val="2"/>
              <w:ind w:left="0" w:leftChars="0" w:firstLine="0" w:firstLineChars="0"/>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可持续影响指标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缓解广电资金压力 </w:t>
            </w:r>
          </w:p>
        </w:tc>
        <w:tc>
          <w:tcPr>
            <w:tcW w:w="186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较好的完成上级任务</w:t>
            </w:r>
          </w:p>
        </w:tc>
        <w:tc>
          <w:tcPr>
            <w:tcW w:w="1579"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≥95</w:t>
            </w:r>
            <w:r>
              <w:rPr>
                <w:rFonts w:hint="eastAsia" w:ascii="仿宋_GB2312" w:hAnsi="仿宋_GB2312" w:eastAsia="仿宋_GB2312" w:cs="仿宋_GB2312"/>
                <w:color w:val="auto"/>
                <w:sz w:val="24"/>
                <w:szCs w:val="24"/>
                <w:lang w:val="en-US" w:eastAsia="zh-CN"/>
              </w:rPr>
              <w:t>%</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满意度指标</w:t>
            </w:r>
          </w:p>
        </w:tc>
        <w:tc>
          <w:tcPr>
            <w:tcW w:w="147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服务对象满意度指标</w:t>
            </w:r>
          </w:p>
        </w:tc>
        <w:tc>
          <w:tcPr>
            <w:tcW w:w="141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eastAsia="zh-CN"/>
              </w:rPr>
              <w:t>使用资金</w:t>
            </w:r>
            <w:r>
              <w:rPr>
                <w:rFonts w:hint="eastAsia" w:ascii="仿宋_GB2312" w:hAnsi="仿宋_GB2312" w:eastAsia="仿宋_GB2312" w:cs="仿宋_GB2312"/>
                <w:color w:val="auto"/>
                <w:sz w:val="24"/>
                <w:szCs w:val="24"/>
              </w:rPr>
              <w:t>满意度</w:t>
            </w:r>
          </w:p>
        </w:tc>
        <w:tc>
          <w:tcPr>
            <w:tcW w:w="1864"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满意度</w:t>
            </w:r>
          </w:p>
        </w:tc>
        <w:tc>
          <w:tcPr>
            <w:tcW w:w="1579"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≥95</w:t>
            </w:r>
            <w:r>
              <w:rPr>
                <w:rFonts w:hint="eastAsia" w:ascii="仿宋_GB2312" w:hAnsi="仿宋_GB2312" w:eastAsia="仿宋_GB2312" w:cs="仿宋_GB2312"/>
                <w:color w:val="auto"/>
                <w:sz w:val="24"/>
                <w:szCs w:val="24"/>
                <w:lang w:val="en-US" w:eastAsia="zh-CN"/>
              </w:rPr>
              <w:t>%</w:t>
            </w:r>
          </w:p>
        </w:tc>
        <w:tc>
          <w:tcPr>
            <w:tcW w:w="115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52" w:hRule="atLeast"/>
          <w:jc w:val="center"/>
        </w:trPr>
        <w:tc>
          <w:tcPr>
            <w:tcW w:w="8735" w:type="dxa"/>
            <w:gridSpan w:val="6"/>
            <w:vAlign w:val="center"/>
          </w:tcPr>
          <w:p>
            <w:pPr>
              <w:spacing w:line="300" w:lineRule="exact"/>
              <w:jc w:val="center"/>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总</w:t>
            </w:r>
            <w:r>
              <w:rPr>
                <w:rFonts w:hint="eastAsia" w:ascii="仿宋_GB2312" w:hAnsi="仿宋_GB2312" w:eastAsia="仿宋_GB2312" w:cs="仿宋_GB2312"/>
                <w:color w:val="auto"/>
                <w:sz w:val="24"/>
                <w:szCs w:val="24"/>
                <w:lang w:val="en-US" w:eastAsia="zh-CN"/>
              </w:rPr>
              <w:t xml:space="preserve">              </w:t>
            </w:r>
            <w:r>
              <w:rPr>
                <w:rFonts w:hint="eastAsia" w:ascii="仿宋_GB2312" w:hAnsi="仿宋_GB2312" w:eastAsia="仿宋_GB2312" w:cs="仿宋_GB2312"/>
                <w:color w:val="auto"/>
                <w:sz w:val="24"/>
                <w:szCs w:val="24"/>
                <w:lang w:eastAsia="zh-CN"/>
              </w:rPr>
              <w:t>分</w:t>
            </w:r>
          </w:p>
        </w:tc>
        <w:tc>
          <w:tcPr>
            <w:tcW w:w="718"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r>
    </w:tbl>
    <w:p>
      <w:pPr>
        <w:spacing w:line="300" w:lineRule="exact"/>
        <w:jc w:val="left"/>
        <w:rPr>
          <w:rFonts w:hint="eastAsia" w:ascii="仿宋_GB2312" w:hAnsi="仿宋_GB2312" w:eastAsia="仿宋_GB2312" w:cs="仿宋_GB2312"/>
          <w:color w:val="auto"/>
          <w:sz w:val="24"/>
          <w:szCs w:val="24"/>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p>
    <w:p>
      <w:pPr>
        <w:ind w:left="630"/>
        <w:jc w:val="left"/>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4、公益节目购买制作费绩效目标表2000万元</w:t>
      </w:r>
    </w:p>
    <w:p>
      <w:pPr>
        <w:pStyle w:val="2"/>
        <w:ind w:left="420" w:leftChars="200" w:firstLine="0" w:firstLineChars="0"/>
        <w:rPr>
          <w:rFonts w:hint="eastAsia" w:ascii="仿宋_GB2312" w:hAnsi="仿宋_GB2312" w:eastAsia="仿宋_GB2312" w:cs="仿宋_GB2312"/>
          <w:color w:val="auto"/>
        </w:rPr>
      </w:pPr>
    </w:p>
    <w:p>
      <w:pPr>
        <w:spacing w:line="14"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w:t>
      </w:r>
    </w:p>
    <w:tbl>
      <w:tblPr>
        <w:tblStyle w:val="7"/>
        <w:tblW w:w="974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0"/>
        <w:gridCol w:w="1260"/>
        <w:gridCol w:w="2046"/>
        <w:gridCol w:w="2182"/>
        <w:gridCol w:w="1325"/>
        <w:gridCol w:w="1185"/>
        <w:gridCol w:w="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51" w:hRule="atLeast"/>
          <w:tblHeader/>
          <w:jc w:val="center"/>
        </w:trPr>
        <w:tc>
          <w:tcPr>
            <w:tcW w:w="2310" w:type="dxa"/>
            <w:gridSpan w:val="2"/>
            <w:vAlign w:val="center"/>
          </w:tcPr>
          <w:p>
            <w:pPr>
              <w:spacing w:line="300" w:lineRule="exact"/>
              <w:jc w:val="center"/>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绩效目标</w:t>
            </w:r>
          </w:p>
        </w:tc>
        <w:tc>
          <w:tcPr>
            <w:tcW w:w="7438" w:type="dxa"/>
            <w:gridSpan w:val="5"/>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color w:val="auto"/>
                <w:sz w:val="24"/>
                <w:szCs w:val="24"/>
              </w:rPr>
              <w:t>围绕市委、市政府工作做好宣传，保证自制宣传片、自制新闻节目、外购节目等节目内容的制作和播出，将市政府重点政策进行专题报道，让政府工作宣传深入民心，对内助力实现美丽城市目标，对外提升石家庄城市知名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050"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 xml:space="preserve">          一级指标</w:t>
            </w:r>
          </w:p>
        </w:tc>
        <w:tc>
          <w:tcPr>
            <w:tcW w:w="1260"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二级指标</w:t>
            </w:r>
          </w:p>
        </w:tc>
        <w:tc>
          <w:tcPr>
            <w:tcW w:w="2046"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三级指标</w:t>
            </w:r>
          </w:p>
        </w:tc>
        <w:tc>
          <w:tcPr>
            <w:tcW w:w="2182" w:type="dxa"/>
            <w:vAlign w:val="center"/>
          </w:tcPr>
          <w:p>
            <w:pPr>
              <w:spacing w:line="300" w:lineRule="exact"/>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color w:val="auto"/>
                <w:sz w:val="24"/>
                <w:szCs w:val="24"/>
              </w:rPr>
              <w:t>绩效指标描述</w:t>
            </w:r>
          </w:p>
        </w:tc>
        <w:tc>
          <w:tcPr>
            <w:tcW w:w="1325" w:type="dxa"/>
            <w:vAlign w:val="center"/>
          </w:tcPr>
          <w:p>
            <w:pPr>
              <w:widowControl/>
              <w:jc w:val="center"/>
              <w:rPr>
                <w:rFonts w:hint="eastAsia" w:ascii="仿宋_GB2312" w:hAnsi="仿宋_GB2312" w:eastAsia="仿宋_GB2312" w:cs="仿宋_GB2312"/>
                <w:b/>
                <w:color w:val="auto"/>
                <w:sz w:val="24"/>
                <w:szCs w:val="24"/>
              </w:rPr>
            </w:pPr>
            <w:r>
              <w:rPr>
                <w:rFonts w:hint="eastAsia" w:ascii="仿宋_GB2312" w:hAnsi="仿宋_GB2312" w:eastAsia="仿宋_GB2312" w:cs="仿宋_GB2312"/>
                <w:b/>
                <w:bCs/>
                <w:color w:val="auto"/>
                <w:kern w:val="0"/>
                <w:sz w:val="24"/>
                <w:szCs w:val="24"/>
                <w:lang w:eastAsia="zh-CN"/>
              </w:rPr>
              <w:t>指标值</w:t>
            </w:r>
          </w:p>
        </w:tc>
        <w:tc>
          <w:tcPr>
            <w:tcW w:w="1185" w:type="dxa"/>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实际完成值</w:t>
            </w:r>
          </w:p>
        </w:tc>
        <w:tc>
          <w:tcPr>
            <w:tcW w:w="700" w:type="dxa"/>
            <w:vAlign w:val="center"/>
          </w:tcPr>
          <w:p>
            <w:pPr>
              <w:spacing w:line="300" w:lineRule="exact"/>
              <w:rPr>
                <w:rFonts w:hint="eastAsia" w:ascii="仿宋_GB2312" w:hAnsi="仿宋_GB2312" w:eastAsia="仿宋_GB2312" w:cs="仿宋_GB2312"/>
                <w:b/>
                <w:color w:val="auto"/>
                <w:sz w:val="24"/>
                <w:szCs w:val="24"/>
                <w:lang w:eastAsia="zh-CN"/>
              </w:rPr>
            </w:pPr>
            <w:r>
              <w:rPr>
                <w:rFonts w:hint="eastAsia" w:ascii="仿宋_GB2312" w:hAnsi="仿宋_GB2312" w:eastAsia="仿宋_GB2312" w:cs="仿宋_GB2312"/>
                <w:b/>
                <w:color w:val="auto"/>
                <w:sz w:val="24"/>
                <w:szCs w:val="24"/>
                <w:lang w:eastAsia="zh-CN"/>
              </w:rPr>
              <w:t>自评得分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jc w:val="center"/>
        </w:trPr>
        <w:tc>
          <w:tcPr>
            <w:tcW w:w="1050"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产出指标</w:t>
            </w:r>
          </w:p>
        </w:tc>
        <w:tc>
          <w:tcPr>
            <w:tcW w:w="126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数量指标</w:t>
            </w:r>
          </w:p>
        </w:tc>
        <w:tc>
          <w:tcPr>
            <w:tcW w:w="204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《石家庄新闻》《新闻882》</w:t>
            </w:r>
          </w:p>
        </w:tc>
        <w:tc>
          <w:tcPr>
            <w:tcW w:w="218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播出时间</w:t>
            </w:r>
          </w:p>
        </w:tc>
        <w:tc>
          <w:tcPr>
            <w:tcW w:w="132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36500分钟</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6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质量指标</w:t>
            </w:r>
          </w:p>
        </w:tc>
        <w:tc>
          <w:tcPr>
            <w:tcW w:w="2046"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媒体播出满意度</w:t>
            </w:r>
          </w:p>
        </w:tc>
        <w:tc>
          <w:tcPr>
            <w:tcW w:w="218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按照要求达到标准，符合标准</w:t>
            </w:r>
          </w:p>
        </w:tc>
        <w:tc>
          <w:tcPr>
            <w:tcW w:w="132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6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时效指标</w:t>
            </w:r>
          </w:p>
        </w:tc>
        <w:tc>
          <w:tcPr>
            <w:tcW w:w="2046"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资金拨付情况</w:t>
            </w:r>
          </w:p>
        </w:tc>
        <w:tc>
          <w:tcPr>
            <w:tcW w:w="2182"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及时拨付率</w:t>
            </w:r>
          </w:p>
        </w:tc>
        <w:tc>
          <w:tcPr>
            <w:tcW w:w="132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6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成本指标</w:t>
            </w:r>
          </w:p>
        </w:tc>
        <w:tc>
          <w:tcPr>
            <w:tcW w:w="204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软硬件成本、人力成本</w:t>
            </w:r>
          </w:p>
        </w:tc>
        <w:tc>
          <w:tcPr>
            <w:tcW w:w="218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控制在预算成本范围内</w:t>
            </w:r>
          </w:p>
        </w:tc>
        <w:tc>
          <w:tcPr>
            <w:tcW w:w="132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2000万元</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Align w:val="center"/>
          </w:tcPr>
          <w:p>
            <w:pPr>
              <w:spacing w:line="300" w:lineRule="exact"/>
              <w:jc w:val="center"/>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预算执行率指标</w:t>
            </w:r>
          </w:p>
        </w:tc>
        <w:tc>
          <w:tcPr>
            <w:tcW w:w="1260"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w:t>
            </w:r>
          </w:p>
        </w:tc>
        <w:tc>
          <w:tcPr>
            <w:tcW w:w="2046"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按执行进度支付</w:t>
            </w:r>
          </w:p>
        </w:tc>
        <w:tc>
          <w:tcPr>
            <w:tcW w:w="2182"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按合同进度执行</w:t>
            </w:r>
          </w:p>
        </w:tc>
        <w:tc>
          <w:tcPr>
            <w:tcW w:w="132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正常支付</w:t>
            </w:r>
          </w:p>
        </w:tc>
        <w:tc>
          <w:tcPr>
            <w:tcW w:w="118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restart"/>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效益指标</w:t>
            </w:r>
          </w:p>
        </w:tc>
        <w:tc>
          <w:tcPr>
            <w:tcW w:w="1260"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rPr>
              <w:t>社会效益指标</w:t>
            </w:r>
          </w:p>
        </w:tc>
        <w:tc>
          <w:tcPr>
            <w:tcW w:w="204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实现良好宣传效果，提升市民对市委市政府重点工作关注和支持；</w:t>
            </w:r>
          </w:p>
        </w:tc>
        <w:tc>
          <w:tcPr>
            <w:tcW w:w="218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借助多种平台传播石家庄正能量，好声音提升城市外宣美誉度</w:t>
            </w:r>
          </w:p>
        </w:tc>
        <w:tc>
          <w:tcPr>
            <w:tcW w:w="1325"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进一步提升我市形象和美誉度</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6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eastAsia="zh-CN"/>
              </w:rPr>
              <w:t>生态</w:t>
            </w:r>
            <w:r>
              <w:rPr>
                <w:rFonts w:hint="eastAsia" w:ascii="仿宋_GB2312" w:hAnsi="仿宋_GB2312" w:eastAsia="仿宋_GB2312" w:cs="仿宋_GB2312"/>
                <w:color w:val="auto"/>
                <w:sz w:val="24"/>
                <w:szCs w:val="24"/>
              </w:rPr>
              <w:t>效益指标</w:t>
            </w:r>
          </w:p>
        </w:tc>
        <w:tc>
          <w:tcPr>
            <w:tcW w:w="204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sz w:val="24"/>
                <w:szCs w:val="24"/>
              </w:rPr>
              <w:t>助力打造让本地人自豪、外地人向往的魅力之城，</w:t>
            </w:r>
          </w:p>
        </w:tc>
        <w:tc>
          <w:tcPr>
            <w:tcW w:w="218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凝聚城市向心力和吸引力</w:t>
            </w:r>
          </w:p>
        </w:tc>
        <w:tc>
          <w:tcPr>
            <w:tcW w:w="132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形成城市宣传的良好氛围</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hint="eastAsia" w:ascii="仿宋_GB2312" w:hAnsi="仿宋_GB2312" w:eastAsia="仿宋_GB2312" w:cs="仿宋_GB2312"/>
                <w:color w:val="auto"/>
                <w:sz w:val="24"/>
                <w:szCs w:val="24"/>
              </w:rPr>
            </w:pPr>
          </w:p>
        </w:tc>
        <w:tc>
          <w:tcPr>
            <w:tcW w:w="1260" w:type="dxa"/>
            <w:vAlign w:val="center"/>
          </w:tcPr>
          <w:p>
            <w:pPr>
              <w:spacing w:line="300" w:lineRule="exact"/>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可持续影响指标</w:t>
            </w:r>
          </w:p>
        </w:tc>
        <w:tc>
          <w:tcPr>
            <w:tcW w:w="204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记录城市更新变化过程，留存城市变迁影像档案</w:t>
            </w:r>
          </w:p>
        </w:tc>
        <w:tc>
          <w:tcPr>
            <w:tcW w:w="218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全媒体平台发布，形成持续的传播力、影响力</w:t>
            </w:r>
          </w:p>
        </w:tc>
        <w:tc>
          <w:tcPr>
            <w:tcW w:w="1325"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精品视频留存</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Align w:val="center"/>
          </w:tcPr>
          <w:p>
            <w:pPr>
              <w:spacing w:line="300" w:lineRule="exact"/>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          满意度指标</w:t>
            </w:r>
          </w:p>
        </w:tc>
        <w:tc>
          <w:tcPr>
            <w:tcW w:w="1260"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服务对象满意度指标</w:t>
            </w:r>
          </w:p>
        </w:tc>
        <w:tc>
          <w:tcPr>
            <w:tcW w:w="2046"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客户满意度</w:t>
            </w:r>
          </w:p>
        </w:tc>
        <w:tc>
          <w:tcPr>
            <w:tcW w:w="2182"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非常满意</w:t>
            </w:r>
          </w:p>
        </w:tc>
        <w:tc>
          <w:tcPr>
            <w:tcW w:w="1325" w:type="dxa"/>
            <w:vAlign w:val="center"/>
          </w:tcPr>
          <w:p>
            <w:pPr>
              <w:spacing w:line="300" w:lineRule="exact"/>
              <w:jc w:val="left"/>
              <w:rPr>
                <w:rFonts w:hint="default" w:ascii="仿宋_GB2312" w:hAnsi="仿宋_GB2312" w:eastAsia="仿宋_GB2312" w:cs="仿宋_GB2312"/>
                <w:color w:val="auto"/>
                <w:sz w:val="24"/>
                <w:szCs w:val="24"/>
                <w:lang w:val="en-US"/>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118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52" w:hRule="atLeast"/>
          <w:jc w:val="center"/>
        </w:trPr>
        <w:tc>
          <w:tcPr>
            <w:tcW w:w="9048" w:type="dxa"/>
            <w:gridSpan w:val="6"/>
            <w:vAlign w:val="center"/>
          </w:tcPr>
          <w:p>
            <w:pPr>
              <w:spacing w:line="300" w:lineRule="exact"/>
              <w:jc w:val="center"/>
              <w:rPr>
                <w:rFonts w:hint="eastAsia" w:eastAsia="宋体"/>
                <w:lang w:eastAsia="zh-CN"/>
              </w:rPr>
            </w:pPr>
            <w:r>
              <w:rPr>
                <w:rFonts w:hint="eastAsia"/>
                <w:lang w:eastAsia="zh-CN"/>
              </w:rPr>
              <w:t>总</w:t>
            </w:r>
            <w:r>
              <w:rPr>
                <w:rFonts w:hint="eastAsia"/>
                <w:lang w:val="en-US" w:eastAsia="zh-CN"/>
              </w:rPr>
              <w:t xml:space="preserve">                  </w:t>
            </w:r>
            <w:r>
              <w:rPr>
                <w:rFonts w:hint="eastAsia"/>
                <w:lang w:eastAsia="zh-CN"/>
              </w:rPr>
              <w:t>分</w:t>
            </w:r>
          </w:p>
          <w:p>
            <w:pPr>
              <w:pStyle w:val="2"/>
              <w:rPr>
                <w:rFonts w:hint="eastAsia"/>
              </w:rPr>
            </w:pPr>
          </w:p>
        </w:tc>
        <w:tc>
          <w:tcPr>
            <w:tcW w:w="700"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r>
    </w:tbl>
    <w:p>
      <w:pPr>
        <w:spacing w:line="300" w:lineRule="exact"/>
        <w:jc w:val="left"/>
        <w:rPr>
          <w:rFonts w:hint="eastAsia" w:ascii="仿宋_GB2312" w:hAnsi="仿宋_GB2312" w:eastAsia="仿宋_GB2312" w:cs="仿宋_GB2312"/>
          <w:color w:val="auto"/>
          <w:sz w:val="24"/>
          <w:szCs w:val="24"/>
        </w:rPr>
      </w:pPr>
    </w:p>
    <w:p>
      <w:pPr>
        <w:pStyle w:val="2"/>
        <w:ind w:firstLine="480"/>
        <w:rPr>
          <w:rFonts w:hint="eastAsia" w:ascii="仿宋_GB2312" w:hAnsi="仿宋_GB2312" w:eastAsia="仿宋_GB2312" w:cs="仿宋_GB2312"/>
          <w:color w:val="auto"/>
          <w:sz w:val="24"/>
          <w:szCs w:val="24"/>
        </w:rPr>
      </w:pPr>
    </w:p>
    <w:p>
      <w:pPr>
        <w:pStyle w:val="2"/>
        <w:ind w:firstLine="0" w:firstLineChars="0"/>
        <w:rPr>
          <w:rFonts w:hint="eastAsia" w:ascii="仿宋_GB2312" w:hAnsi="仿宋_GB2312" w:eastAsia="仿宋_GB2312" w:cs="仿宋_GB2312"/>
          <w:b/>
          <w:bCs/>
          <w:color w:val="auto"/>
          <w:sz w:val="32"/>
          <w:szCs w:val="32"/>
        </w:rPr>
      </w:pPr>
    </w:p>
    <w:p>
      <w:pPr>
        <w:pStyle w:val="2"/>
        <w:ind w:firstLine="0" w:firstLineChars="0"/>
        <w:rPr>
          <w:rFonts w:hint="eastAsia" w:ascii="仿宋_GB2312" w:hAnsi="仿宋_GB2312" w:eastAsia="仿宋_GB2312" w:cs="仿宋_GB2312"/>
          <w:b/>
          <w:bCs/>
          <w:color w:val="auto"/>
          <w:sz w:val="32"/>
          <w:szCs w:val="32"/>
        </w:rPr>
      </w:pPr>
    </w:p>
    <w:p>
      <w:pPr>
        <w:pStyle w:val="2"/>
        <w:ind w:firstLine="0" w:firstLineChars="0"/>
        <w:rPr>
          <w:rFonts w:hint="eastAsia" w:ascii="仿宋_GB2312" w:hAnsi="仿宋_GB2312" w:eastAsia="仿宋_GB2312" w:cs="仿宋_GB2312"/>
          <w:b/>
          <w:bCs/>
          <w:color w:val="auto"/>
          <w:sz w:val="32"/>
          <w:szCs w:val="32"/>
        </w:rPr>
      </w:pPr>
    </w:p>
    <w:p>
      <w:pPr>
        <w:pStyle w:val="2"/>
        <w:ind w:firstLine="0" w:firstLineChars="0"/>
        <w:rPr>
          <w:rFonts w:hint="eastAsia" w:ascii="仿宋_GB2312" w:hAnsi="仿宋_GB2312" w:eastAsia="仿宋_GB2312" w:cs="仿宋_GB2312"/>
          <w:b/>
          <w:bCs/>
          <w:color w:val="auto"/>
          <w:sz w:val="32"/>
          <w:szCs w:val="32"/>
        </w:rPr>
      </w:pPr>
    </w:p>
    <w:p>
      <w:pPr>
        <w:pStyle w:val="2"/>
        <w:ind w:firstLine="0" w:firstLineChars="0"/>
        <w:rPr>
          <w:rFonts w:hint="eastAsia" w:ascii="仿宋_GB2312" w:hAnsi="仿宋_GB2312" w:eastAsia="仿宋_GB2312" w:cs="仿宋_GB2312"/>
          <w:b/>
          <w:bCs/>
          <w:color w:val="auto"/>
          <w:sz w:val="32"/>
          <w:szCs w:val="32"/>
        </w:rPr>
      </w:pPr>
    </w:p>
    <w:p>
      <w:pPr>
        <w:pStyle w:val="2"/>
        <w:ind w:firstLine="0" w:firstLineChars="0"/>
        <w:rPr>
          <w:rFonts w:hint="eastAsia" w:ascii="仿宋_GB2312" w:hAnsi="仿宋_GB2312" w:eastAsia="仿宋_GB2312" w:cs="仿宋_GB2312"/>
          <w:b/>
          <w:bCs/>
          <w:color w:val="auto"/>
          <w:sz w:val="32"/>
          <w:szCs w:val="32"/>
        </w:rPr>
      </w:pPr>
      <w:r>
        <w:rPr>
          <w:rFonts w:hint="eastAsia" w:ascii="仿宋_GB2312" w:hAnsi="仿宋_GB2312" w:eastAsia="仿宋_GB2312" w:cs="仿宋_GB2312"/>
          <w:b/>
          <w:bCs/>
          <w:color w:val="auto"/>
          <w:sz w:val="32"/>
          <w:szCs w:val="32"/>
        </w:rPr>
        <w:t>5、石家庄中波台12万元</w:t>
      </w:r>
    </w:p>
    <w:p>
      <w:pPr>
        <w:pStyle w:val="2"/>
        <w:ind w:firstLine="0" w:firstLineChars="0"/>
        <w:rPr>
          <w:rFonts w:hint="eastAsia" w:ascii="仿宋_GB2312" w:hAnsi="仿宋_GB2312" w:eastAsia="仿宋_GB2312" w:cs="仿宋_GB2312"/>
          <w:b/>
          <w:bCs/>
          <w:color w:val="auto"/>
          <w:sz w:val="32"/>
          <w:szCs w:val="32"/>
        </w:rPr>
      </w:pPr>
    </w:p>
    <w:p>
      <w:pPr>
        <w:pStyle w:val="12"/>
        <w:spacing w:line="2" w:lineRule="exact"/>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 xml:space="preserve"> </w:t>
      </w:r>
    </w:p>
    <w:tbl>
      <w:tblPr>
        <w:tblStyle w:val="7"/>
        <w:tblW w:w="94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4"/>
        <w:gridCol w:w="1650"/>
        <w:gridCol w:w="1532"/>
        <w:gridCol w:w="2014"/>
        <w:gridCol w:w="1596"/>
        <w:gridCol w:w="1044"/>
        <w:gridCol w:w="7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26" w:hRule="atLeast"/>
          <w:tblHeader/>
          <w:jc w:val="center"/>
        </w:trPr>
        <w:tc>
          <w:tcPr>
            <w:tcW w:w="2554" w:type="dxa"/>
            <w:gridSpan w:val="2"/>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绩效目标</w:t>
            </w:r>
          </w:p>
        </w:tc>
        <w:tc>
          <w:tcPr>
            <w:tcW w:w="6934" w:type="dxa"/>
            <w:gridSpan w:val="5"/>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1.设备功能得到进一步完善</w:t>
            </w:r>
          </w:p>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2.系统整体安全性得到进一步提高</w:t>
            </w:r>
          </w:p>
          <w:p>
            <w:pPr>
              <w:pStyle w:val="10"/>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b w:val="0"/>
                <w:bCs/>
                <w:color w:val="auto"/>
                <w:sz w:val="24"/>
                <w:szCs w:val="24"/>
              </w:rPr>
              <w:t xml:space="preserve">3.机房维护维修更换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4"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一级指标</w:t>
            </w:r>
          </w:p>
        </w:tc>
        <w:tc>
          <w:tcPr>
            <w:tcW w:w="1650"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二级指标</w:t>
            </w:r>
          </w:p>
        </w:tc>
        <w:tc>
          <w:tcPr>
            <w:tcW w:w="1532"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三级指标</w:t>
            </w:r>
          </w:p>
        </w:tc>
        <w:tc>
          <w:tcPr>
            <w:tcW w:w="2014"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绩效指标描述</w:t>
            </w:r>
          </w:p>
        </w:tc>
        <w:tc>
          <w:tcPr>
            <w:tcW w:w="1596" w:type="dxa"/>
            <w:vAlign w:val="center"/>
          </w:tcPr>
          <w:p>
            <w:pPr>
              <w:widowControl/>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b/>
                <w:bCs/>
                <w:color w:val="auto"/>
                <w:kern w:val="0"/>
                <w:sz w:val="24"/>
                <w:szCs w:val="24"/>
                <w:lang w:eastAsia="zh-CN"/>
              </w:rPr>
              <w:t>指标值</w:t>
            </w:r>
          </w:p>
        </w:tc>
        <w:tc>
          <w:tcPr>
            <w:tcW w:w="1044" w:type="dxa"/>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实际完成值</w:t>
            </w:r>
          </w:p>
        </w:tc>
        <w:tc>
          <w:tcPr>
            <w:tcW w:w="748" w:type="dxa"/>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自评得分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684" w:hRule="atLeast"/>
          <w:jc w:val="center"/>
        </w:trPr>
        <w:tc>
          <w:tcPr>
            <w:tcW w:w="904" w:type="dxa"/>
            <w:vMerge w:val="restart"/>
            <w:vAlign w:val="center"/>
          </w:tcPr>
          <w:p>
            <w:pPr>
              <w:pStyle w:val="13"/>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产出指标</w:t>
            </w:r>
          </w:p>
        </w:tc>
        <w:tc>
          <w:tcPr>
            <w:tcW w:w="1650"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数量指标</w:t>
            </w:r>
          </w:p>
        </w:tc>
        <w:tc>
          <w:tcPr>
            <w:tcW w:w="1532"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运行机器数量</w:t>
            </w:r>
          </w:p>
        </w:tc>
        <w:tc>
          <w:tcPr>
            <w:tcW w:w="201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6套发射设备</w:t>
            </w:r>
          </w:p>
        </w:tc>
        <w:tc>
          <w:tcPr>
            <w:tcW w:w="159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val="en-US" w:eastAsia="zh-CN"/>
              </w:rPr>
              <w:t>6套</w:t>
            </w:r>
          </w:p>
        </w:tc>
        <w:tc>
          <w:tcPr>
            <w:tcW w:w="1044"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 xml:space="preserve">10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2"/>
              <w:rPr>
                <w:rFonts w:hint="eastAsia" w:ascii="仿宋_GB2312" w:hAnsi="仿宋_GB2312" w:eastAsia="仿宋_GB2312" w:cs="仿宋_GB2312"/>
                <w:color w:val="auto"/>
              </w:rPr>
            </w:pPr>
          </w:p>
        </w:tc>
        <w:tc>
          <w:tcPr>
            <w:tcW w:w="1650"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质量指标</w:t>
            </w:r>
          </w:p>
        </w:tc>
        <w:tc>
          <w:tcPr>
            <w:tcW w:w="1532"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发射机播出情况</w:t>
            </w:r>
          </w:p>
        </w:tc>
        <w:tc>
          <w:tcPr>
            <w:tcW w:w="201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发射机满功率、满时间、满调制度播出率（%）</w:t>
            </w:r>
          </w:p>
        </w:tc>
        <w:tc>
          <w:tcPr>
            <w:tcW w:w="159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满功率</w:t>
            </w:r>
          </w:p>
        </w:tc>
        <w:tc>
          <w:tcPr>
            <w:tcW w:w="1044"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2"/>
              <w:rPr>
                <w:rFonts w:hint="eastAsia" w:ascii="仿宋_GB2312" w:hAnsi="仿宋_GB2312" w:eastAsia="仿宋_GB2312" w:cs="仿宋_GB2312"/>
                <w:color w:val="auto"/>
              </w:rPr>
            </w:pPr>
          </w:p>
        </w:tc>
        <w:tc>
          <w:tcPr>
            <w:tcW w:w="1650"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时效指标</w:t>
            </w:r>
          </w:p>
        </w:tc>
        <w:tc>
          <w:tcPr>
            <w:tcW w:w="1532"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项目资金到位率</w:t>
            </w:r>
          </w:p>
        </w:tc>
        <w:tc>
          <w:tcPr>
            <w:tcW w:w="2014"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一年内完成</w:t>
            </w:r>
          </w:p>
        </w:tc>
        <w:tc>
          <w:tcPr>
            <w:tcW w:w="159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及时到位</w:t>
            </w:r>
          </w:p>
        </w:tc>
        <w:tc>
          <w:tcPr>
            <w:tcW w:w="1044"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904" w:type="dxa"/>
            <w:vMerge w:val="continue"/>
            <w:vAlign w:val="center"/>
          </w:tcPr>
          <w:p>
            <w:pPr>
              <w:pStyle w:val="12"/>
              <w:rPr>
                <w:rFonts w:hint="eastAsia" w:ascii="仿宋_GB2312" w:hAnsi="仿宋_GB2312" w:eastAsia="仿宋_GB2312" w:cs="仿宋_GB2312"/>
                <w:color w:val="auto"/>
              </w:rPr>
            </w:pPr>
          </w:p>
        </w:tc>
        <w:tc>
          <w:tcPr>
            <w:tcW w:w="1650"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成本指标</w:t>
            </w:r>
          </w:p>
        </w:tc>
        <w:tc>
          <w:tcPr>
            <w:tcW w:w="153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eastAsia="zh-CN"/>
              </w:rPr>
              <w:t>预算成本</w:t>
            </w:r>
            <w:r>
              <w:rPr>
                <w:rFonts w:hint="eastAsia" w:ascii="仿宋_GB2312" w:hAnsi="仿宋_GB2312" w:eastAsia="仿宋_GB2312" w:cs="仿宋_GB2312"/>
                <w:color w:val="auto"/>
                <w:sz w:val="24"/>
                <w:szCs w:val="24"/>
                <w:lang w:val="en-US" w:eastAsia="zh-CN"/>
              </w:rPr>
              <w:t xml:space="preserve"> </w:t>
            </w:r>
          </w:p>
        </w:tc>
        <w:tc>
          <w:tcPr>
            <w:tcW w:w="201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预算内</w:t>
            </w:r>
          </w:p>
        </w:tc>
        <w:tc>
          <w:tcPr>
            <w:tcW w:w="1596"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12万元</w:t>
            </w:r>
          </w:p>
        </w:tc>
        <w:tc>
          <w:tcPr>
            <w:tcW w:w="104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Align w:val="center"/>
          </w:tcPr>
          <w:p>
            <w:pPr>
              <w:spacing w:line="300" w:lineRule="exact"/>
              <w:jc w:val="center"/>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预算执行率指标</w:t>
            </w:r>
          </w:p>
        </w:tc>
        <w:tc>
          <w:tcPr>
            <w:tcW w:w="1650"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w:t>
            </w:r>
          </w:p>
        </w:tc>
        <w:tc>
          <w:tcPr>
            <w:tcW w:w="1532"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按执行进度支付</w:t>
            </w:r>
          </w:p>
        </w:tc>
        <w:tc>
          <w:tcPr>
            <w:tcW w:w="2014"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按合同进度执行</w:t>
            </w:r>
          </w:p>
        </w:tc>
        <w:tc>
          <w:tcPr>
            <w:tcW w:w="1596"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正常支付</w:t>
            </w:r>
          </w:p>
        </w:tc>
        <w:tc>
          <w:tcPr>
            <w:tcW w:w="1044"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48"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restart"/>
            <w:vAlign w:val="center"/>
          </w:tcPr>
          <w:p>
            <w:pPr>
              <w:pStyle w:val="12"/>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lang w:eastAsia="zh-CN"/>
              </w:rPr>
              <w:t>绩效指标</w:t>
            </w:r>
          </w:p>
        </w:tc>
        <w:tc>
          <w:tcPr>
            <w:tcW w:w="1650"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社会效益指标</w:t>
            </w:r>
          </w:p>
        </w:tc>
        <w:tc>
          <w:tcPr>
            <w:tcW w:w="1532"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广播频率信号有效覆盖</w:t>
            </w:r>
          </w:p>
        </w:tc>
        <w:tc>
          <w:tcPr>
            <w:tcW w:w="2014"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有效覆盖率</w:t>
            </w:r>
          </w:p>
        </w:tc>
        <w:tc>
          <w:tcPr>
            <w:tcW w:w="1596"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104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2"/>
              <w:rPr>
                <w:rFonts w:hint="eastAsia" w:ascii="仿宋_GB2312" w:hAnsi="仿宋_GB2312" w:eastAsia="仿宋_GB2312" w:cs="仿宋_GB2312"/>
                <w:color w:val="auto"/>
              </w:rPr>
            </w:pPr>
          </w:p>
        </w:tc>
        <w:tc>
          <w:tcPr>
            <w:tcW w:w="1650"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可持续影响指标</w:t>
            </w:r>
          </w:p>
        </w:tc>
        <w:tc>
          <w:tcPr>
            <w:tcW w:w="1532"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确保运行</w:t>
            </w:r>
          </w:p>
        </w:tc>
        <w:tc>
          <w:tcPr>
            <w:tcW w:w="2014"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确保运行，定期对各系统进行预防性日常维护</w:t>
            </w:r>
          </w:p>
        </w:tc>
        <w:tc>
          <w:tcPr>
            <w:tcW w:w="159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正常运行</w:t>
            </w:r>
          </w:p>
        </w:tc>
        <w:tc>
          <w:tcPr>
            <w:tcW w:w="104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Align w:val="center"/>
          </w:tcPr>
          <w:p>
            <w:pPr>
              <w:pStyle w:val="13"/>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满意度指标</w:t>
            </w:r>
          </w:p>
        </w:tc>
        <w:tc>
          <w:tcPr>
            <w:tcW w:w="1650"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服务对象满意度指标</w:t>
            </w:r>
          </w:p>
        </w:tc>
        <w:tc>
          <w:tcPr>
            <w:tcW w:w="1532"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满意率</w:t>
            </w:r>
          </w:p>
        </w:tc>
        <w:tc>
          <w:tcPr>
            <w:tcW w:w="201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因广播节目信号不佳造成的听众投诉率</w:t>
            </w:r>
          </w:p>
        </w:tc>
        <w:tc>
          <w:tcPr>
            <w:tcW w:w="1596"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10%</w:t>
            </w:r>
          </w:p>
        </w:tc>
        <w:tc>
          <w:tcPr>
            <w:tcW w:w="1044"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jc w:val="center"/>
        </w:trPr>
        <w:tc>
          <w:tcPr>
            <w:tcW w:w="8740" w:type="dxa"/>
            <w:gridSpan w:val="6"/>
            <w:vAlign w:val="center"/>
          </w:tcPr>
          <w:p>
            <w:pPr>
              <w:pStyle w:val="11"/>
              <w:jc w:val="center"/>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总</w:t>
            </w:r>
            <w:r>
              <w:rPr>
                <w:rFonts w:hint="eastAsia" w:ascii="仿宋_GB2312" w:hAnsi="仿宋_GB2312" w:eastAsia="仿宋_GB2312" w:cs="仿宋_GB2312"/>
                <w:color w:val="auto"/>
                <w:sz w:val="24"/>
                <w:szCs w:val="24"/>
                <w:lang w:val="en-US" w:eastAsia="zh-CN"/>
              </w:rPr>
              <w:t xml:space="preserve">              </w:t>
            </w:r>
            <w:r>
              <w:rPr>
                <w:rFonts w:hint="eastAsia" w:ascii="仿宋_GB2312" w:hAnsi="仿宋_GB2312" w:eastAsia="仿宋_GB2312" w:cs="仿宋_GB2312"/>
                <w:color w:val="auto"/>
                <w:sz w:val="24"/>
                <w:szCs w:val="24"/>
                <w:lang w:eastAsia="zh-CN"/>
              </w:rPr>
              <w:t>分</w:t>
            </w:r>
          </w:p>
        </w:tc>
        <w:tc>
          <w:tcPr>
            <w:tcW w:w="748"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r>
    </w:tbl>
    <w:p>
      <w:pPr>
        <w:pStyle w:val="12"/>
        <w:ind w:firstLine="643" w:firstLineChars="200"/>
        <w:rPr>
          <w:rFonts w:hint="eastAsia" w:ascii="仿宋_GB2312" w:hAnsi="仿宋_GB2312" w:eastAsia="仿宋_GB2312" w:cs="仿宋_GB2312"/>
          <w:b/>
          <w:color w:val="auto"/>
          <w:sz w:val="32"/>
          <w:szCs w:val="32"/>
          <w:lang w:eastAsia="zh-CN"/>
        </w:rPr>
      </w:pPr>
    </w:p>
    <w:p>
      <w:pPr>
        <w:pStyle w:val="12"/>
        <w:ind w:firstLine="643" w:firstLineChars="200"/>
        <w:rPr>
          <w:rFonts w:hint="eastAsia" w:ascii="仿宋_GB2312" w:hAnsi="仿宋_GB2312" w:eastAsia="仿宋_GB2312" w:cs="仿宋_GB2312"/>
          <w:b/>
          <w:color w:val="auto"/>
          <w:sz w:val="32"/>
          <w:szCs w:val="32"/>
          <w:lang w:eastAsia="zh-CN"/>
        </w:rPr>
      </w:pPr>
    </w:p>
    <w:p>
      <w:pPr>
        <w:pStyle w:val="12"/>
        <w:ind w:firstLine="643" w:firstLineChars="200"/>
        <w:rPr>
          <w:rFonts w:hint="eastAsia" w:ascii="仿宋_GB2312" w:hAnsi="仿宋_GB2312" w:eastAsia="仿宋_GB2312" w:cs="仿宋_GB2312"/>
          <w:b/>
          <w:color w:val="auto"/>
          <w:sz w:val="32"/>
          <w:szCs w:val="32"/>
          <w:lang w:eastAsia="zh-CN"/>
        </w:rPr>
      </w:pPr>
    </w:p>
    <w:p>
      <w:pPr>
        <w:pStyle w:val="12"/>
        <w:ind w:firstLine="643" w:firstLineChars="200"/>
        <w:rPr>
          <w:rFonts w:hint="eastAsia" w:ascii="仿宋_GB2312" w:hAnsi="仿宋_GB2312" w:eastAsia="仿宋_GB2312" w:cs="仿宋_GB2312"/>
          <w:b/>
          <w:color w:val="auto"/>
          <w:sz w:val="32"/>
          <w:szCs w:val="32"/>
          <w:lang w:eastAsia="zh-CN"/>
        </w:rPr>
      </w:pPr>
    </w:p>
    <w:p>
      <w:pPr>
        <w:pStyle w:val="12"/>
        <w:ind w:firstLine="643" w:firstLineChars="200"/>
        <w:rPr>
          <w:rFonts w:hint="eastAsia" w:ascii="仿宋_GB2312" w:hAnsi="仿宋_GB2312" w:eastAsia="仿宋_GB2312" w:cs="仿宋_GB2312"/>
          <w:b/>
          <w:color w:val="auto"/>
          <w:sz w:val="32"/>
          <w:szCs w:val="32"/>
          <w:lang w:eastAsia="zh-CN"/>
        </w:rPr>
      </w:pPr>
      <w:r>
        <w:rPr>
          <w:rFonts w:hint="eastAsia" w:ascii="仿宋_GB2312" w:hAnsi="仿宋_GB2312" w:eastAsia="仿宋_GB2312" w:cs="仿宋_GB2312"/>
          <w:b/>
          <w:color w:val="auto"/>
          <w:sz w:val="32"/>
          <w:szCs w:val="32"/>
          <w:lang w:eastAsia="zh-CN"/>
        </w:rPr>
        <w:t>6、专项</w:t>
      </w:r>
      <w:r>
        <w:rPr>
          <w:rFonts w:hint="eastAsia" w:ascii="仿宋_GB2312" w:hAnsi="仿宋_GB2312" w:eastAsia="仿宋_GB2312" w:cs="仿宋_GB2312"/>
          <w:b/>
          <w:color w:val="auto"/>
          <w:sz w:val="32"/>
          <w:szCs w:val="32"/>
        </w:rPr>
        <w:t>债券付息绩效目标表</w:t>
      </w:r>
      <w:r>
        <w:rPr>
          <w:rFonts w:hint="eastAsia" w:ascii="仿宋_GB2312" w:hAnsi="仿宋_GB2312" w:eastAsia="仿宋_GB2312" w:cs="仿宋_GB2312"/>
          <w:b/>
          <w:color w:val="auto"/>
          <w:sz w:val="32"/>
          <w:szCs w:val="32"/>
          <w:lang w:eastAsia="zh-CN"/>
        </w:rPr>
        <w:t>136.8万元</w:t>
      </w:r>
    </w:p>
    <w:p>
      <w:pPr>
        <w:pStyle w:val="12"/>
        <w:ind w:left="420" w:leftChars="200"/>
        <w:rPr>
          <w:rFonts w:hint="eastAsia" w:ascii="仿宋_GB2312" w:hAnsi="仿宋_GB2312" w:eastAsia="仿宋_GB2312" w:cs="仿宋_GB2312"/>
          <w:b/>
          <w:color w:val="auto"/>
        </w:rPr>
      </w:pPr>
    </w:p>
    <w:p>
      <w:pPr>
        <w:pStyle w:val="12"/>
        <w:spacing w:line="2" w:lineRule="exact"/>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 xml:space="preserve"> </w:t>
      </w:r>
    </w:p>
    <w:tbl>
      <w:tblPr>
        <w:tblStyle w:val="7"/>
        <w:tblW w:w="87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1521"/>
        <w:gridCol w:w="1565"/>
        <w:gridCol w:w="1565"/>
        <w:gridCol w:w="1137"/>
        <w:gridCol w:w="1185"/>
        <w:gridCol w:w="9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8" w:hRule="atLeast"/>
          <w:tblHeader/>
          <w:jc w:val="center"/>
        </w:trPr>
        <w:tc>
          <w:tcPr>
            <w:tcW w:w="2364" w:type="dxa"/>
            <w:gridSpan w:val="2"/>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绩效目标</w:t>
            </w:r>
          </w:p>
        </w:tc>
        <w:tc>
          <w:tcPr>
            <w:tcW w:w="6361" w:type="dxa"/>
            <w:gridSpan w:val="5"/>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1.支付债券利息 提高资金的综合收益</w:t>
            </w:r>
          </w:p>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2.保证电视台的正常运转</w:t>
            </w:r>
          </w:p>
          <w:p>
            <w:pPr>
              <w:pStyle w:val="10"/>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b w:val="0"/>
                <w:bCs/>
                <w:color w:val="auto"/>
                <w:sz w:val="24"/>
                <w:szCs w:val="24"/>
              </w:rPr>
              <w:t>3.对提升节目质量 ，更好的围绕市委市政府重点工作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843"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一级指标</w:t>
            </w:r>
          </w:p>
        </w:tc>
        <w:tc>
          <w:tcPr>
            <w:tcW w:w="1521"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二级指标</w:t>
            </w:r>
          </w:p>
        </w:tc>
        <w:tc>
          <w:tcPr>
            <w:tcW w:w="1565"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三级指标</w:t>
            </w:r>
          </w:p>
        </w:tc>
        <w:tc>
          <w:tcPr>
            <w:tcW w:w="1565"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绩效指标描述</w:t>
            </w:r>
          </w:p>
        </w:tc>
        <w:tc>
          <w:tcPr>
            <w:tcW w:w="1137" w:type="dxa"/>
            <w:vAlign w:val="center"/>
          </w:tcPr>
          <w:p>
            <w:pPr>
              <w:widowControl/>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b/>
                <w:bCs/>
                <w:color w:val="auto"/>
                <w:kern w:val="0"/>
                <w:sz w:val="24"/>
                <w:szCs w:val="24"/>
                <w:lang w:eastAsia="zh-CN"/>
              </w:rPr>
              <w:t>指标值</w:t>
            </w:r>
          </w:p>
        </w:tc>
        <w:tc>
          <w:tcPr>
            <w:tcW w:w="1185" w:type="dxa"/>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实际完成值</w:t>
            </w:r>
          </w:p>
        </w:tc>
        <w:tc>
          <w:tcPr>
            <w:tcW w:w="909" w:type="dxa"/>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自评得分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843" w:type="dxa"/>
            <w:vMerge w:val="restart"/>
            <w:vAlign w:val="center"/>
          </w:tcPr>
          <w:p>
            <w:pPr>
              <w:pStyle w:val="13"/>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产出指标</w:t>
            </w: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数量指标</w:t>
            </w:r>
          </w:p>
        </w:tc>
        <w:tc>
          <w:tcPr>
            <w:tcW w:w="1565"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使用</w:t>
            </w:r>
            <w:r>
              <w:rPr>
                <w:rFonts w:hint="eastAsia" w:ascii="仿宋_GB2312" w:hAnsi="仿宋_GB2312" w:eastAsia="仿宋_GB2312" w:cs="仿宋_GB2312"/>
                <w:color w:val="auto"/>
                <w:sz w:val="24"/>
                <w:szCs w:val="24"/>
              </w:rPr>
              <w:t>债券4000万元</w:t>
            </w:r>
            <w:r>
              <w:rPr>
                <w:rFonts w:hint="eastAsia" w:ascii="仿宋_GB2312" w:hAnsi="仿宋_GB2312" w:eastAsia="仿宋_GB2312" w:cs="仿宋_GB2312"/>
                <w:color w:val="auto"/>
                <w:sz w:val="24"/>
                <w:szCs w:val="24"/>
                <w:lang w:eastAsia="zh-CN"/>
              </w:rPr>
              <w:t>利息</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 xml:space="preserve">使用专项债券的利息 </w:t>
            </w:r>
          </w:p>
        </w:tc>
        <w:tc>
          <w:tcPr>
            <w:tcW w:w="1137"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136.8万元</w:t>
            </w:r>
          </w:p>
        </w:tc>
        <w:tc>
          <w:tcPr>
            <w:tcW w:w="1185"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2"/>
              <w:rPr>
                <w:rFonts w:hint="eastAsia" w:ascii="仿宋_GB2312" w:hAnsi="仿宋_GB2312" w:eastAsia="仿宋_GB2312" w:cs="仿宋_GB2312"/>
                <w:color w:val="auto"/>
              </w:rPr>
            </w:pP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质量指标</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执行情况</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按规定时间偿还</w:t>
            </w:r>
          </w:p>
        </w:tc>
        <w:tc>
          <w:tcPr>
            <w:tcW w:w="1137"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8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2"/>
              <w:rPr>
                <w:rFonts w:hint="eastAsia" w:ascii="仿宋_GB2312" w:hAnsi="仿宋_GB2312" w:eastAsia="仿宋_GB2312" w:cs="仿宋_GB2312"/>
                <w:color w:val="auto"/>
              </w:rPr>
            </w:pP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时效指标</w:t>
            </w:r>
          </w:p>
        </w:tc>
        <w:tc>
          <w:tcPr>
            <w:tcW w:w="1565"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规定时间内支付</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一年以内</w:t>
            </w:r>
          </w:p>
        </w:tc>
        <w:tc>
          <w:tcPr>
            <w:tcW w:w="1137"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18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2"/>
              <w:rPr>
                <w:rFonts w:hint="eastAsia" w:ascii="仿宋_GB2312" w:hAnsi="仿宋_GB2312" w:eastAsia="仿宋_GB2312" w:cs="仿宋_GB2312"/>
                <w:color w:val="auto"/>
              </w:rPr>
            </w:pP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成本指标</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预算内</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预算</w:t>
            </w:r>
            <w:r>
              <w:rPr>
                <w:rFonts w:hint="eastAsia" w:ascii="仿宋_GB2312" w:hAnsi="仿宋_GB2312" w:eastAsia="仿宋_GB2312" w:cs="仿宋_GB2312"/>
                <w:color w:val="auto"/>
                <w:sz w:val="24"/>
                <w:szCs w:val="24"/>
                <w:lang w:eastAsia="zh-CN"/>
              </w:rPr>
              <w:t>成本</w:t>
            </w:r>
            <w:r>
              <w:rPr>
                <w:rFonts w:hint="eastAsia" w:ascii="仿宋_GB2312" w:hAnsi="仿宋_GB2312" w:eastAsia="仿宋_GB2312" w:cs="仿宋_GB2312"/>
                <w:color w:val="auto"/>
                <w:sz w:val="24"/>
                <w:szCs w:val="24"/>
              </w:rPr>
              <w:t>内</w:t>
            </w:r>
          </w:p>
        </w:tc>
        <w:tc>
          <w:tcPr>
            <w:tcW w:w="1137"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136.8万元</w:t>
            </w:r>
          </w:p>
        </w:tc>
        <w:tc>
          <w:tcPr>
            <w:tcW w:w="118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843" w:type="dxa"/>
            <w:vAlign w:val="center"/>
          </w:tcPr>
          <w:p>
            <w:pPr>
              <w:spacing w:line="300" w:lineRule="exact"/>
              <w:jc w:val="center"/>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预算执行率指标</w:t>
            </w:r>
          </w:p>
        </w:tc>
        <w:tc>
          <w:tcPr>
            <w:tcW w:w="152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w:t>
            </w:r>
          </w:p>
        </w:tc>
        <w:tc>
          <w:tcPr>
            <w:tcW w:w="156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按执行进度支付</w:t>
            </w:r>
          </w:p>
        </w:tc>
        <w:tc>
          <w:tcPr>
            <w:tcW w:w="156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全部完成预算</w:t>
            </w:r>
          </w:p>
        </w:tc>
        <w:tc>
          <w:tcPr>
            <w:tcW w:w="1137"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rPr>
              <w:t>≥</w:t>
            </w:r>
            <w:r>
              <w:rPr>
                <w:rFonts w:hint="eastAsia" w:ascii="仿宋_GB2312" w:hAnsi="仿宋_GB2312" w:eastAsia="仿宋_GB2312" w:cs="仿宋_GB2312"/>
                <w:color w:val="auto"/>
                <w:sz w:val="24"/>
                <w:szCs w:val="24"/>
                <w:lang w:val="en-US" w:eastAsia="zh-CN"/>
              </w:rPr>
              <w:t>95%</w:t>
            </w:r>
          </w:p>
        </w:tc>
        <w:tc>
          <w:tcPr>
            <w:tcW w:w="1185"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909"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843" w:type="dxa"/>
            <w:vMerge w:val="restart"/>
            <w:vAlign w:val="center"/>
          </w:tcPr>
          <w:p>
            <w:pPr>
              <w:pStyle w:val="13"/>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效益指标</w:t>
            </w: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经济效益指标</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使用最小资金</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使资金最大化</w:t>
            </w:r>
          </w:p>
        </w:tc>
        <w:tc>
          <w:tcPr>
            <w:tcW w:w="1137"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获得最大效益</w:t>
            </w:r>
          </w:p>
        </w:tc>
        <w:tc>
          <w:tcPr>
            <w:tcW w:w="118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2"/>
              <w:rPr>
                <w:rFonts w:hint="eastAsia" w:ascii="仿宋_GB2312" w:hAnsi="仿宋_GB2312" w:eastAsia="仿宋_GB2312" w:cs="仿宋_GB2312"/>
                <w:color w:val="auto"/>
              </w:rPr>
            </w:pP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社会效益指标</w:t>
            </w:r>
          </w:p>
        </w:tc>
        <w:tc>
          <w:tcPr>
            <w:tcW w:w="1565"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完成利息付款</w:t>
            </w:r>
          </w:p>
        </w:tc>
        <w:tc>
          <w:tcPr>
            <w:tcW w:w="1565"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完成利息付</w:t>
            </w:r>
            <w:r>
              <w:rPr>
                <w:rFonts w:hint="eastAsia" w:ascii="仿宋_GB2312" w:hAnsi="仿宋_GB2312" w:eastAsia="仿宋_GB2312" w:cs="仿宋_GB2312"/>
                <w:color w:val="auto"/>
                <w:sz w:val="24"/>
                <w:szCs w:val="24"/>
                <w:lang w:eastAsia="zh-CN"/>
              </w:rPr>
              <w:t>支付</w:t>
            </w:r>
          </w:p>
        </w:tc>
        <w:tc>
          <w:tcPr>
            <w:tcW w:w="1137" w:type="dxa"/>
            <w:vAlign w:val="center"/>
          </w:tcPr>
          <w:p>
            <w:pPr>
              <w:spacing w:line="300" w:lineRule="exact"/>
              <w:jc w:val="left"/>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118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2"/>
              <w:rPr>
                <w:rFonts w:hint="eastAsia" w:ascii="仿宋_GB2312" w:hAnsi="仿宋_GB2312" w:eastAsia="仿宋_GB2312" w:cs="仿宋_GB2312"/>
                <w:color w:val="auto"/>
              </w:rPr>
            </w:pP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可持续影响指标</w:t>
            </w:r>
          </w:p>
        </w:tc>
        <w:tc>
          <w:tcPr>
            <w:tcW w:w="1565"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缓解资金压力</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缓解电视台资金压力</w:t>
            </w:r>
          </w:p>
        </w:tc>
        <w:tc>
          <w:tcPr>
            <w:tcW w:w="1137"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使电视台工作可持续运行</w:t>
            </w:r>
          </w:p>
        </w:tc>
        <w:tc>
          <w:tcPr>
            <w:tcW w:w="118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Align w:val="center"/>
          </w:tcPr>
          <w:p>
            <w:pPr>
              <w:pStyle w:val="13"/>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满意度指标</w:t>
            </w:r>
          </w:p>
        </w:tc>
        <w:tc>
          <w:tcPr>
            <w:tcW w:w="152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服务对象满意度指标</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付款情况满意度</w:t>
            </w:r>
          </w:p>
        </w:tc>
        <w:tc>
          <w:tcPr>
            <w:tcW w:w="156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非常满意</w:t>
            </w:r>
          </w:p>
        </w:tc>
        <w:tc>
          <w:tcPr>
            <w:tcW w:w="1137"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≥98%</w:t>
            </w:r>
          </w:p>
        </w:tc>
        <w:tc>
          <w:tcPr>
            <w:tcW w:w="118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2" w:hRule="atLeast"/>
          <w:jc w:val="center"/>
        </w:trPr>
        <w:tc>
          <w:tcPr>
            <w:tcW w:w="7816" w:type="dxa"/>
            <w:gridSpan w:val="6"/>
            <w:vAlign w:val="center"/>
          </w:tcPr>
          <w:p>
            <w:pPr>
              <w:pStyle w:val="11"/>
              <w:jc w:val="center"/>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总</w:t>
            </w:r>
            <w:r>
              <w:rPr>
                <w:rFonts w:hint="eastAsia" w:ascii="仿宋_GB2312" w:hAnsi="仿宋_GB2312" w:eastAsia="仿宋_GB2312" w:cs="仿宋_GB2312"/>
                <w:color w:val="auto"/>
                <w:sz w:val="24"/>
                <w:szCs w:val="24"/>
                <w:lang w:val="en-US" w:eastAsia="zh-CN"/>
              </w:rPr>
              <w:t xml:space="preserve">             </w:t>
            </w:r>
            <w:r>
              <w:rPr>
                <w:rFonts w:hint="eastAsia" w:ascii="仿宋_GB2312" w:hAnsi="仿宋_GB2312" w:eastAsia="仿宋_GB2312" w:cs="仿宋_GB2312"/>
                <w:color w:val="auto"/>
                <w:sz w:val="24"/>
                <w:szCs w:val="24"/>
                <w:lang w:eastAsia="zh-CN"/>
              </w:rPr>
              <w:t>分</w:t>
            </w:r>
          </w:p>
        </w:tc>
        <w:tc>
          <w:tcPr>
            <w:tcW w:w="909"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r>
    </w:tbl>
    <w:p>
      <w:pPr>
        <w:pStyle w:val="12"/>
        <w:rPr>
          <w:rFonts w:hint="eastAsia" w:ascii="仿宋_GB2312" w:hAnsi="仿宋_GB2312" w:eastAsia="仿宋_GB2312" w:cs="仿宋_GB2312"/>
          <w:b/>
          <w:color w:val="auto"/>
        </w:rPr>
      </w:pPr>
    </w:p>
    <w:p>
      <w:pPr>
        <w:pStyle w:val="12"/>
        <w:ind w:firstLine="321" w:firstLineChars="100"/>
        <w:rPr>
          <w:rFonts w:hint="eastAsia" w:ascii="仿宋_GB2312" w:hAnsi="仿宋_GB2312" w:eastAsia="仿宋_GB2312" w:cs="仿宋_GB2312"/>
          <w:b/>
          <w:color w:val="auto"/>
          <w:sz w:val="32"/>
          <w:szCs w:val="32"/>
          <w:lang w:eastAsia="zh-CN"/>
        </w:rPr>
      </w:pPr>
    </w:p>
    <w:p>
      <w:pPr>
        <w:pStyle w:val="12"/>
        <w:ind w:firstLine="321" w:firstLineChars="100"/>
        <w:rPr>
          <w:rFonts w:hint="eastAsia" w:ascii="仿宋_GB2312" w:hAnsi="仿宋_GB2312" w:eastAsia="仿宋_GB2312" w:cs="仿宋_GB2312"/>
          <w:b/>
          <w:color w:val="auto"/>
          <w:sz w:val="32"/>
          <w:szCs w:val="32"/>
          <w:lang w:eastAsia="zh-CN"/>
        </w:rPr>
      </w:pPr>
    </w:p>
    <w:p>
      <w:pPr>
        <w:pStyle w:val="12"/>
        <w:ind w:firstLine="321" w:firstLineChars="100"/>
        <w:rPr>
          <w:rFonts w:hint="eastAsia" w:ascii="仿宋_GB2312" w:hAnsi="仿宋_GB2312" w:eastAsia="仿宋_GB2312" w:cs="仿宋_GB2312"/>
          <w:b/>
          <w:color w:val="auto"/>
          <w:sz w:val="32"/>
          <w:szCs w:val="32"/>
          <w:lang w:eastAsia="zh-CN"/>
        </w:rPr>
      </w:pPr>
    </w:p>
    <w:p>
      <w:pPr>
        <w:pStyle w:val="12"/>
        <w:ind w:firstLine="321" w:firstLineChars="100"/>
        <w:rPr>
          <w:rFonts w:hint="eastAsia" w:ascii="仿宋_GB2312" w:hAnsi="仿宋_GB2312" w:eastAsia="仿宋_GB2312" w:cs="仿宋_GB2312"/>
          <w:b/>
          <w:color w:val="auto"/>
          <w:sz w:val="32"/>
          <w:szCs w:val="32"/>
          <w:lang w:eastAsia="zh-CN"/>
        </w:rPr>
      </w:pPr>
    </w:p>
    <w:p>
      <w:pPr>
        <w:pStyle w:val="12"/>
        <w:ind w:firstLine="321" w:firstLineChars="100"/>
        <w:rPr>
          <w:rFonts w:hint="eastAsia" w:ascii="仿宋_GB2312" w:hAnsi="仿宋_GB2312" w:eastAsia="仿宋_GB2312" w:cs="仿宋_GB2312"/>
          <w:b/>
          <w:color w:val="auto"/>
          <w:sz w:val="32"/>
          <w:szCs w:val="32"/>
          <w:lang w:eastAsia="zh-CN"/>
        </w:rPr>
      </w:pPr>
    </w:p>
    <w:p>
      <w:pPr>
        <w:pStyle w:val="12"/>
        <w:ind w:firstLine="321" w:firstLineChars="100"/>
        <w:rPr>
          <w:rFonts w:hint="eastAsia" w:ascii="仿宋_GB2312" w:hAnsi="仿宋_GB2312" w:eastAsia="仿宋_GB2312" w:cs="仿宋_GB2312"/>
          <w:b/>
          <w:color w:val="auto"/>
          <w:sz w:val="32"/>
          <w:szCs w:val="32"/>
          <w:lang w:eastAsia="zh-CN"/>
        </w:rPr>
      </w:pPr>
      <w:r>
        <w:rPr>
          <w:rFonts w:hint="eastAsia" w:ascii="仿宋_GB2312" w:hAnsi="仿宋_GB2312" w:eastAsia="仿宋_GB2312" w:cs="仿宋_GB2312"/>
          <w:b/>
          <w:color w:val="auto"/>
          <w:sz w:val="32"/>
          <w:szCs w:val="32"/>
          <w:lang w:eastAsia="zh-CN"/>
        </w:rPr>
        <w:t>7、专项</w:t>
      </w:r>
      <w:r>
        <w:rPr>
          <w:rFonts w:hint="eastAsia" w:ascii="仿宋_GB2312" w:hAnsi="仿宋_GB2312" w:eastAsia="仿宋_GB2312" w:cs="仿宋_GB2312"/>
          <w:b/>
          <w:color w:val="auto"/>
          <w:sz w:val="32"/>
          <w:szCs w:val="32"/>
        </w:rPr>
        <w:t>债券付息服务费绩效目标表</w:t>
      </w:r>
      <w:r>
        <w:rPr>
          <w:rFonts w:hint="eastAsia" w:ascii="仿宋_GB2312" w:hAnsi="仿宋_GB2312" w:eastAsia="仿宋_GB2312" w:cs="仿宋_GB2312"/>
          <w:b/>
          <w:color w:val="auto"/>
          <w:sz w:val="32"/>
          <w:szCs w:val="32"/>
          <w:lang w:eastAsia="zh-CN"/>
        </w:rPr>
        <w:t>0.01万元</w:t>
      </w:r>
    </w:p>
    <w:p>
      <w:pPr>
        <w:pStyle w:val="12"/>
        <w:ind w:left="420" w:leftChars="200"/>
        <w:rPr>
          <w:rFonts w:hint="eastAsia" w:ascii="仿宋_GB2312" w:hAnsi="仿宋_GB2312" w:eastAsia="仿宋_GB2312" w:cs="仿宋_GB2312"/>
          <w:b/>
          <w:color w:val="auto"/>
        </w:rPr>
      </w:pPr>
    </w:p>
    <w:p>
      <w:pPr>
        <w:pStyle w:val="12"/>
        <w:spacing w:line="2" w:lineRule="exact"/>
        <w:jc w:val="center"/>
        <w:rPr>
          <w:rFonts w:hint="eastAsia" w:ascii="仿宋_GB2312" w:hAnsi="仿宋_GB2312" w:eastAsia="仿宋_GB2312" w:cs="仿宋_GB2312"/>
          <w:color w:val="auto"/>
        </w:rPr>
      </w:pPr>
      <w:r>
        <w:rPr>
          <w:rFonts w:hint="eastAsia" w:ascii="仿宋_GB2312" w:hAnsi="仿宋_GB2312" w:eastAsia="仿宋_GB2312" w:cs="仿宋_GB2312"/>
          <w:color w:val="auto"/>
        </w:rPr>
        <w:t xml:space="preserve"> </w:t>
      </w:r>
    </w:p>
    <w:tbl>
      <w:tblPr>
        <w:tblStyle w:val="7"/>
        <w:tblW w:w="90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1289"/>
        <w:gridCol w:w="1786"/>
        <w:gridCol w:w="1479"/>
        <w:gridCol w:w="1055"/>
        <w:gridCol w:w="1261"/>
        <w:gridCol w:w="7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01" w:hRule="atLeast"/>
          <w:tblHeader/>
          <w:jc w:val="center"/>
        </w:trPr>
        <w:tc>
          <w:tcPr>
            <w:tcW w:w="2678" w:type="dxa"/>
            <w:gridSpan w:val="2"/>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绩效目标</w:t>
            </w:r>
          </w:p>
        </w:tc>
        <w:tc>
          <w:tcPr>
            <w:tcW w:w="6363" w:type="dxa"/>
            <w:gridSpan w:val="5"/>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1.媒体融合基础设施改造债券付息服务费</w:t>
            </w:r>
          </w:p>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2.提高资金的使用效率</w:t>
            </w:r>
          </w:p>
          <w:p>
            <w:pPr>
              <w:pStyle w:val="10"/>
              <w:jc w:val="left"/>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b w:val="0"/>
                <w:bCs/>
                <w:color w:val="auto"/>
                <w:sz w:val="24"/>
                <w:szCs w:val="24"/>
              </w:rPr>
              <w:t>3.保证电视台正常运行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9"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一级指标</w:t>
            </w:r>
          </w:p>
        </w:tc>
        <w:tc>
          <w:tcPr>
            <w:tcW w:w="1289"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二级指标</w:t>
            </w:r>
          </w:p>
        </w:tc>
        <w:tc>
          <w:tcPr>
            <w:tcW w:w="1786"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三级指标</w:t>
            </w:r>
          </w:p>
        </w:tc>
        <w:tc>
          <w:tcPr>
            <w:tcW w:w="1479" w:type="dxa"/>
            <w:vAlign w:val="center"/>
          </w:tcPr>
          <w:p>
            <w:pPr>
              <w:pStyle w:val="10"/>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绩效指标描述</w:t>
            </w:r>
          </w:p>
        </w:tc>
        <w:tc>
          <w:tcPr>
            <w:tcW w:w="1055" w:type="dxa"/>
            <w:vAlign w:val="center"/>
          </w:tcPr>
          <w:p>
            <w:pPr>
              <w:widowControl/>
              <w:jc w:val="center"/>
              <w:rPr>
                <w:rFonts w:hint="eastAsia" w:ascii="仿宋_GB2312" w:hAnsi="仿宋_GB2312" w:eastAsia="仿宋_GB2312" w:cs="仿宋_GB2312"/>
                <w:color w:val="auto"/>
                <w:sz w:val="24"/>
                <w:szCs w:val="24"/>
              </w:rPr>
            </w:pPr>
            <w:r>
              <w:rPr>
                <w:rFonts w:hint="eastAsia" w:ascii="仿宋_GB2312" w:hAnsi="仿宋_GB2312" w:eastAsia="仿宋_GB2312" w:cs="仿宋_GB2312"/>
                <w:b/>
                <w:bCs/>
                <w:color w:val="auto"/>
                <w:kern w:val="0"/>
                <w:sz w:val="24"/>
                <w:szCs w:val="24"/>
                <w:lang w:eastAsia="zh-CN"/>
              </w:rPr>
              <w:t>指标值</w:t>
            </w:r>
          </w:p>
        </w:tc>
        <w:tc>
          <w:tcPr>
            <w:tcW w:w="1261" w:type="dxa"/>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实际完成值</w:t>
            </w:r>
          </w:p>
        </w:tc>
        <w:tc>
          <w:tcPr>
            <w:tcW w:w="782" w:type="dxa"/>
            <w:vAlign w:val="center"/>
          </w:tcPr>
          <w:p>
            <w:pPr>
              <w:pStyle w:val="10"/>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自评得分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389" w:type="dxa"/>
            <w:vMerge w:val="restart"/>
            <w:vAlign w:val="center"/>
          </w:tcPr>
          <w:p>
            <w:pPr>
              <w:pStyle w:val="13"/>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产出指标</w:t>
            </w:r>
          </w:p>
        </w:tc>
        <w:tc>
          <w:tcPr>
            <w:tcW w:w="128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数量指标</w:t>
            </w:r>
          </w:p>
        </w:tc>
        <w:tc>
          <w:tcPr>
            <w:tcW w:w="1786"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eastAsia="zh-CN"/>
              </w:rPr>
              <w:t>使用专项债券</w:t>
            </w:r>
            <w:r>
              <w:rPr>
                <w:rFonts w:hint="eastAsia" w:ascii="仿宋_GB2312" w:hAnsi="仿宋_GB2312" w:eastAsia="仿宋_GB2312" w:cs="仿宋_GB2312"/>
                <w:color w:val="auto"/>
                <w:sz w:val="24"/>
                <w:szCs w:val="24"/>
                <w:lang w:val="en-US" w:eastAsia="zh-CN"/>
              </w:rPr>
              <w:t>4000万元支付利息手续</w:t>
            </w:r>
            <w:r>
              <w:rPr>
                <w:rFonts w:hint="eastAsia" w:ascii="仿宋_GB2312" w:hAnsi="仿宋_GB2312" w:eastAsia="仿宋_GB2312" w:cs="仿宋_GB2312"/>
                <w:color w:val="auto"/>
                <w:sz w:val="24"/>
                <w:szCs w:val="24"/>
              </w:rPr>
              <w:t>费</w:t>
            </w:r>
          </w:p>
        </w:tc>
        <w:tc>
          <w:tcPr>
            <w:tcW w:w="147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使用专项债券利息支付服务费</w:t>
            </w:r>
          </w:p>
        </w:tc>
        <w:tc>
          <w:tcPr>
            <w:tcW w:w="105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100元</w:t>
            </w:r>
          </w:p>
        </w:tc>
        <w:tc>
          <w:tcPr>
            <w:tcW w:w="126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2"/>
              <w:rPr>
                <w:rFonts w:hint="eastAsia" w:ascii="仿宋_GB2312" w:hAnsi="仿宋_GB2312" w:eastAsia="仿宋_GB2312" w:cs="仿宋_GB2312"/>
                <w:color w:val="auto"/>
              </w:rPr>
            </w:pPr>
          </w:p>
        </w:tc>
        <w:tc>
          <w:tcPr>
            <w:tcW w:w="128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质量指标</w:t>
            </w:r>
          </w:p>
        </w:tc>
        <w:tc>
          <w:tcPr>
            <w:tcW w:w="178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保证债券</w:t>
            </w:r>
            <w:r>
              <w:rPr>
                <w:rFonts w:hint="eastAsia" w:ascii="仿宋_GB2312" w:hAnsi="仿宋_GB2312" w:eastAsia="仿宋_GB2312" w:cs="仿宋_GB2312"/>
                <w:color w:val="auto"/>
                <w:sz w:val="24"/>
                <w:szCs w:val="24"/>
                <w:lang w:eastAsia="zh-CN"/>
              </w:rPr>
              <w:t>利息支付</w:t>
            </w:r>
          </w:p>
        </w:tc>
        <w:tc>
          <w:tcPr>
            <w:tcW w:w="147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按规定足额支付</w:t>
            </w:r>
          </w:p>
        </w:tc>
        <w:tc>
          <w:tcPr>
            <w:tcW w:w="105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100元</w:t>
            </w:r>
          </w:p>
        </w:tc>
        <w:tc>
          <w:tcPr>
            <w:tcW w:w="126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2"/>
              <w:rPr>
                <w:rFonts w:hint="eastAsia" w:ascii="仿宋_GB2312" w:hAnsi="仿宋_GB2312" w:eastAsia="仿宋_GB2312" w:cs="仿宋_GB2312"/>
                <w:color w:val="auto"/>
              </w:rPr>
            </w:pPr>
          </w:p>
        </w:tc>
        <w:tc>
          <w:tcPr>
            <w:tcW w:w="128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时效指标</w:t>
            </w:r>
          </w:p>
        </w:tc>
        <w:tc>
          <w:tcPr>
            <w:tcW w:w="178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规定时间内完成</w:t>
            </w:r>
          </w:p>
        </w:tc>
        <w:tc>
          <w:tcPr>
            <w:tcW w:w="147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一年之内</w:t>
            </w:r>
          </w:p>
        </w:tc>
        <w:tc>
          <w:tcPr>
            <w:tcW w:w="105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2024年12月31日前</w:t>
            </w:r>
          </w:p>
        </w:tc>
        <w:tc>
          <w:tcPr>
            <w:tcW w:w="126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2"/>
              <w:rPr>
                <w:rFonts w:hint="eastAsia" w:ascii="仿宋_GB2312" w:hAnsi="仿宋_GB2312" w:eastAsia="仿宋_GB2312" w:cs="仿宋_GB2312"/>
                <w:color w:val="auto"/>
              </w:rPr>
            </w:pPr>
          </w:p>
        </w:tc>
        <w:tc>
          <w:tcPr>
            <w:tcW w:w="128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成本指标</w:t>
            </w:r>
          </w:p>
        </w:tc>
        <w:tc>
          <w:tcPr>
            <w:tcW w:w="178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预算</w:t>
            </w:r>
            <w:r>
              <w:rPr>
                <w:rFonts w:hint="eastAsia" w:ascii="仿宋_GB2312" w:hAnsi="仿宋_GB2312" w:eastAsia="仿宋_GB2312" w:cs="仿宋_GB2312"/>
                <w:color w:val="auto"/>
                <w:sz w:val="24"/>
                <w:szCs w:val="24"/>
                <w:lang w:eastAsia="zh-CN"/>
              </w:rPr>
              <w:t>成本</w:t>
            </w:r>
          </w:p>
        </w:tc>
        <w:tc>
          <w:tcPr>
            <w:tcW w:w="147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控制在预算</w:t>
            </w:r>
            <w:r>
              <w:rPr>
                <w:rFonts w:hint="eastAsia" w:ascii="仿宋_GB2312" w:hAnsi="仿宋_GB2312" w:eastAsia="仿宋_GB2312" w:cs="仿宋_GB2312"/>
                <w:color w:val="auto"/>
                <w:sz w:val="24"/>
                <w:szCs w:val="24"/>
                <w:lang w:eastAsia="zh-CN"/>
              </w:rPr>
              <w:t>范围</w:t>
            </w:r>
            <w:r>
              <w:rPr>
                <w:rFonts w:hint="eastAsia" w:ascii="仿宋_GB2312" w:hAnsi="仿宋_GB2312" w:eastAsia="仿宋_GB2312" w:cs="仿宋_GB2312"/>
                <w:color w:val="auto"/>
                <w:sz w:val="24"/>
                <w:szCs w:val="24"/>
              </w:rPr>
              <w:t>内</w:t>
            </w:r>
          </w:p>
        </w:tc>
        <w:tc>
          <w:tcPr>
            <w:tcW w:w="105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100元</w:t>
            </w:r>
          </w:p>
        </w:tc>
        <w:tc>
          <w:tcPr>
            <w:tcW w:w="126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Align w:val="center"/>
          </w:tcPr>
          <w:p>
            <w:pPr>
              <w:spacing w:line="300" w:lineRule="exact"/>
              <w:jc w:val="center"/>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预算执行率指标</w:t>
            </w:r>
          </w:p>
        </w:tc>
        <w:tc>
          <w:tcPr>
            <w:tcW w:w="1289"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预算执行率</w:t>
            </w:r>
          </w:p>
        </w:tc>
        <w:tc>
          <w:tcPr>
            <w:tcW w:w="1786"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按执行进度支付</w:t>
            </w:r>
          </w:p>
        </w:tc>
        <w:tc>
          <w:tcPr>
            <w:tcW w:w="1479"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eastAsia="zh-CN"/>
              </w:rPr>
              <w:t>全部完成预算</w:t>
            </w:r>
          </w:p>
        </w:tc>
        <w:tc>
          <w:tcPr>
            <w:tcW w:w="1055" w:type="dxa"/>
            <w:vAlign w:val="center"/>
          </w:tcPr>
          <w:p>
            <w:pPr>
              <w:spacing w:line="300" w:lineRule="exact"/>
              <w:jc w:val="left"/>
              <w:rPr>
                <w:rFonts w:hint="default"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1261"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782" w:type="dxa"/>
            <w:vAlign w:val="center"/>
          </w:tcPr>
          <w:p>
            <w:pPr>
              <w:spacing w:line="300" w:lineRule="exact"/>
              <w:jc w:val="left"/>
              <w:rPr>
                <w:rFonts w:hint="eastAsia" w:ascii="仿宋_GB2312" w:hAnsi="仿宋_GB2312" w:eastAsia="仿宋_GB2312" w:cs="仿宋_GB2312"/>
                <w:color w:val="auto"/>
                <w:kern w:val="2"/>
                <w:sz w:val="24"/>
                <w:szCs w:val="24"/>
                <w:lang w:val="en-US" w:eastAsia="zh-CN" w:bidi="ar-SA"/>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restart"/>
            <w:vAlign w:val="center"/>
          </w:tcPr>
          <w:p>
            <w:pPr>
              <w:pStyle w:val="12"/>
              <w:rPr>
                <w:rFonts w:hint="eastAsia" w:ascii="仿宋_GB2312" w:hAnsi="仿宋_GB2312" w:eastAsia="仿宋_GB2312" w:cs="仿宋_GB2312"/>
                <w:color w:val="auto"/>
                <w:lang w:eastAsia="zh-CN"/>
              </w:rPr>
            </w:pPr>
            <w:r>
              <w:rPr>
                <w:rFonts w:hint="eastAsia" w:ascii="仿宋_GB2312" w:hAnsi="仿宋_GB2312" w:eastAsia="仿宋_GB2312" w:cs="仿宋_GB2312"/>
                <w:color w:val="auto"/>
                <w:lang w:eastAsia="zh-CN"/>
              </w:rPr>
              <w:t>绩效指标</w:t>
            </w:r>
          </w:p>
        </w:tc>
        <w:tc>
          <w:tcPr>
            <w:tcW w:w="128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社会效益指标</w:t>
            </w:r>
          </w:p>
        </w:tc>
        <w:tc>
          <w:tcPr>
            <w:tcW w:w="178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债券付息服务，专款专用</w:t>
            </w:r>
          </w:p>
        </w:tc>
        <w:tc>
          <w:tcPr>
            <w:tcW w:w="147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eastAsia="zh-CN"/>
              </w:rPr>
              <w:t>专款专用</w:t>
            </w:r>
            <w:r>
              <w:rPr>
                <w:rFonts w:hint="eastAsia" w:ascii="仿宋_GB2312" w:hAnsi="仿宋_GB2312" w:eastAsia="仿宋_GB2312" w:cs="仿宋_GB2312"/>
                <w:color w:val="auto"/>
                <w:sz w:val="24"/>
                <w:szCs w:val="24"/>
              </w:rPr>
              <w:t>率</w:t>
            </w:r>
          </w:p>
        </w:tc>
        <w:tc>
          <w:tcPr>
            <w:tcW w:w="1055" w:type="dxa"/>
            <w:vAlign w:val="center"/>
          </w:tcPr>
          <w:p>
            <w:pPr>
              <w:spacing w:line="300" w:lineRule="exact"/>
              <w:jc w:val="left"/>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c>
          <w:tcPr>
            <w:tcW w:w="126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2"/>
              <w:rPr>
                <w:rFonts w:hint="eastAsia" w:ascii="仿宋_GB2312" w:hAnsi="仿宋_GB2312" w:eastAsia="仿宋_GB2312" w:cs="仿宋_GB2312"/>
                <w:color w:val="auto"/>
              </w:rPr>
            </w:pPr>
          </w:p>
        </w:tc>
        <w:tc>
          <w:tcPr>
            <w:tcW w:w="128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可持续影响指标</w:t>
            </w:r>
          </w:p>
        </w:tc>
        <w:tc>
          <w:tcPr>
            <w:tcW w:w="1786"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媒体融合业务可持续发展</w:t>
            </w:r>
          </w:p>
        </w:tc>
        <w:tc>
          <w:tcPr>
            <w:tcW w:w="1479" w:type="dxa"/>
            <w:vAlign w:val="center"/>
          </w:tcPr>
          <w:p>
            <w:pPr>
              <w:pStyle w:val="11"/>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rPr>
              <w:t>促进电视台升级转型，</w:t>
            </w:r>
            <w:r>
              <w:rPr>
                <w:rFonts w:hint="eastAsia" w:ascii="仿宋_GB2312" w:hAnsi="仿宋_GB2312" w:eastAsia="仿宋_GB2312" w:cs="仿宋_GB2312"/>
                <w:color w:val="auto"/>
                <w:sz w:val="24"/>
                <w:szCs w:val="24"/>
                <w:lang w:eastAsia="zh-CN"/>
              </w:rPr>
              <w:t>使</w:t>
            </w:r>
            <w:r>
              <w:rPr>
                <w:rFonts w:hint="eastAsia" w:ascii="仿宋_GB2312" w:hAnsi="仿宋_GB2312" w:eastAsia="仿宋_GB2312" w:cs="仿宋_GB2312"/>
                <w:color w:val="auto"/>
                <w:sz w:val="24"/>
                <w:szCs w:val="24"/>
              </w:rPr>
              <w:t>媒体融合业务</w:t>
            </w:r>
            <w:r>
              <w:rPr>
                <w:rFonts w:hint="eastAsia" w:ascii="仿宋_GB2312" w:hAnsi="仿宋_GB2312" w:eastAsia="仿宋_GB2312" w:cs="仿宋_GB2312"/>
                <w:color w:val="auto"/>
                <w:sz w:val="24"/>
                <w:szCs w:val="24"/>
                <w:lang w:eastAsia="zh-CN"/>
              </w:rPr>
              <w:t>可持续发展</w:t>
            </w:r>
          </w:p>
        </w:tc>
        <w:tc>
          <w:tcPr>
            <w:tcW w:w="105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持续运营</w:t>
            </w:r>
          </w:p>
        </w:tc>
        <w:tc>
          <w:tcPr>
            <w:tcW w:w="126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Align w:val="center"/>
          </w:tcPr>
          <w:p>
            <w:pPr>
              <w:pStyle w:val="13"/>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满意度指标</w:t>
            </w:r>
          </w:p>
        </w:tc>
        <w:tc>
          <w:tcPr>
            <w:tcW w:w="128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服务对象满意度指标</w:t>
            </w:r>
          </w:p>
        </w:tc>
        <w:tc>
          <w:tcPr>
            <w:tcW w:w="1786"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eastAsia="zh-CN"/>
              </w:rPr>
              <w:t>服务对象</w:t>
            </w:r>
            <w:r>
              <w:rPr>
                <w:rFonts w:hint="eastAsia" w:ascii="仿宋_GB2312" w:hAnsi="仿宋_GB2312" w:eastAsia="仿宋_GB2312" w:cs="仿宋_GB2312"/>
                <w:color w:val="auto"/>
                <w:sz w:val="24"/>
                <w:szCs w:val="24"/>
              </w:rPr>
              <w:t>满意度</w:t>
            </w:r>
          </w:p>
        </w:tc>
        <w:tc>
          <w:tcPr>
            <w:tcW w:w="1479"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使用满意度</w:t>
            </w:r>
          </w:p>
        </w:tc>
        <w:tc>
          <w:tcPr>
            <w:tcW w:w="1055"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rPr>
              <w:t>≥95%</w:t>
            </w:r>
          </w:p>
        </w:tc>
        <w:tc>
          <w:tcPr>
            <w:tcW w:w="1261" w:type="dxa"/>
            <w:vAlign w:val="center"/>
          </w:tcPr>
          <w:p>
            <w:pPr>
              <w:pStyle w:val="11"/>
              <w:rPr>
                <w:rFonts w:hint="eastAsia" w:ascii="仿宋_GB2312" w:hAnsi="仿宋_GB2312" w:eastAsia="仿宋_GB2312" w:cs="仿宋_GB2312"/>
                <w:color w:val="auto"/>
                <w:sz w:val="24"/>
                <w:szCs w:val="24"/>
              </w:rPr>
            </w:pPr>
            <w:r>
              <w:rPr>
                <w:rFonts w:hint="eastAsia" w:ascii="仿宋_GB2312" w:hAnsi="仿宋_GB2312" w:eastAsia="仿宋_GB2312" w:cs="仿宋_GB2312"/>
                <w:color w:val="auto"/>
                <w:sz w:val="24"/>
                <w:szCs w:val="24"/>
                <w:lang w:val="en-US" w:eastAsia="zh-CN"/>
              </w:rPr>
              <w:t>100%</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2" w:hRule="atLeast"/>
          <w:jc w:val="center"/>
        </w:trPr>
        <w:tc>
          <w:tcPr>
            <w:tcW w:w="8259" w:type="dxa"/>
            <w:gridSpan w:val="6"/>
            <w:vAlign w:val="center"/>
          </w:tcPr>
          <w:p>
            <w:pPr>
              <w:pStyle w:val="11"/>
              <w:jc w:val="center"/>
              <w:rPr>
                <w:rFonts w:hint="eastAsia" w:ascii="仿宋_GB2312" w:hAnsi="仿宋_GB2312" w:eastAsia="仿宋_GB2312" w:cs="仿宋_GB2312"/>
                <w:color w:val="auto"/>
                <w:sz w:val="24"/>
                <w:szCs w:val="24"/>
                <w:lang w:eastAsia="zh-CN"/>
              </w:rPr>
            </w:pPr>
            <w:r>
              <w:rPr>
                <w:rFonts w:hint="eastAsia" w:ascii="仿宋_GB2312" w:hAnsi="仿宋_GB2312" w:eastAsia="仿宋_GB2312" w:cs="仿宋_GB2312"/>
                <w:color w:val="auto"/>
                <w:sz w:val="24"/>
                <w:szCs w:val="24"/>
                <w:lang w:eastAsia="zh-CN"/>
              </w:rPr>
              <w:t>总</w:t>
            </w:r>
            <w:r>
              <w:rPr>
                <w:rFonts w:hint="eastAsia" w:ascii="仿宋_GB2312" w:hAnsi="仿宋_GB2312" w:eastAsia="仿宋_GB2312" w:cs="仿宋_GB2312"/>
                <w:color w:val="auto"/>
                <w:sz w:val="24"/>
                <w:szCs w:val="24"/>
                <w:lang w:val="en-US" w:eastAsia="zh-CN"/>
              </w:rPr>
              <w:t xml:space="preserve">            </w:t>
            </w:r>
            <w:r>
              <w:rPr>
                <w:rFonts w:hint="eastAsia" w:ascii="仿宋_GB2312" w:hAnsi="仿宋_GB2312" w:eastAsia="仿宋_GB2312" w:cs="仿宋_GB2312"/>
                <w:color w:val="auto"/>
                <w:sz w:val="24"/>
                <w:szCs w:val="24"/>
                <w:lang w:eastAsia="zh-CN"/>
              </w:rPr>
              <w:t>分</w:t>
            </w:r>
          </w:p>
        </w:tc>
        <w:tc>
          <w:tcPr>
            <w:tcW w:w="782" w:type="dxa"/>
            <w:vAlign w:val="center"/>
          </w:tcPr>
          <w:p>
            <w:pPr>
              <w:pStyle w:val="11"/>
              <w:rPr>
                <w:rFonts w:hint="default" w:ascii="仿宋_GB2312" w:hAnsi="仿宋_GB2312" w:eastAsia="仿宋_GB2312" w:cs="仿宋_GB2312"/>
                <w:color w:val="auto"/>
                <w:sz w:val="24"/>
                <w:szCs w:val="24"/>
                <w:lang w:val="en-US" w:eastAsia="zh-CN"/>
              </w:rPr>
            </w:pPr>
            <w:r>
              <w:rPr>
                <w:rFonts w:hint="eastAsia" w:ascii="仿宋_GB2312" w:hAnsi="仿宋_GB2312" w:eastAsia="仿宋_GB2312" w:cs="仿宋_GB2312"/>
                <w:color w:val="auto"/>
                <w:sz w:val="24"/>
                <w:szCs w:val="24"/>
                <w:lang w:val="en-US" w:eastAsia="zh-CN"/>
              </w:rPr>
              <w:t>100</w:t>
            </w:r>
          </w:p>
        </w:tc>
      </w:tr>
    </w:tbl>
    <w:p>
      <w:pPr>
        <w:pStyle w:val="12"/>
        <w:rPr>
          <w:rFonts w:hint="eastAsia" w:ascii="仿宋_GB2312" w:hAnsi="仿宋_GB2312" w:eastAsia="仿宋_GB2312" w:cs="仿宋_GB2312"/>
          <w:b/>
          <w:color w:val="auto"/>
          <w:sz w:val="32"/>
          <w:szCs w:val="32"/>
        </w:rPr>
      </w:pPr>
    </w:p>
    <w:p>
      <w:pPr>
        <w:pStyle w:val="12"/>
        <w:rPr>
          <w:rFonts w:hint="eastAsia" w:ascii="仿宋_GB2312" w:hAnsi="仿宋_GB2312" w:eastAsia="仿宋_GB2312" w:cs="仿宋_GB2312"/>
          <w:b/>
          <w:color w:val="auto"/>
          <w:sz w:val="32"/>
          <w:szCs w:val="32"/>
        </w:rPr>
      </w:pPr>
    </w:p>
    <w:p>
      <w:pPr>
        <w:pStyle w:val="12"/>
        <w:rPr>
          <w:rFonts w:hint="eastAsia" w:ascii="仿宋_GB2312" w:hAnsi="仿宋_GB2312" w:eastAsia="仿宋_GB2312" w:cs="仿宋_GB2312"/>
          <w:b/>
          <w:color w:val="auto"/>
          <w:sz w:val="32"/>
          <w:szCs w:val="32"/>
        </w:rPr>
      </w:pPr>
    </w:p>
    <w:p>
      <w:pPr>
        <w:pStyle w:val="12"/>
        <w:rPr>
          <w:rFonts w:hint="eastAsia" w:ascii="仿宋_GB2312" w:hAnsi="仿宋_GB2312" w:eastAsia="仿宋_GB2312" w:cs="仿宋_GB2312"/>
          <w:b/>
          <w:color w:val="auto"/>
          <w:sz w:val="32"/>
          <w:szCs w:val="32"/>
        </w:rPr>
      </w:pPr>
    </w:p>
    <w:p>
      <w:pPr>
        <w:widowControl/>
        <w:numPr>
          <w:ilvl w:val="0"/>
          <w:numId w:val="3"/>
        </w:numPr>
        <w:ind w:left="420" w:leftChars="0" w:firstLine="0" w:firstLineChars="0"/>
        <w:jc w:val="center"/>
        <w:rPr>
          <w:rFonts w:hint="eastAsia"/>
        </w:rPr>
      </w:pP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color w:val="auto"/>
          <w:sz w:val="32"/>
          <w:szCs w:val="32"/>
          <w:lang w:eastAsia="zh-CN"/>
        </w:rPr>
        <w:t>穿越诗文遇见你</w:t>
      </w:r>
      <w:r>
        <w:rPr>
          <w:rFonts w:hint="eastAsia" w:ascii="仿宋_GB2312" w:hAnsi="仿宋_GB2312" w:eastAsia="仿宋_GB2312" w:cs="仿宋_GB2312"/>
          <w:b/>
          <w:color w:val="auto"/>
          <w:sz w:val="32"/>
          <w:szCs w:val="32"/>
        </w:rPr>
        <w:t>》</w:t>
      </w:r>
      <w:r>
        <w:rPr>
          <w:rFonts w:hint="eastAsia" w:ascii="仿宋_GB2312" w:hAnsi="仿宋_GB2312" w:eastAsia="仿宋_GB2312" w:cs="仿宋_GB2312"/>
          <w:b/>
          <w:color w:val="auto"/>
          <w:sz w:val="32"/>
          <w:szCs w:val="32"/>
          <w:lang w:val="en-US" w:eastAsia="zh-CN"/>
        </w:rPr>
        <w:t>99.27</w:t>
      </w:r>
      <w:r>
        <w:rPr>
          <w:rFonts w:hint="eastAsia" w:ascii="仿宋_GB2312" w:hAnsi="仿宋_GB2312" w:eastAsia="仿宋_GB2312" w:cs="仿宋_GB2312"/>
          <w:b/>
          <w:color w:val="auto"/>
          <w:sz w:val="32"/>
          <w:szCs w:val="32"/>
        </w:rPr>
        <w:t>万元（其中：2024市级文化</w:t>
      </w:r>
    </w:p>
    <w:p>
      <w:pPr>
        <w:widowControl/>
        <w:numPr>
          <w:ilvl w:val="0"/>
          <w:numId w:val="0"/>
        </w:numPr>
        <w:jc w:val="both"/>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产业繁荣资金</w:t>
      </w:r>
      <w:r>
        <w:rPr>
          <w:rFonts w:hint="eastAsia" w:ascii="仿宋_GB2312" w:hAnsi="仿宋_GB2312" w:eastAsia="仿宋_GB2312" w:cs="仿宋_GB2312"/>
          <w:b/>
          <w:color w:val="auto"/>
          <w:sz w:val="32"/>
          <w:szCs w:val="32"/>
          <w:lang w:val="en-US" w:eastAsia="zh-CN"/>
        </w:rPr>
        <w:t>49.27</w:t>
      </w:r>
      <w:r>
        <w:rPr>
          <w:rFonts w:hint="eastAsia" w:ascii="仿宋_GB2312" w:hAnsi="仿宋_GB2312" w:eastAsia="仿宋_GB2312" w:cs="仿宋_GB2312"/>
          <w:b/>
          <w:color w:val="auto"/>
          <w:sz w:val="32"/>
          <w:szCs w:val="32"/>
        </w:rPr>
        <w:t>万元，自有资金</w:t>
      </w:r>
      <w:r>
        <w:rPr>
          <w:rFonts w:hint="eastAsia" w:ascii="仿宋_GB2312" w:hAnsi="仿宋_GB2312" w:eastAsia="仿宋_GB2312" w:cs="仿宋_GB2312"/>
          <w:b/>
          <w:color w:val="auto"/>
          <w:sz w:val="32"/>
          <w:szCs w:val="32"/>
          <w:lang w:val="en-US" w:eastAsia="zh-CN"/>
        </w:rPr>
        <w:t>5</w:t>
      </w:r>
      <w:r>
        <w:rPr>
          <w:rFonts w:hint="eastAsia" w:ascii="仿宋_GB2312" w:hAnsi="仿宋_GB2312" w:eastAsia="仿宋_GB2312" w:cs="仿宋_GB2312"/>
          <w:b/>
          <w:color w:val="auto"/>
          <w:sz w:val="32"/>
          <w:szCs w:val="32"/>
        </w:rPr>
        <w:t>0万元）</w:t>
      </w:r>
    </w:p>
    <w:tbl>
      <w:tblPr>
        <w:tblStyle w:val="7"/>
        <w:tblW w:w="9363" w:type="dxa"/>
        <w:tblInd w:w="0" w:type="dxa"/>
        <w:tblLayout w:type="fixed"/>
        <w:tblCellMar>
          <w:top w:w="0" w:type="dxa"/>
          <w:left w:w="108" w:type="dxa"/>
          <w:bottom w:w="0" w:type="dxa"/>
          <w:right w:w="108" w:type="dxa"/>
        </w:tblCellMar>
      </w:tblPr>
      <w:tblGrid>
        <w:gridCol w:w="1174"/>
        <w:gridCol w:w="1207"/>
        <w:gridCol w:w="238"/>
        <w:gridCol w:w="1000"/>
        <w:gridCol w:w="666"/>
        <w:gridCol w:w="684"/>
        <w:gridCol w:w="1521"/>
        <w:gridCol w:w="729"/>
        <w:gridCol w:w="1185"/>
        <w:gridCol w:w="734"/>
        <w:gridCol w:w="225"/>
      </w:tblGrid>
      <w:tr>
        <w:tblPrEx>
          <w:tblCellMar>
            <w:top w:w="0" w:type="dxa"/>
            <w:left w:w="108" w:type="dxa"/>
            <w:bottom w:w="0" w:type="dxa"/>
            <w:right w:w="108" w:type="dxa"/>
          </w:tblCellMar>
        </w:tblPrEx>
        <w:trPr>
          <w:trHeight w:val="259" w:hRule="atLeast"/>
        </w:trPr>
        <w:tc>
          <w:tcPr>
            <w:tcW w:w="2381" w:type="dxa"/>
            <w:gridSpan w:val="2"/>
            <w:tcBorders>
              <w:top w:val="nil"/>
              <w:left w:val="nil"/>
              <w:bottom w:val="single" w:color="auto" w:sz="4" w:space="0"/>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238" w:type="dxa"/>
            <w:tcBorders>
              <w:top w:val="nil"/>
              <w:left w:val="nil"/>
              <w:bottom w:val="nil"/>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1666" w:type="dxa"/>
            <w:gridSpan w:val="2"/>
            <w:tcBorders>
              <w:top w:val="nil"/>
              <w:left w:val="nil"/>
              <w:bottom w:val="single" w:color="auto" w:sz="4" w:space="0"/>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2205" w:type="dxa"/>
            <w:gridSpan w:val="2"/>
            <w:tcBorders>
              <w:top w:val="nil"/>
              <w:left w:val="nil"/>
              <w:bottom w:val="single" w:color="auto" w:sz="4" w:space="0"/>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1914" w:type="dxa"/>
            <w:gridSpan w:val="2"/>
            <w:tcBorders>
              <w:top w:val="nil"/>
              <w:left w:val="nil"/>
              <w:bottom w:val="single" w:color="auto" w:sz="4" w:space="0"/>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734" w:type="dxa"/>
            <w:tcBorders>
              <w:top w:val="nil"/>
              <w:left w:val="nil"/>
              <w:bottom w:val="single" w:color="auto" w:sz="4" w:space="0"/>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225" w:type="dxa"/>
            <w:tcBorders>
              <w:top w:val="nil"/>
              <w:left w:val="nil"/>
              <w:bottom w:val="nil"/>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r>
      <w:tr>
        <w:tblPrEx>
          <w:tblCellMar>
            <w:top w:w="0" w:type="dxa"/>
            <w:left w:w="108" w:type="dxa"/>
            <w:bottom w:w="0" w:type="dxa"/>
            <w:right w:w="108" w:type="dxa"/>
          </w:tblCellMar>
        </w:tblPrEx>
        <w:trPr>
          <w:gridAfter w:val="1"/>
          <w:wAfter w:w="225" w:type="dxa"/>
          <w:trHeight w:val="989" w:hRule="atLeast"/>
        </w:trPr>
        <w:tc>
          <w:tcPr>
            <w:tcW w:w="2381" w:type="dxa"/>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绩效目标</w:t>
            </w:r>
          </w:p>
        </w:tc>
        <w:tc>
          <w:tcPr>
            <w:tcW w:w="6757" w:type="dxa"/>
            <w:gridSpan w:val="8"/>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color w:val="auto"/>
                <w:kern w:val="0"/>
                <w:sz w:val="24"/>
                <w:szCs w:val="24"/>
              </w:rPr>
              <w:t>1、已完成10期节目播出和25条短视频产品无线石家庄上线                                                                                                                                                     2、节目在学习强国总平台文化频道及学习强国石家庄平台刊播</w:t>
            </w:r>
          </w:p>
        </w:tc>
      </w:tr>
      <w:tr>
        <w:tblPrEx>
          <w:tblCellMar>
            <w:top w:w="0" w:type="dxa"/>
            <w:left w:w="108" w:type="dxa"/>
            <w:bottom w:w="0" w:type="dxa"/>
            <w:right w:w="108" w:type="dxa"/>
          </w:tblCellMar>
        </w:tblPrEx>
        <w:trPr>
          <w:gridAfter w:val="1"/>
          <w:wAfter w:w="225" w:type="dxa"/>
          <w:trHeight w:val="20" w:hRule="atLeast"/>
        </w:trPr>
        <w:tc>
          <w:tcPr>
            <w:tcW w:w="1174" w:type="dxa"/>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一级指标</w:t>
            </w:r>
          </w:p>
        </w:tc>
        <w:tc>
          <w:tcPr>
            <w:tcW w:w="1207" w:type="dxa"/>
            <w:tcBorders>
              <w:top w:val="single" w:color="auto" w:sz="4" w:space="0"/>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二级指标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三级指标</w:t>
            </w:r>
          </w:p>
        </w:tc>
        <w:tc>
          <w:tcPr>
            <w:tcW w:w="1350" w:type="dxa"/>
            <w:gridSpan w:val="2"/>
            <w:tcBorders>
              <w:top w:val="single" w:color="auto" w:sz="4" w:space="0"/>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绩效指标描述</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指标值</w:t>
            </w:r>
          </w:p>
        </w:tc>
        <w:tc>
          <w:tcPr>
            <w:tcW w:w="1185"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实际完成值</w:t>
            </w:r>
          </w:p>
        </w:tc>
        <w:tc>
          <w:tcPr>
            <w:tcW w:w="734"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自评得分</w:t>
            </w:r>
          </w:p>
        </w:tc>
      </w:tr>
      <w:tr>
        <w:tblPrEx>
          <w:tblCellMar>
            <w:top w:w="0" w:type="dxa"/>
            <w:left w:w="108" w:type="dxa"/>
            <w:bottom w:w="0" w:type="dxa"/>
            <w:right w:w="108" w:type="dxa"/>
          </w:tblCellMar>
        </w:tblPrEx>
        <w:trPr>
          <w:gridAfter w:val="1"/>
          <w:wAfter w:w="225" w:type="dxa"/>
          <w:trHeight w:val="20" w:hRule="atLeast"/>
        </w:trPr>
        <w:tc>
          <w:tcPr>
            <w:tcW w:w="1174"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产出指标</w:t>
            </w:r>
          </w:p>
        </w:tc>
        <w:tc>
          <w:tcPr>
            <w:tcW w:w="1207"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数量指标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电视节目期数</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10期</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10期</w:t>
            </w:r>
          </w:p>
        </w:tc>
        <w:tc>
          <w:tcPr>
            <w:tcW w:w="1185" w:type="dxa"/>
            <w:tcBorders>
              <w:top w:val="nil"/>
              <w:left w:val="single" w:color="000000" w:sz="4" w:space="0"/>
              <w:bottom w:val="single" w:color="auto"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single" w:color="000000" w:sz="4" w:space="0"/>
              <w:bottom w:val="single" w:color="auto" w:sz="4" w:space="0"/>
              <w:right w:val="single" w:color="000000" w:sz="4" w:space="0"/>
            </w:tcBorders>
            <w:shd w:val="clear" w:color="auto" w:fill="auto"/>
            <w:vAlign w:val="center"/>
          </w:tcPr>
          <w:p>
            <w:pPr>
              <w:widowControl/>
              <w:jc w:val="left"/>
              <w:rPr>
                <w:rFonts w:hint="eastAsia"/>
                <w:lang w:val="en-US" w:eastAsia="zh-CN"/>
              </w:rPr>
            </w:pPr>
            <w:r>
              <w:rPr>
                <w:rFonts w:hint="eastAsia"/>
                <w:lang w:val="en-US" w:eastAsia="zh-CN"/>
              </w:rPr>
              <w:t>5</w:t>
            </w:r>
          </w:p>
          <w:p>
            <w:pPr>
              <w:pStyle w:val="2"/>
              <w:jc w:val="left"/>
              <w:rPr>
                <w:rFonts w:hint="default"/>
                <w:lang w:val="en-US" w:eastAsia="zh-CN"/>
              </w:rPr>
            </w:pPr>
          </w:p>
        </w:tc>
      </w:tr>
      <w:tr>
        <w:tblPrEx>
          <w:tblCellMar>
            <w:top w:w="0" w:type="dxa"/>
            <w:left w:w="108" w:type="dxa"/>
            <w:bottom w:w="0" w:type="dxa"/>
            <w:right w:w="108" w:type="dxa"/>
          </w:tblCellMar>
        </w:tblPrEx>
        <w:trPr>
          <w:gridAfter w:val="1"/>
          <w:wAfter w:w="225" w:type="dxa"/>
          <w:trHeight w:val="691" w:hRule="atLeast"/>
        </w:trPr>
        <w:tc>
          <w:tcPr>
            <w:tcW w:w="1174"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07"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短视频条数</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lang w:val="en-US" w:eastAsia="zh-CN"/>
              </w:rPr>
              <w:t>4</w:t>
            </w:r>
            <w:r>
              <w:rPr>
                <w:rFonts w:hint="eastAsia" w:ascii="仿宋_GB2312" w:hAnsi="仿宋_GB2312" w:eastAsia="仿宋_GB2312" w:cs="仿宋_GB2312"/>
                <w:color w:val="auto"/>
                <w:kern w:val="0"/>
                <w:sz w:val="24"/>
                <w:szCs w:val="24"/>
              </w:rPr>
              <w:t>0条</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50条</w:t>
            </w:r>
          </w:p>
        </w:tc>
        <w:tc>
          <w:tcPr>
            <w:tcW w:w="1185" w:type="dxa"/>
            <w:tcBorders>
              <w:top w:val="single" w:color="auto" w:sz="4" w:space="0"/>
              <w:left w:val="single" w:color="000000" w:sz="4" w:space="0"/>
              <w:bottom w:val="single" w:color="auto" w:sz="4" w:space="0"/>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sz w:val="24"/>
                <w:szCs w:val="24"/>
                <w:lang w:val="en-US" w:eastAsia="zh-CN"/>
              </w:rPr>
              <w:t>100%</w:t>
            </w:r>
          </w:p>
        </w:tc>
        <w:tc>
          <w:tcPr>
            <w:tcW w:w="734" w:type="dxa"/>
            <w:tcBorders>
              <w:top w:val="single" w:color="auto" w:sz="4" w:space="0"/>
              <w:left w:val="single" w:color="000000" w:sz="4" w:space="0"/>
              <w:bottom w:val="single" w:color="auto" w:sz="4" w:space="0"/>
              <w:right w:val="single" w:color="000000" w:sz="4" w:space="0"/>
            </w:tcBorders>
            <w:vAlign w:val="center"/>
          </w:tcPr>
          <w:p>
            <w:pPr>
              <w:widowControl/>
              <w:jc w:val="left"/>
              <w:rPr>
                <w:rFonts w:hint="eastAsia"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5</w:t>
            </w:r>
          </w:p>
        </w:tc>
      </w:tr>
      <w:tr>
        <w:tblPrEx>
          <w:tblCellMar>
            <w:top w:w="0" w:type="dxa"/>
            <w:left w:w="108" w:type="dxa"/>
            <w:bottom w:w="0" w:type="dxa"/>
            <w:right w:w="108" w:type="dxa"/>
          </w:tblCellMar>
        </w:tblPrEx>
        <w:trPr>
          <w:gridAfter w:val="1"/>
          <w:wAfter w:w="225" w:type="dxa"/>
          <w:trHeight w:val="1882" w:hRule="atLeast"/>
        </w:trPr>
        <w:tc>
          <w:tcPr>
            <w:tcW w:w="1174"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0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质量指标</w:t>
            </w:r>
          </w:p>
        </w:tc>
        <w:tc>
          <w:tcPr>
            <w:tcW w:w="12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 讲好石家庄文化故事</w:t>
            </w:r>
          </w:p>
        </w:tc>
        <w:tc>
          <w:tcPr>
            <w:tcW w:w="1350"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擦亮石家庄文化名片</w:t>
            </w:r>
          </w:p>
        </w:tc>
        <w:tc>
          <w:tcPr>
            <w:tcW w:w="2250" w:type="dxa"/>
            <w:gridSpan w:val="2"/>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1、石家庄广播电视台播发</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2、学习强国石家庄平台刊发                          3、学习强国总平台文化频道刊发</w:t>
            </w:r>
          </w:p>
        </w:tc>
        <w:tc>
          <w:tcPr>
            <w:tcW w:w="1185" w:type="dxa"/>
            <w:tcBorders>
              <w:top w:val="single" w:color="auto" w:sz="4" w:space="0"/>
              <w:left w:val="single" w:color="000000" w:sz="4" w:space="0"/>
              <w:bottom w:val="single" w:color="auto"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single" w:color="auto" w:sz="4" w:space="0"/>
              <w:left w:val="single" w:color="000000" w:sz="4" w:space="0"/>
              <w:bottom w:val="single" w:color="auto"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653" w:hRule="atLeast"/>
        </w:trPr>
        <w:tc>
          <w:tcPr>
            <w:tcW w:w="1174"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时效指标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完成时间</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一年内</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lang w:val="en-US" w:eastAsia="zh-CN"/>
              </w:rPr>
              <w:t>2024年12月31日前</w:t>
            </w:r>
            <w:r>
              <w:rPr>
                <w:rFonts w:hint="eastAsia" w:ascii="仿宋_GB2312" w:hAnsi="仿宋_GB2312" w:eastAsia="仿宋_GB2312" w:cs="仿宋_GB2312"/>
                <w:color w:val="auto"/>
                <w:kern w:val="0"/>
                <w:sz w:val="24"/>
                <w:szCs w:val="24"/>
              </w:rPr>
              <w:t>全部完成</w:t>
            </w:r>
          </w:p>
        </w:tc>
        <w:tc>
          <w:tcPr>
            <w:tcW w:w="1185" w:type="dxa"/>
            <w:tcBorders>
              <w:top w:val="single" w:color="auto"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single" w:color="auto" w:sz="4" w:space="0"/>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725" w:hRule="atLeast"/>
        </w:trPr>
        <w:tc>
          <w:tcPr>
            <w:tcW w:w="1174"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成本指标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预算控制</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rPr>
              <w:t>≤100</w:t>
            </w:r>
            <w:r>
              <w:rPr>
                <w:rFonts w:hint="eastAsia" w:ascii="仿宋_GB2312" w:hAnsi="仿宋_GB2312" w:eastAsia="仿宋_GB2312" w:cs="仿宋_GB2312"/>
                <w:color w:val="auto"/>
                <w:kern w:val="0"/>
                <w:sz w:val="24"/>
                <w:szCs w:val="24"/>
                <w:lang w:eastAsia="zh-CN"/>
              </w:rPr>
              <w:t>万元</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符合预算控制范围</w:t>
            </w:r>
          </w:p>
        </w:tc>
        <w:tc>
          <w:tcPr>
            <w:tcW w:w="1185" w:type="dxa"/>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978" w:hRule="atLeast"/>
        </w:trPr>
        <w:tc>
          <w:tcPr>
            <w:tcW w:w="11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预算执行率指标</w:t>
            </w: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预算执行率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预算执行数</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小于100大于99</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符合预算执行预期</w:t>
            </w:r>
          </w:p>
        </w:tc>
        <w:tc>
          <w:tcPr>
            <w:tcW w:w="1185" w:type="dxa"/>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1250" w:hRule="atLeast"/>
        </w:trPr>
        <w:tc>
          <w:tcPr>
            <w:tcW w:w="1174"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效益指标</w:t>
            </w: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经济效益指标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通过节目的广泛传播</w:t>
            </w:r>
            <w:r>
              <w:rPr>
                <w:rFonts w:hint="eastAsia" w:ascii="仿宋_GB2312" w:hAnsi="仿宋_GB2312" w:eastAsia="仿宋_GB2312" w:cs="仿宋_GB2312"/>
                <w:color w:val="auto"/>
                <w:kern w:val="0"/>
                <w:sz w:val="24"/>
                <w:szCs w:val="24"/>
                <w:lang w:eastAsia="zh-CN"/>
              </w:rPr>
              <w:t>，</w:t>
            </w:r>
            <w:r>
              <w:rPr>
                <w:rFonts w:hint="eastAsia" w:ascii="仿宋_GB2312" w:hAnsi="仿宋_GB2312" w:eastAsia="仿宋_GB2312" w:cs="仿宋_GB2312"/>
                <w:color w:val="auto"/>
                <w:kern w:val="0"/>
                <w:sz w:val="24"/>
                <w:szCs w:val="24"/>
              </w:rPr>
              <w:t>助推本地经济发展。</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多平台传播、提升城市知名度，</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节目在石家庄广播电视台及学习强国平台得到广泛传播。。</w:t>
            </w:r>
          </w:p>
        </w:tc>
        <w:tc>
          <w:tcPr>
            <w:tcW w:w="1185" w:type="dxa"/>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20" w:hRule="atLeast"/>
        </w:trPr>
        <w:tc>
          <w:tcPr>
            <w:tcW w:w="1174"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社会效益指标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挖掘石家庄文化根脉提升城市形象品质</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生动呈现城市人文底蕴，树立城市文化品牌。</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以诗文的全新视角更好地弘扬燕赵文化、历史文化，提升了观众对石家庄的文化认同感。</w:t>
            </w:r>
          </w:p>
        </w:tc>
        <w:tc>
          <w:tcPr>
            <w:tcW w:w="1185" w:type="dxa"/>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20" w:hRule="atLeast"/>
        </w:trPr>
        <w:tc>
          <w:tcPr>
            <w:tcW w:w="1174"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生态效益指标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引导市民热爱城市</w:t>
            </w:r>
          </w:p>
        </w:tc>
        <w:tc>
          <w:tcPr>
            <w:tcW w:w="1350" w:type="dxa"/>
            <w:gridSpan w:val="2"/>
            <w:tcBorders>
              <w:top w:val="nil"/>
              <w:left w:val="nil"/>
              <w:bottom w:val="single" w:color="000000" w:sz="4" w:space="0"/>
              <w:right w:val="nil"/>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呈现本地良好生态场景，营造人人保护生态环境的良好的宣传氛围。</w:t>
            </w:r>
          </w:p>
        </w:tc>
        <w:tc>
          <w:tcPr>
            <w:tcW w:w="2250" w:type="dxa"/>
            <w:gridSpan w:val="2"/>
            <w:tcBorders>
              <w:top w:val="nil"/>
              <w:left w:val="single" w:color="000000" w:sz="4" w:space="0"/>
              <w:bottom w:val="single" w:color="000000" w:sz="4" w:space="0"/>
              <w:right w:val="nil"/>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lang w:eastAsia="zh-CN"/>
              </w:rPr>
              <w:t>为</w:t>
            </w:r>
            <w:r>
              <w:rPr>
                <w:rFonts w:hint="eastAsia" w:ascii="仿宋_GB2312" w:hAnsi="仿宋_GB2312" w:eastAsia="仿宋_GB2312" w:cs="仿宋_GB2312"/>
                <w:color w:val="auto"/>
                <w:kern w:val="0"/>
                <w:sz w:val="24"/>
                <w:szCs w:val="24"/>
              </w:rPr>
              <w:t>打造让本地人自豪、外地人向往的魅力之城，凝聚城市向心力和吸引力营造了良好的宣传氛围。</w:t>
            </w:r>
          </w:p>
        </w:tc>
        <w:tc>
          <w:tcPr>
            <w:tcW w:w="1185"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20" w:hRule="atLeast"/>
        </w:trPr>
        <w:tc>
          <w:tcPr>
            <w:tcW w:w="1174" w:type="dxa"/>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可持续影响指标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激发城市建设热情</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让更多人参与城市建设和文化推广。</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节目得到各县市区文旅和宣传部门的认可</w:t>
            </w:r>
          </w:p>
        </w:tc>
        <w:tc>
          <w:tcPr>
            <w:tcW w:w="1185" w:type="dxa"/>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20" w:hRule="atLeast"/>
        </w:trPr>
        <w:tc>
          <w:tcPr>
            <w:tcW w:w="117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满意度指标</w:t>
            </w:r>
            <w:r>
              <w:rPr>
                <w:rFonts w:hint="eastAsia" w:ascii="仿宋_GB2312" w:hAnsi="仿宋_GB2312" w:eastAsia="仿宋_GB2312" w:cs="仿宋_GB2312"/>
                <w:color w:val="auto"/>
                <w:kern w:val="0"/>
                <w:sz w:val="24"/>
                <w:szCs w:val="24"/>
              </w:rPr>
              <w:br w:type="textWrapping"/>
            </w:r>
          </w:p>
        </w:tc>
        <w:tc>
          <w:tcPr>
            <w:tcW w:w="1207" w:type="dxa"/>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满意度指标</w:t>
            </w:r>
          </w:p>
        </w:tc>
        <w:tc>
          <w:tcPr>
            <w:tcW w:w="1238" w:type="dxa"/>
            <w:gridSpan w:val="2"/>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群体满意度</w:t>
            </w:r>
          </w:p>
        </w:tc>
        <w:tc>
          <w:tcPr>
            <w:tcW w:w="1350" w:type="dxa"/>
            <w:gridSpan w:val="2"/>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sz w:val="24"/>
                <w:szCs w:val="24"/>
              </w:rPr>
              <w:t>≥9</w:t>
            </w:r>
            <w:r>
              <w:rPr>
                <w:rFonts w:hint="eastAsia" w:ascii="仿宋_GB2312" w:hAnsi="仿宋_GB2312" w:eastAsia="仿宋_GB2312" w:cs="仿宋_GB2312"/>
                <w:color w:val="auto"/>
                <w:sz w:val="24"/>
                <w:szCs w:val="24"/>
                <w:lang w:val="en-US" w:eastAsia="zh-CN"/>
              </w:rPr>
              <w:t>0</w:t>
            </w:r>
            <w:r>
              <w:rPr>
                <w:rFonts w:hint="eastAsia" w:ascii="仿宋_GB2312" w:hAnsi="仿宋_GB2312" w:eastAsia="仿宋_GB2312" w:cs="仿宋_GB2312"/>
                <w:color w:val="auto"/>
                <w:sz w:val="24"/>
                <w:szCs w:val="24"/>
              </w:rPr>
              <w:t>%</w:t>
            </w:r>
          </w:p>
        </w:tc>
        <w:tc>
          <w:tcPr>
            <w:tcW w:w="2250" w:type="dxa"/>
            <w:gridSpan w:val="2"/>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节目播出后，很多观众点赞、转发</w:t>
            </w:r>
          </w:p>
        </w:tc>
        <w:tc>
          <w:tcPr>
            <w:tcW w:w="1185" w:type="dxa"/>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734" w:type="dxa"/>
            <w:tcBorders>
              <w:top w:val="nil"/>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gridAfter w:val="1"/>
          <w:wAfter w:w="225" w:type="dxa"/>
          <w:trHeight w:val="687" w:hRule="atLeast"/>
        </w:trPr>
        <w:tc>
          <w:tcPr>
            <w:tcW w:w="8404" w:type="dxa"/>
            <w:gridSpan w:val="9"/>
            <w:tcBorders>
              <w:top w:val="single" w:color="auto" w:sz="4" w:space="0"/>
              <w:left w:val="single" w:color="auto" w:sz="4" w:space="0"/>
              <w:bottom w:val="single" w:color="auto"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总</w:t>
            </w:r>
            <w:r>
              <w:rPr>
                <w:rFonts w:hint="eastAsia" w:ascii="仿宋_GB2312" w:hAnsi="仿宋_GB2312" w:eastAsia="仿宋_GB2312" w:cs="仿宋_GB2312"/>
                <w:color w:val="auto"/>
                <w:kern w:val="0"/>
                <w:sz w:val="24"/>
                <w:szCs w:val="24"/>
                <w:lang w:val="en-US" w:eastAsia="zh-CN"/>
              </w:rPr>
              <w:t xml:space="preserve">           </w:t>
            </w:r>
            <w:r>
              <w:rPr>
                <w:rFonts w:hint="eastAsia" w:ascii="仿宋_GB2312" w:hAnsi="仿宋_GB2312" w:eastAsia="仿宋_GB2312" w:cs="仿宋_GB2312"/>
                <w:color w:val="auto"/>
                <w:kern w:val="0"/>
                <w:sz w:val="24"/>
                <w:szCs w:val="24"/>
                <w:lang w:eastAsia="zh-CN"/>
              </w:rPr>
              <w:t>分</w:t>
            </w:r>
          </w:p>
        </w:tc>
        <w:tc>
          <w:tcPr>
            <w:tcW w:w="734" w:type="dxa"/>
            <w:tcBorders>
              <w:top w:val="nil"/>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100</w:t>
            </w:r>
          </w:p>
        </w:tc>
      </w:tr>
      <w:tr>
        <w:tblPrEx>
          <w:tblCellMar>
            <w:top w:w="0" w:type="dxa"/>
            <w:left w:w="108" w:type="dxa"/>
            <w:bottom w:w="0" w:type="dxa"/>
            <w:right w:w="108" w:type="dxa"/>
          </w:tblCellMar>
        </w:tblPrEx>
        <w:trPr>
          <w:trHeight w:val="405" w:hRule="atLeast"/>
        </w:trPr>
        <w:tc>
          <w:tcPr>
            <w:tcW w:w="1174" w:type="dxa"/>
            <w:tcBorders>
              <w:top w:val="nil"/>
              <w:left w:val="nil"/>
              <w:bottom w:val="nil"/>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1207" w:type="dxa"/>
            <w:tcBorders>
              <w:top w:val="nil"/>
              <w:left w:val="nil"/>
              <w:bottom w:val="nil"/>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238" w:type="dxa"/>
            <w:tcBorders>
              <w:top w:val="nil"/>
              <w:left w:val="nil"/>
              <w:bottom w:val="nil"/>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1666" w:type="dxa"/>
            <w:gridSpan w:val="2"/>
            <w:tcBorders>
              <w:top w:val="nil"/>
              <w:left w:val="nil"/>
              <w:bottom w:val="nil"/>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2205" w:type="dxa"/>
            <w:gridSpan w:val="2"/>
            <w:tcBorders>
              <w:top w:val="nil"/>
              <w:left w:val="nil"/>
              <w:bottom w:val="nil"/>
              <w:right w:val="nil"/>
            </w:tcBorders>
            <w:shd w:val="clear" w:color="auto" w:fill="auto"/>
            <w:noWrap/>
            <w:vAlign w:val="center"/>
          </w:tcPr>
          <w:p>
            <w:pPr>
              <w:widowControl/>
              <w:jc w:val="center"/>
              <w:rPr>
                <w:rFonts w:hint="eastAsia" w:ascii="仿宋_GB2312" w:hAnsi="仿宋_GB2312" w:eastAsia="仿宋_GB2312" w:cs="仿宋_GB2312"/>
                <w:color w:val="auto"/>
                <w:kern w:val="0"/>
                <w:sz w:val="20"/>
                <w:szCs w:val="20"/>
              </w:rPr>
            </w:pPr>
          </w:p>
        </w:tc>
        <w:tc>
          <w:tcPr>
            <w:tcW w:w="1914" w:type="dxa"/>
            <w:gridSpan w:val="2"/>
            <w:tcBorders>
              <w:top w:val="nil"/>
              <w:left w:val="nil"/>
              <w:bottom w:val="nil"/>
              <w:right w:val="nil"/>
            </w:tcBorders>
            <w:shd w:val="clear" w:color="auto" w:fill="auto"/>
            <w:noWrap/>
            <w:vAlign w:val="center"/>
          </w:tcPr>
          <w:p>
            <w:pPr>
              <w:widowControl/>
              <w:jc w:val="left"/>
              <w:rPr>
                <w:rFonts w:hint="eastAsia" w:ascii="仿宋_GB2312" w:hAnsi="仿宋_GB2312" w:eastAsia="仿宋_GB2312" w:cs="仿宋_GB2312"/>
                <w:color w:val="auto"/>
                <w:kern w:val="0"/>
                <w:sz w:val="20"/>
                <w:szCs w:val="20"/>
              </w:rPr>
            </w:pPr>
          </w:p>
        </w:tc>
        <w:tc>
          <w:tcPr>
            <w:tcW w:w="734" w:type="dxa"/>
            <w:tcBorders>
              <w:top w:val="nil"/>
              <w:left w:val="nil"/>
              <w:bottom w:val="nil"/>
              <w:right w:val="nil"/>
            </w:tcBorders>
            <w:shd w:val="clear" w:color="auto" w:fill="auto"/>
            <w:noWrap/>
            <w:vAlign w:val="center"/>
          </w:tcPr>
          <w:p>
            <w:pPr>
              <w:widowControl/>
              <w:jc w:val="left"/>
              <w:rPr>
                <w:rFonts w:hint="eastAsia" w:ascii="仿宋_GB2312" w:hAnsi="仿宋_GB2312" w:eastAsia="仿宋_GB2312" w:cs="仿宋_GB2312"/>
                <w:color w:val="auto"/>
                <w:kern w:val="0"/>
                <w:sz w:val="20"/>
                <w:szCs w:val="20"/>
              </w:rPr>
            </w:pPr>
          </w:p>
        </w:tc>
        <w:tc>
          <w:tcPr>
            <w:tcW w:w="225" w:type="dxa"/>
            <w:tcBorders>
              <w:top w:val="nil"/>
              <w:left w:val="nil"/>
              <w:bottom w:val="nil"/>
              <w:right w:val="nil"/>
            </w:tcBorders>
            <w:shd w:val="clear" w:color="auto" w:fill="auto"/>
            <w:noWrap/>
            <w:vAlign w:val="center"/>
          </w:tcPr>
          <w:p>
            <w:pPr>
              <w:widowControl/>
              <w:jc w:val="left"/>
              <w:rPr>
                <w:rFonts w:hint="eastAsia" w:ascii="仿宋_GB2312" w:hAnsi="仿宋_GB2312" w:eastAsia="仿宋_GB2312" w:cs="仿宋_GB2312"/>
                <w:color w:val="auto"/>
                <w:kern w:val="0"/>
                <w:sz w:val="20"/>
                <w:szCs w:val="20"/>
              </w:rPr>
            </w:pPr>
          </w:p>
        </w:tc>
      </w:tr>
    </w:tbl>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pStyle w:val="12"/>
        <w:ind w:firstLine="320" w:firstLineChars="100"/>
        <w:rPr>
          <w:rFonts w:hint="eastAsia" w:ascii="仿宋_GB2312" w:hAnsi="仿宋_GB2312" w:eastAsia="仿宋_GB2312" w:cs="仿宋_GB2312"/>
          <w:color w:val="auto"/>
          <w:sz w:val="32"/>
          <w:szCs w:val="32"/>
        </w:rPr>
      </w:pPr>
    </w:p>
    <w:p>
      <w:pPr>
        <w:widowControl/>
        <w:numPr>
          <w:ilvl w:val="0"/>
          <w:numId w:val="3"/>
        </w:numPr>
        <w:ind w:left="420" w:leftChars="0" w:firstLine="0" w:firstLineChars="0"/>
        <w:jc w:val="center"/>
        <w:rPr>
          <w:rFonts w:hint="eastAsia"/>
        </w:rPr>
      </w:pPr>
      <w:r>
        <w:rPr>
          <w:rFonts w:hint="eastAsia" w:ascii="仿宋_GB2312" w:hAnsi="仿宋_GB2312" w:eastAsia="仿宋_GB2312" w:cs="仿宋_GB2312"/>
          <w:b/>
          <w:color w:val="auto"/>
          <w:sz w:val="32"/>
          <w:szCs w:val="32"/>
        </w:rPr>
        <w:t>《齐齐花坦与河北梆子》70万元（其中：2024市级文化</w:t>
      </w:r>
    </w:p>
    <w:p>
      <w:pPr>
        <w:widowControl/>
        <w:numPr>
          <w:ilvl w:val="0"/>
          <w:numId w:val="0"/>
        </w:numPr>
        <w:jc w:val="both"/>
        <w:rPr>
          <w:rFonts w:hint="eastAsia" w:ascii="仿宋_GB2312" w:hAnsi="仿宋_GB2312" w:eastAsia="仿宋_GB2312" w:cs="仿宋_GB2312"/>
          <w:b/>
          <w:color w:val="auto"/>
          <w:sz w:val="32"/>
          <w:szCs w:val="32"/>
        </w:rPr>
      </w:pPr>
      <w:r>
        <w:rPr>
          <w:rFonts w:hint="eastAsia" w:ascii="仿宋_GB2312" w:hAnsi="仿宋_GB2312" w:eastAsia="仿宋_GB2312" w:cs="仿宋_GB2312"/>
          <w:b/>
          <w:color w:val="auto"/>
          <w:sz w:val="32"/>
          <w:szCs w:val="32"/>
        </w:rPr>
        <w:t>产业繁荣资金50万元，自有资金20万元）</w:t>
      </w:r>
    </w:p>
    <w:p>
      <w:pPr>
        <w:pStyle w:val="12"/>
        <w:ind w:firstLine="320" w:firstLineChars="100"/>
        <w:rPr>
          <w:rFonts w:hint="eastAsia" w:ascii="仿宋_GB2312" w:hAnsi="仿宋_GB2312" w:eastAsia="仿宋_GB2312" w:cs="仿宋_GB2312"/>
          <w:color w:val="auto"/>
          <w:sz w:val="32"/>
          <w:szCs w:val="32"/>
        </w:rPr>
      </w:pPr>
    </w:p>
    <w:tbl>
      <w:tblPr>
        <w:tblStyle w:val="7"/>
        <w:tblW w:w="5144" w:type="pct"/>
        <w:tblInd w:w="0" w:type="dxa"/>
        <w:tblLayout w:type="fixed"/>
        <w:tblCellMar>
          <w:top w:w="0" w:type="dxa"/>
          <w:left w:w="108" w:type="dxa"/>
          <w:bottom w:w="0" w:type="dxa"/>
          <w:right w:w="108" w:type="dxa"/>
        </w:tblCellMar>
      </w:tblPr>
      <w:tblGrid>
        <w:gridCol w:w="1384"/>
        <w:gridCol w:w="1070"/>
        <w:gridCol w:w="1001"/>
        <w:gridCol w:w="1334"/>
        <w:gridCol w:w="2052"/>
        <w:gridCol w:w="1241"/>
        <w:gridCol w:w="1241"/>
      </w:tblGrid>
      <w:tr>
        <w:tblPrEx>
          <w:tblCellMar>
            <w:top w:w="0" w:type="dxa"/>
            <w:left w:w="108" w:type="dxa"/>
            <w:bottom w:w="0" w:type="dxa"/>
            <w:right w:w="108" w:type="dxa"/>
          </w:tblCellMar>
        </w:tblPrEx>
        <w:trPr>
          <w:trHeight w:val="983" w:hRule="atLeast"/>
        </w:trPr>
        <w:tc>
          <w:tcPr>
            <w:tcW w:w="1316" w:type="pct"/>
            <w:gridSpan w:val="2"/>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绩效目标</w:t>
            </w:r>
          </w:p>
        </w:tc>
        <w:tc>
          <w:tcPr>
            <w:tcW w:w="3683" w:type="pct"/>
            <w:gridSpan w:val="5"/>
            <w:tcBorders>
              <w:top w:val="single" w:color="000000" w:sz="4" w:space="0"/>
              <w:left w:val="nil"/>
              <w:bottom w:val="single" w:color="000000" w:sz="4" w:space="0"/>
              <w:right w:val="single" w:color="000000" w:sz="4" w:space="0"/>
            </w:tcBorders>
            <w:shd w:val="clear" w:color="auto" w:fill="auto"/>
            <w:vAlign w:val="center"/>
          </w:tcPr>
          <w:p>
            <w:pPr>
              <w:widowControl/>
              <w:numPr>
                <w:ilvl w:val="0"/>
                <w:numId w:val="4"/>
              </w:numPr>
              <w:jc w:val="center"/>
              <w:rPr>
                <w:rFonts w:hint="eastAsia"/>
              </w:rPr>
            </w:pPr>
            <w:r>
              <w:rPr>
                <w:rFonts w:hint="eastAsia" w:ascii="仿宋_GB2312" w:hAnsi="仿宋_GB2312" w:eastAsia="仿宋_GB2312" w:cs="仿宋_GB2312"/>
                <w:color w:val="auto"/>
                <w:kern w:val="0"/>
                <w:sz w:val="24"/>
                <w:szCs w:val="24"/>
              </w:rPr>
              <w:t>已完成四集广播连续剧的编创、录制、包装、专家审定、修</w:t>
            </w:r>
          </w:p>
          <w:p>
            <w:pPr>
              <w:widowControl/>
              <w:numPr>
                <w:ilvl w:val="0"/>
                <w:numId w:val="0"/>
              </w:numPr>
              <w:jc w:val="both"/>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改等工作。</w:t>
            </w:r>
          </w:p>
          <w:p>
            <w:pPr>
              <w:widowControl/>
              <w:numPr>
                <w:ilvl w:val="0"/>
                <w:numId w:val="0"/>
              </w:numPr>
              <w:jc w:val="both"/>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color w:val="auto"/>
                <w:kern w:val="0"/>
                <w:sz w:val="24"/>
                <w:szCs w:val="24"/>
              </w:rPr>
              <w:t xml:space="preserve">                                                                                                                                                     2、制作完成的四集广播连续剧已在石家庄广播电视台各频率播出。并推送至国家、省级频率及新媒体APP等待播出</w:t>
            </w:r>
          </w:p>
        </w:tc>
      </w:tr>
      <w:tr>
        <w:tblPrEx>
          <w:tblCellMar>
            <w:top w:w="0" w:type="dxa"/>
            <w:left w:w="108" w:type="dxa"/>
            <w:bottom w:w="0" w:type="dxa"/>
            <w:right w:w="108" w:type="dxa"/>
          </w:tblCellMar>
        </w:tblPrEx>
        <w:trPr>
          <w:trHeight w:val="420" w:hRule="atLeast"/>
        </w:trPr>
        <w:tc>
          <w:tcPr>
            <w:tcW w:w="742" w:type="pc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一级指标</w:t>
            </w: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二级指标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rPr>
            </w:pPr>
            <w:r>
              <w:rPr>
                <w:rFonts w:hint="eastAsia" w:ascii="仿宋_GB2312" w:hAnsi="仿宋_GB2312" w:eastAsia="仿宋_GB2312" w:cs="仿宋_GB2312"/>
                <w:b/>
                <w:bCs/>
                <w:color w:val="auto"/>
                <w:kern w:val="0"/>
                <w:sz w:val="24"/>
                <w:szCs w:val="24"/>
              </w:rPr>
              <w:t>三级指标</w:t>
            </w:r>
          </w:p>
        </w:tc>
        <w:tc>
          <w:tcPr>
            <w:tcW w:w="715"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绩效指标描述</w:t>
            </w:r>
          </w:p>
        </w:tc>
        <w:tc>
          <w:tcPr>
            <w:tcW w:w="1100"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指标值</w:t>
            </w:r>
          </w:p>
        </w:tc>
        <w:tc>
          <w:tcPr>
            <w:tcW w:w="665" w:type="pct"/>
            <w:tcBorders>
              <w:top w:val="single" w:color="auto" w:sz="4" w:space="0"/>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实际完成值</w:t>
            </w:r>
          </w:p>
        </w:tc>
        <w:tc>
          <w:tcPr>
            <w:tcW w:w="665" w:type="pct"/>
            <w:tcBorders>
              <w:top w:val="single" w:color="auto" w:sz="4" w:space="0"/>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b/>
                <w:bCs/>
                <w:color w:val="auto"/>
                <w:kern w:val="0"/>
                <w:sz w:val="24"/>
                <w:szCs w:val="24"/>
                <w:lang w:eastAsia="zh-CN"/>
              </w:rPr>
            </w:pPr>
            <w:r>
              <w:rPr>
                <w:rFonts w:hint="eastAsia" w:ascii="仿宋_GB2312" w:hAnsi="仿宋_GB2312" w:eastAsia="仿宋_GB2312" w:cs="仿宋_GB2312"/>
                <w:b/>
                <w:bCs/>
                <w:color w:val="auto"/>
                <w:kern w:val="0"/>
                <w:sz w:val="24"/>
                <w:szCs w:val="24"/>
                <w:lang w:eastAsia="zh-CN"/>
              </w:rPr>
              <w:t>自评得分</w:t>
            </w:r>
          </w:p>
        </w:tc>
      </w:tr>
      <w:tr>
        <w:tblPrEx>
          <w:tblCellMar>
            <w:top w:w="0" w:type="dxa"/>
            <w:left w:w="108" w:type="dxa"/>
            <w:bottom w:w="0" w:type="dxa"/>
            <w:right w:w="108" w:type="dxa"/>
          </w:tblCellMar>
        </w:tblPrEx>
        <w:trPr>
          <w:trHeight w:val="1082" w:hRule="atLeast"/>
        </w:trPr>
        <w:tc>
          <w:tcPr>
            <w:tcW w:w="742" w:type="pct"/>
            <w:vMerge w:val="restart"/>
            <w:tcBorders>
              <w:top w:val="nil"/>
              <w:left w:val="single" w:color="000000" w:sz="4" w:space="0"/>
              <w:bottom w:val="nil"/>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产出指标</w:t>
            </w:r>
          </w:p>
        </w:tc>
        <w:tc>
          <w:tcPr>
            <w:tcW w:w="573" w:type="pct"/>
            <w:tcBorders>
              <w:top w:val="nil"/>
              <w:left w:val="single" w:color="000000" w:sz="4" w:space="0"/>
              <w:bottom w:val="nil"/>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数量指标</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广播连续剧1部</w:t>
            </w:r>
          </w:p>
        </w:tc>
        <w:tc>
          <w:tcPr>
            <w:tcW w:w="715" w:type="pct"/>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val="en-US" w:eastAsia="zh-CN"/>
              </w:rPr>
              <w:t>4集</w:t>
            </w:r>
          </w:p>
        </w:tc>
        <w:tc>
          <w:tcPr>
            <w:tcW w:w="1100" w:type="pct"/>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 广播连续剧4集，每集30分钟</w:t>
            </w:r>
          </w:p>
        </w:tc>
        <w:tc>
          <w:tcPr>
            <w:tcW w:w="665" w:type="pc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665" w:type="pc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1882" w:hRule="atLeast"/>
        </w:trPr>
        <w:tc>
          <w:tcPr>
            <w:tcW w:w="742" w:type="pct"/>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573"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质量指标</w:t>
            </w:r>
          </w:p>
        </w:tc>
        <w:tc>
          <w:tcPr>
            <w:tcW w:w="536" w:type="pc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 播出平台</w:t>
            </w:r>
          </w:p>
        </w:tc>
        <w:tc>
          <w:tcPr>
            <w:tcW w:w="715" w:type="pct"/>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省、市级以上</w:t>
            </w:r>
          </w:p>
        </w:tc>
        <w:tc>
          <w:tcPr>
            <w:tcW w:w="1100" w:type="pct"/>
            <w:tcBorders>
              <w:top w:val="nil"/>
              <w:left w:val="single" w:color="000000" w:sz="4" w:space="0"/>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1、石家庄广播电视台各频率播出  </w:t>
            </w:r>
            <w:r>
              <w:rPr>
                <w:rFonts w:hint="eastAsia" w:ascii="仿宋_GB2312" w:hAnsi="仿宋_GB2312" w:eastAsia="仿宋_GB2312" w:cs="仿宋_GB2312"/>
                <w:color w:val="auto"/>
                <w:kern w:val="0"/>
                <w:sz w:val="24"/>
                <w:szCs w:val="24"/>
              </w:rPr>
              <w:br w:type="textWrapping"/>
            </w:r>
            <w:r>
              <w:rPr>
                <w:rFonts w:hint="eastAsia" w:ascii="仿宋_GB2312" w:hAnsi="仿宋_GB2312" w:eastAsia="仿宋_GB2312" w:cs="仿宋_GB2312"/>
                <w:color w:val="auto"/>
                <w:kern w:val="0"/>
                <w:sz w:val="24"/>
                <w:szCs w:val="24"/>
              </w:rPr>
              <w:t>2、已推送至省级、国家级频率及新媒体APP等待播出。</w:t>
            </w:r>
          </w:p>
        </w:tc>
        <w:tc>
          <w:tcPr>
            <w:tcW w:w="665" w:type="pc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665" w:type="pc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660" w:hRule="atLeast"/>
        </w:trPr>
        <w:tc>
          <w:tcPr>
            <w:tcW w:w="742" w:type="pct"/>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时效指标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完成时间</w:t>
            </w:r>
          </w:p>
        </w:tc>
        <w:tc>
          <w:tcPr>
            <w:tcW w:w="715"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10月前完成剧本；12月底制作完成</w:t>
            </w:r>
          </w:p>
        </w:tc>
        <w:tc>
          <w:tcPr>
            <w:tcW w:w="1100"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全部完成</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480" w:hRule="atLeast"/>
        </w:trPr>
        <w:tc>
          <w:tcPr>
            <w:tcW w:w="742" w:type="pct"/>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成本指标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 项目成本</w:t>
            </w:r>
          </w:p>
        </w:tc>
        <w:tc>
          <w:tcPr>
            <w:tcW w:w="715"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 项目所需费用</w:t>
            </w:r>
          </w:p>
        </w:tc>
        <w:tc>
          <w:tcPr>
            <w:tcW w:w="1100"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符合预算控制范围</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858" w:hRule="atLeast"/>
        </w:trPr>
        <w:tc>
          <w:tcPr>
            <w:tcW w:w="742"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预算执行率指标</w:t>
            </w:r>
            <w:r>
              <w:rPr>
                <w:rFonts w:hint="eastAsia" w:ascii="仿宋_GB2312" w:hAnsi="仿宋_GB2312" w:eastAsia="仿宋_GB2312" w:cs="仿宋_GB2312"/>
                <w:color w:val="auto"/>
                <w:kern w:val="0"/>
                <w:sz w:val="24"/>
                <w:szCs w:val="24"/>
              </w:rPr>
              <w:br w:type="textWrapping"/>
            </w: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预算执行率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预算执行数</w:t>
            </w:r>
          </w:p>
        </w:tc>
        <w:tc>
          <w:tcPr>
            <w:tcW w:w="715"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100%</w:t>
            </w:r>
          </w:p>
        </w:tc>
        <w:tc>
          <w:tcPr>
            <w:tcW w:w="1100"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符合预算执行预期</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sz w:val="24"/>
                <w:szCs w:val="24"/>
                <w:lang w:val="en-US" w:eastAsia="zh-CN"/>
              </w:rPr>
              <w:t>100%</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840" w:hRule="atLeast"/>
        </w:trPr>
        <w:tc>
          <w:tcPr>
            <w:tcW w:w="742" w:type="pct"/>
            <w:vMerge w:val="restart"/>
            <w:tcBorders>
              <w:top w:val="nil"/>
              <w:left w:val="single" w:color="000000" w:sz="4" w:space="0"/>
              <w:bottom w:val="nil"/>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效益指标</w:t>
            </w: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经济效益指标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间接推动经济发展</w:t>
            </w:r>
          </w:p>
        </w:tc>
        <w:tc>
          <w:tcPr>
            <w:tcW w:w="715"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推动我市戏曲文化发展</w:t>
            </w:r>
          </w:p>
        </w:tc>
        <w:tc>
          <w:tcPr>
            <w:tcW w:w="1100"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进行精品提升，推送至国家、省级媒体及学习强国平台等待播出。</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974" w:hRule="atLeast"/>
        </w:trPr>
        <w:tc>
          <w:tcPr>
            <w:tcW w:w="742" w:type="pct"/>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社会效益指标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作品品质及传播范围</w:t>
            </w:r>
          </w:p>
        </w:tc>
        <w:tc>
          <w:tcPr>
            <w:tcW w:w="715"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满足人民群众精神文化需求</w:t>
            </w:r>
          </w:p>
        </w:tc>
        <w:tc>
          <w:tcPr>
            <w:tcW w:w="1100" w:type="pct"/>
            <w:tcBorders>
              <w:top w:val="nil"/>
              <w:left w:val="nil"/>
              <w:bottom w:val="single" w:color="000000" w:sz="4" w:space="0"/>
              <w:right w:val="single" w:color="000000" w:sz="4" w:space="0"/>
            </w:tcBorders>
            <w:shd w:val="clear" w:color="auto" w:fill="auto"/>
            <w:vAlign w:val="center"/>
          </w:tcPr>
          <w:p>
            <w:pPr>
              <w:widowControl/>
              <w:jc w:val="left"/>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rPr>
              <w:t xml:space="preserve"> 以点带面，不断扩大河北梆子艺术的知名度和影响力，充分展示我市的文化底蕴和精神内涵</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sz w:val="24"/>
                <w:szCs w:val="24"/>
                <w:lang w:val="en-US" w:eastAsia="zh-CN"/>
              </w:rPr>
              <w:t>100%</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862" w:hRule="atLeast"/>
        </w:trPr>
        <w:tc>
          <w:tcPr>
            <w:tcW w:w="742" w:type="pct"/>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生态效益指标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数字化传播效果</w:t>
            </w:r>
          </w:p>
        </w:tc>
        <w:tc>
          <w:tcPr>
            <w:tcW w:w="715" w:type="pct"/>
            <w:tcBorders>
              <w:top w:val="nil"/>
              <w:left w:val="nil"/>
              <w:bottom w:val="single" w:color="000000" w:sz="4" w:space="0"/>
              <w:right w:val="nil"/>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播出覆盖百万人次</w:t>
            </w:r>
          </w:p>
        </w:tc>
        <w:tc>
          <w:tcPr>
            <w:tcW w:w="1100" w:type="pct"/>
            <w:tcBorders>
              <w:top w:val="nil"/>
              <w:left w:val="single" w:color="000000" w:sz="4" w:space="0"/>
              <w:bottom w:val="single" w:color="000000" w:sz="4" w:space="0"/>
              <w:right w:val="nil"/>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作品推广，多平台播出</w:t>
            </w:r>
          </w:p>
        </w:tc>
        <w:tc>
          <w:tcPr>
            <w:tcW w:w="665" w:type="pc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sz w:val="24"/>
                <w:szCs w:val="24"/>
                <w:lang w:val="en-US" w:eastAsia="zh-CN"/>
              </w:rPr>
              <w:t>100%</w:t>
            </w:r>
          </w:p>
        </w:tc>
        <w:tc>
          <w:tcPr>
            <w:tcW w:w="665" w:type="pc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840" w:hRule="atLeast"/>
        </w:trPr>
        <w:tc>
          <w:tcPr>
            <w:tcW w:w="742" w:type="pct"/>
            <w:vMerge w:val="continue"/>
            <w:tcBorders>
              <w:top w:val="nil"/>
              <w:left w:val="single" w:color="000000" w:sz="4" w:space="0"/>
              <w:bottom w:val="nil"/>
              <w:right w:val="single" w:color="000000" w:sz="4" w:space="0"/>
            </w:tcBorders>
            <w:vAlign w:val="center"/>
          </w:tcPr>
          <w:p>
            <w:pPr>
              <w:widowControl/>
              <w:jc w:val="left"/>
              <w:rPr>
                <w:rFonts w:hint="eastAsia" w:ascii="仿宋_GB2312" w:hAnsi="仿宋_GB2312" w:eastAsia="仿宋_GB2312" w:cs="仿宋_GB2312"/>
                <w:color w:val="auto"/>
                <w:kern w:val="0"/>
                <w:sz w:val="24"/>
                <w:szCs w:val="24"/>
              </w:rPr>
            </w:pPr>
          </w:p>
        </w:tc>
        <w:tc>
          <w:tcPr>
            <w:tcW w:w="573"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可持续影响指标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作品内涵及影响力</w:t>
            </w:r>
          </w:p>
        </w:tc>
        <w:tc>
          <w:tcPr>
            <w:tcW w:w="715"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 宣传城市文化</w:t>
            </w:r>
          </w:p>
        </w:tc>
        <w:tc>
          <w:tcPr>
            <w:tcW w:w="1100" w:type="pct"/>
            <w:tcBorders>
              <w:top w:val="nil"/>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为我市文艺繁荣发展起到带动作用</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665" w:type="pct"/>
            <w:tcBorders>
              <w:top w:val="nil"/>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480" w:hRule="atLeast"/>
        </w:trPr>
        <w:tc>
          <w:tcPr>
            <w:tcW w:w="742"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满意度指标</w:t>
            </w:r>
            <w:r>
              <w:rPr>
                <w:rFonts w:hint="eastAsia" w:ascii="仿宋_GB2312" w:hAnsi="仿宋_GB2312" w:eastAsia="仿宋_GB2312" w:cs="仿宋_GB2312"/>
                <w:color w:val="auto"/>
                <w:kern w:val="0"/>
                <w:sz w:val="24"/>
                <w:szCs w:val="24"/>
              </w:rPr>
              <w:br w:type="textWrapping"/>
            </w:r>
          </w:p>
        </w:tc>
        <w:tc>
          <w:tcPr>
            <w:tcW w:w="573" w:type="pct"/>
            <w:tcBorders>
              <w:top w:val="nil"/>
              <w:left w:val="nil"/>
              <w:bottom w:val="single" w:color="auto"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满意度指标</w:t>
            </w:r>
          </w:p>
        </w:tc>
        <w:tc>
          <w:tcPr>
            <w:tcW w:w="536" w:type="pct"/>
            <w:tcBorders>
              <w:top w:val="single" w:color="000000" w:sz="4" w:space="0"/>
              <w:left w:val="nil"/>
              <w:bottom w:val="single" w:color="000000" w:sz="4" w:space="0"/>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 xml:space="preserve"> 专家和群众满意度</w:t>
            </w:r>
          </w:p>
        </w:tc>
        <w:tc>
          <w:tcPr>
            <w:tcW w:w="715" w:type="pct"/>
            <w:tcBorders>
              <w:top w:val="nil"/>
              <w:left w:val="nil"/>
              <w:bottom w:val="nil"/>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提升受众关注认可度</w:t>
            </w:r>
          </w:p>
        </w:tc>
        <w:tc>
          <w:tcPr>
            <w:tcW w:w="1100" w:type="pct"/>
            <w:tcBorders>
              <w:top w:val="nil"/>
              <w:left w:val="nil"/>
              <w:bottom w:val="nil"/>
              <w:right w:val="single" w:color="000000" w:sz="4" w:space="0"/>
            </w:tcBorders>
            <w:shd w:val="clear" w:color="auto" w:fill="auto"/>
            <w:vAlign w:val="center"/>
          </w:tcPr>
          <w:p>
            <w:pPr>
              <w:widowControl/>
              <w:jc w:val="left"/>
              <w:rPr>
                <w:rFonts w:hint="eastAsia" w:ascii="仿宋_GB2312" w:hAnsi="仿宋_GB2312" w:eastAsia="仿宋_GB2312" w:cs="仿宋_GB2312"/>
                <w:color w:val="auto"/>
                <w:kern w:val="0"/>
                <w:sz w:val="24"/>
                <w:szCs w:val="24"/>
              </w:rPr>
            </w:pPr>
            <w:r>
              <w:rPr>
                <w:rFonts w:hint="eastAsia" w:ascii="仿宋_GB2312" w:hAnsi="仿宋_GB2312" w:eastAsia="仿宋_GB2312" w:cs="仿宋_GB2312"/>
                <w:color w:val="auto"/>
                <w:kern w:val="0"/>
                <w:sz w:val="24"/>
                <w:szCs w:val="24"/>
              </w:rPr>
              <w:t>节目播出后，很多专家给予肯定，同时不断吸引受众群体。</w:t>
            </w:r>
          </w:p>
        </w:tc>
        <w:tc>
          <w:tcPr>
            <w:tcW w:w="665" w:type="pct"/>
            <w:tcBorders>
              <w:top w:val="nil"/>
              <w:left w:val="nil"/>
              <w:bottom w:val="single" w:color="auto"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val="en-US" w:eastAsia="zh-CN" w:bidi="ar-SA"/>
              </w:rPr>
            </w:pPr>
            <w:r>
              <w:rPr>
                <w:rFonts w:hint="eastAsia" w:ascii="仿宋_GB2312" w:hAnsi="仿宋_GB2312" w:eastAsia="仿宋_GB2312" w:cs="仿宋_GB2312"/>
                <w:color w:val="auto"/>
                <w:sz w:val="24"/>
                <w:szCs w:val="24"/>
                <w:lang w:val="en-US" w:eastAsia="zh-CN"/>
              </w:rPr>
              <w:t>100%</w:t>
            </w:r>
          </w:p>
        </w:tc>
        <w:tc>
          <w:tcPr>
            <w:tcW w:w="665" w:type="pct"/>
            <w:tcBorders>
              <w:top w:val="nil"/>
              <w:left w:val="nil"/>
              <w:bottom w:val="single" w:color="auto"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w:t>
            </w:r>
          </w:p>
        </w:tc>
      </w:tr>
      <w:tr>
        <w:tblPrEx>
          <w:tblCellMar>
            <w:top w:w="0" w:type="dxa"/>
            <w:left w:w="108" w:type="dxa"/>
            <w:bottom w:w="0" w:type="dxa"/>
            <w:right w:w="108" w:type="dxa"/>
          </w:tblCellMar>
        </w:tblPrEx>
        <w:trPr>
          <w:trHeight w:val="715" w:hRule="atLeast"/>
        </w:trPr>
        <w:tc>
          <w:tcPr>
            <w:tcW w:w="4334" w:type="pct"/>
            <w:gridSpan w:val="6"/>
            <w:tcBorders>
              <w:top w:val="single" w:color="auto" w:sz="4" w:space="0"/>
              <w:left w:val="single" w:color="auto" w:sz="4" w:space="0"/>
              <w:bottom w:val="single" w:color="auto" w:sz="4" w:space="0"/>
              <w:right w:val="single" w:color="000000" w:sz="4" w:space="0"/>
            </w:tcBorders>
            <w:shd w:val="clear" w:color="auto" w:fill="auto"/>
            <w:vAlign w:val="center"/>
          </w:tcPr>
          <w:p>
            <w:pPr>
              <w:widowControl/>
              <w:jc w:val="center"/>
              <w:rPr>
                <w:rFonts w:hint="eastAsia" w:ascii="仿宋_GB2312" w:hAnsi="仿宋_GB2312" w:eastAsia="仿宋_GB2312" w:cs="仿宋_GB2312"/>
                <w:color w:val="auto"/>
                <w:kern w:val="0"/>
                <w:sz w:val="24"/>
                <w:szCs w:val="24"/>
                <w:lang w:eastAsia="zh-CN"/>
              </w:rPr>
            </w:pPr>
            <w:r>
              <w:rPr>
                <w:rFonts w:hint="eastAsia" w:ascii="仿宋_GB2312" w:hAnsi="仿宋_GB2312" w:eastAsia="仿宋_GB2312" w:cs="仿宋_GB2312"/>
                <w:color w:val="auto"/>
                <w:kern w:val="0"/>
                <w:sz w:val="24"/>
                <w:szCs w:val="24"/>
                <w:lang w:eastAsia="zh-CN"/>
              </w:rPr>
              <w:t>总</w:t>
            </w:r>
            <w:r>
              <w:rPr>
                <w:rFonts w:hint="eastAsia" w:ascii="仿宋_GB2312" w:hAnsi="仿宋_GB2312" w:eastAsia="仿宋_GB2312" w:cs="仿宋_GB2312"/>
                <w:color w:val="auto"/>
                <w:kern w:val="0"/>
                <w:sz w:val="24"/>
                <w:szCs w:val="24"/>
                <w:lang w:val="en-US" w:eastAsia="zh-CN"/>
              </w:rPr>
              <w:t xml:space="preserve">               </w:t>
            </w:r>
            <w:r>
              <w:rPr>
                <w:rFonts w:hint="eastAsia" w:ascii="仿宋_GB2312" w:hAnsi="仿宋_GB2312" w:eastAsia="仿宋_GB2312" w:cs="仿宋_GB2312"/>
                <w:color w:val="auto"/>
                <w:kern w:val="0"/>
                <w:sz w:val="24"/>
                <w:szCs w:val="24"/>
                <w:lang w:eastAsia="zh-CN"/>
              </w:rPr>
              <w:t>分</w:t>
            </w:r>
          </w:p>
        </w:tc>
        <w:tc>
          <w:tcPr>
            <w:tcW w:w="665" w:type="pct"/>
            <w:tcBorders>
              <w:top w:val="single" w:color="auto" w:sz="4" w:space="0"/>
              <w:left w:val="nil"/>
              <w:bottom w:val="single" w:color="000000" w:sz="4" w:space="0"/>
              <w:right w:val="single" w:color="000000" w:sz="4" w:space="0"/>
            </w:tcBorders>
            <w:shd w:val="clear" w:color="auto" w:fill="auto"/>
            <w:vAlign w:val="center"/>
          </w:tcPr>
          <w:p>
            <w:pPr>
              <w:widowControl/>
              <w:jc w:val="center"/>
              <w:rPr>
                <w:rFonts w:hint="default" w:ascii="仿宋_GB2312" w:hAnsi="仿宋_GB2312" w:eastAsia="仿宋_GB2312" w:cs="仿宋_GB2312"/>
                <w:color w:val="auto"/>
                <w:kern w:val="0"/>
                <w:sz w:val="24"/>
                <w:szCs w:val="24"/>
                <w:lang w:val="en-US" w:eastAsia="zh-CN"/>
              </w:rPr>
            </w:pPr>
            <w:r>
              <w:rPr>
                <w:rFonts w:hint="eastAsia" w:ascii="仿宋_GB2312" w:hAnsi="仿宋_GB2312" w:eastAsia="仿宋_GB2312" w:cs="仿宋_GB2312"/>
                <w:color w:val="auto"/>
                <w:kern w:val="0"/>
                <w:sz w:val="24"/>
                <w:szCs w:val="24"/>
                <w:lang w:val="en-US" w:eastAsia="zh-CN"/>
              </w:rPr>
              <w:t>100</w:t>
            </w:r>
          </w:p>
        </w:tc>
      </w:tr>
    </w:tbl>
    <w:p>
      <w:pPr>
        <w:spacing w:line="360" w:lineRule="auto"/>
        <w:ind w:firstLine="640" w:firstLineChars="200"/>
        <w:rPr>
          <w:rFonts w:hint="eastAsia" w:ascii="仿宋_GB2312" w:hAnsi="仿宋_GB2312" w:eastAsia="仿宋_GB2312" w:cs="仿宋_GB2312"/>
          <w:color w:val="auto"/>
          <w:sz w:val="32"/>
          <w:szCs w:val="32"/>
        </w:rPr>
      </w:pPr>
    </w:p>
    <w:p>
      <w:pPr>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数量指标：石家庄广播电视台大楼办公的电台、电视台、新媒体中心等节目采编制作正常播出提供电力保障等服务，确保节目正常播出。完成《石家庄新闻》及《新闻882》时政新闻节目的制作和播出节目时长36500分钟。完成率为100%，本项得分为10分。</w:t>
      </w:r>
    </w:p>
    <w:p>
      <w:pPr>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质量指标：具有一定影响力、传播力，收视率达平均0.3以上，收视份额平均高于1。制作完成适合在中央广播电视总台、新华社、河北台等媒体平台播发的高质量节目，体现节目主流媒体播出特性。完成率为100%，本项得分为10分。</w:t>
      </w:r>
    </w:p>
    <w:p>
      <w:pPr>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时效指标：在年度内实现了年初设定的各项预期目标，达到了预期效果，完成率为100%，本项得分为10分。</w:t>
      </w:r>
    </w:p>
    <w:p>
      <w:pPr>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成本指标：主要用于宣传片制作、节目制作成本、人力成本等支出。在资金严重短缺的状况下，为不影响预期效果，在大力压缩成本支出，提升技术手段，最终实现预期目标。本项完成率为100%，本项得分为10分。</w:t>
      </w:r>
    </w:p>
    <w:p>
      <w:pPr>
        <w:spacing w:line="560" w:lineRule="exact"/>
        <w:ind w:firstLine="643" w:firstLineChars="200"/>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四、评价结论和评价等级</w:t>
      </w:r>
    </w:p>
    <w:p>
      <w:pPr>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项目具有明确的目标，项目实施过程中能够严格按照省市有关项目管理和资金管理规定执行，资金到位及时，使用得当。</w:t>
      </w:r>
    </w:p>
    <w:p>
      <w:pPr>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各</w:t>
      </w:r>
      <w:r>
        <w:rPr>
          <w:rFonts w:hint="eastAsia" w:ascii="仿宋_GB2312" w:hAnsi="仿宋_GB2312" w:eastAsia="仿宋_GB2312" w:cs="仿宋_GB2312"/>
          <w:color w:val="auto"/>
          <w:sz w:val="32"/>
          <w:szCs w:val="32"/>
        </w:rPr>
        <w:t>项目工程从前期调研、立项、论证等工作，到项目实施、验收等工作，资料完整、齐全，项目总得分100分，综合绩效评价等级为优秀。</w:t>
      </w:r>
    </w:p>
    <w:p>
      <w:pPr>
        <w:spacing w:line="560" w:lineRule="exact"/>
        <w:ind w:firstLine="643" w:firstLineChars="200"/>
        <w:rPr>
          <w:rFonts w:hint="eastAsia" w:asciiTheme="minorEastAsia" w:hAnsiTheme="minorEastAsia" w:eastAsiaTheme="minorEastAsia" w:cstheme="minorEastAsia"/>
          <w:b/>
          <w:bCs/>
          <w:color w:val="auto"/>
          <w:sz w:val="32"/>
          <w:szCs w:val="32"/>
        </w:rPr>
      </w:pPr>
      <w:r>
        <w:rPr>
          <w:rFonts w:hint="eastAsia" w:asciiTheme="minorEastAsia" w:hAnsiTheme="minorEastAsia" w:eastAsiaTheme="minorEastAsia" w:cstheme="minorEastAsia"/>
          <w:b/>
          <w:bCs/>
          <w:color w:val="auto"/>
          <w:sz w:val="32"/>
          <w:szCs w:val="32"/>
        </w:rPr>
        <w:t>五、存在的问题及改进措施</w:t>
      </w:r>
    </w:p>
    <w:p>
      <w:pPr>
        <w:snapToGrid w:val="0"/>
        <w:spacing w:line="360" w:lineRule="auto"/>
        <w:ind w:firstLine="643" w:firstLineChars="200"/>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（一）存在的主要问题</w:t>
      </w:r>
    </w:p>
    <w:p>
      <w:pPr>
        <w:snapToGrid w:val="0"/>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存在问题：经济效益指标因当前大环境影响，传统媒体受新媒体冲击，提升电视收视率和广告收入比较困难。</w:t>
      </w:r>
    </w:p>
    <w:p>
      <w:pPr>
        <w:snapToGrid w:val="0"/>
        <w:spacing w:line="360" w:lineRule="auto"/>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结论：该项目工程从前期调研、立项、论证等工作，到项目拍摄制作、验收等工作，资料完整、齐全，总得分100分，综合绩效评价等级为优秀。</w:t>
      </w:r>
    </w:p>
    <w:p>
      <w:pPr>
        <w:numPr>
          <w:ilvl w:val="0"/>
          <w:numId w:val="2"/>
        </w:numPr>
        <w:spacing w:line="360" w:lineRule="auto"/>
        <w:ind w:firstLine="643" w:firstLineChars="200"/>
        <w:rPr>
          <w:rFonts w:hint="eastAsia" w:ascii="楷体" w:hAnsi="楷体" w:eastAsia="楷体" w:cs="楷体"/>
          <w:b/>
          <w:bCs w:val="0"/>
          <w:color w:val="auto"/>
          <w:sz w:val="32"/>
          <w:szCs w:val="32"/>
        </w:rPr>
      </w:pPr>
      <w:r>
        <w:rPr>
          <w:rFonts w:hint="eastAsia" w:ascii="楷体" w:hAnsi="楷体" w:eastAsia="楷体" w:cs="楷体"/>
          <w:b/>
          <w:bCs w:val="0"/>
          <w:color w:val="auto"/>
          <w:sz w:val="32"/>
          <w:szCs w:val="32"/>
        </w:rPr>
        <w:t>针对问题提出具体的改进措施或建议</w:t>
      </w:r>
    </w:p>
    <w:p>
      <w:pPr>
        <w:spacing w:line="360" w:lineRule="auto"/>
        <w:ind w:left="420" w:leftChars="200" w:firstLine="320" w:firstLineChars="1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针对传统媒体收视率和广告收入下降的问题，我们通</w:t>
      </w:r>
      <w:r>
        <w:rPr>
          <w:rFonts w:hint="eastAsia" w:ascii="仿宋_GB2312" w:hAnsi="仿宋_GB2312" w:eastAsia="仿宋_GB2312" w:cs="仿宋_GB2312"/>
          <w:color w:val="auto"/>
          <w:sz w:val="32"/>
          <w:szCs w:val="32"/>
          <w:lang w:eastAsia="zh-CN"/>
        </w:rPr>
        <w:t>各</w:t>
      </w:r>
      <w:r>
        <w:rPr>
          <w:rFonts w:hint="eastAsia" w:ascii="仿宋_GB2312" w:hAnsi="仿宋_GB2312" w:eastAsia="仿宋_GB2312" w:cs="仿宋_GB2312"/>
          <w:color w:val="auto"/>
          <w:sz w:val="32"/>
          <w:szCs w:val="32"/>
        </w:rPr>
        <w:t>个</w:t>
      </w:r>
    </w:p>
    <w:p>
      <w:pPr>
        <w:spacing w:line="360" w:lineRule="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项目的建成，提升节目质量，用高品质节目，稳定现有收视人群，同时做好媒体融合，拓宽新媒体市场份额和收入。</w:t>
      </w:r>
    </w:p>
    <w:p>
      <w:pPr>
        <w:spacing w:line="560" w:lineRule="exact"/>
        <w:ind w:firstLine="640" w:firstLineChars="200"/>
        <w:rPr>
          <w:rFonts w:hint="eastAsia" w:ascii="仿宋_GB2312" w:hAnsi="仿宋_GB2312" w:eastAsia="仿宋_GB2312" w:cs="仿宋_GB2312"/>
          <w:bCs/>
          <w:color w:val="auto"/>
          <w:sz w:val="32"/>
          <w:szCs w:val="32"/>
        </w:rPr>
      </w:pPr>
    </w:p>
    <w:p>
      <w:pPr>
        <w:pStyle w:val="2"/>
        <w:rPr>
          <w:rFonts w:hint="eastAsia" w:ascii="仿宋_GB2312" w:hAnsi="仿宋_GB2312" w:eastAsia="仿宋_GB2312" w:cs="仿宋_GB2312"/>
          <w:bCs/>
          <w:color w:val="auto"/>
          <w:sz w:val="32"/>
          <w:szCs w:val="32"/>
        </w:rPr>
      </w:pPr>
    </w:p>
    <w:p>
      <w:pPr>
        <w:pStyle w:val="2"/>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 xml:space="preserve">                       石家庄广播电视台</w:t>
      </w:r>
    </w:p>
    <w:p>
      <w:pPr>
        <w:pStyle w:val="2"/>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 xml:space="preserve">                       2025年3月30日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panose1 w:val="02000000000000000000"/>
    <w:charset w:val="86"/>
    <w:family w:val="roman"/>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2049" o:spt="202" type="#_x0000_t202" style="position:absolute;left:0pt;margin-top:0pt;height:144pt;width:144pt;mso-position-horizontal:center;mso-position-horizontal-relative:margin;mso-wrap-style:none;z-index:251660288;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- 17 -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273BF9"/>
    <w:multiLevelType w:val="singleLevel"/>
    <w:tmpl w:val="F2273BF9"/>
    <w:lvl w:ilvl="0" w:tentative="0">
      <w:start w:val="1"/>
      <w:numFmt w:val="decimal"/>
      <w:suff w:val="nothing"/>
      <w:lvlText w:val="%1、"/>
      <w:lvlJc w:val="left"/>
    </w:lvl>
  </w:abstractNum>
  <w:abstractNum w:abstractNumId="1">
    <w:nsid w:val="41736303"/>
    <w:multiLevelType w:val="singleLevel"/>
    <w:tmpl w:val="41736303"/>
    <w:lvl w:ilvl="0" w:tentative="0">
      <w:start w:val="8"/>
      <w:numFmt w:val="decimal"/>
      <w:suff w:val="nothing"/>
      <w:lvlText w:val="%1、"/>
      <w:lvlJc w:val="left"/>
      <w:pPr>
        <w:ind w:left="420" w:leftChars="0" w:firstLine="0" w:firstLineChars="0"/>
      </w:pPr>
      <w:rPr>
        <w:rFonts w:hint="default" w:ascii="仿宋_GB2312" w:hAnsi="仿宋_GB2312" w:eastAsia="仿宋_GB2312" w:cs="仿宋_GB2312"/>
        <w:b/>
        <w:bCs/>
        <w:sz w:val="30"/>
        <w:szCs w:val="30"/>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7A1CD68A"/>
    <w:multiLevelType w:val="singleLevel"/>
    <w:tmpl w:val="7A1CD68A"/>
    <w:lvl w:ilvl="0" w:tentative="0">
      <w:start w:val="2"/>
      <w:numFmt w:val="chineseCounting"/>
      <w:suff w:val="nothing"/>
      <w:lvlText w:val="（%1）"/>
      <w:lvlJc w:val="left"/>
      <w:pPr>
        <w:ind w:left="-10"/>
      </w:pPr>
      <w:rPr>
        <w:rFonts w:hint="eastAsia"/>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0172A27"/>
    <w:rsid w:val="00071233"/>
    <w:rsid w:val="000B0260"/>
    <w:rsid w:val="000E243A"/>
    <w:rsid w:val="000E6B49"/>
    <w:rsid w:val="00172A27"/>
    <w:rsid w:val="001F187B"/>
    <w:rsid w:val="00223622"/>
    <w:rsid w:val="00257E24"/>
    <w:rsid w:val="002A236D"/>
    <w:rsid w:val="002E2AB3"/>
    <w:rsid w:val="00372302"/>
    <w:rsid w:val="00374966"/>
    <w:rsid w:val="004E29CB"/>
    <w:rsid w:val="004F5A7B"/>
    <w:rsid w:val="005C05AB"/>
    <w:rsid w:val="00760B8D"/>
    <w:rsid w:val="007D32E0"/>
    <w:rsid w:val="007E4D60"/>
    <w:rsid w:val="007E6C1F"/>
    <w:rsid w:val="008B6DF3"/>
    <w:rsid w:val="00956A93"/>
    <w:rsid w:val="009B3D7E"/>
    <w:rsid w:val="009E575C"/>
    <w:rsid w:val="009E6E95"/>
    <w:rsid w:val="00AA1B67"/>
    <w:rsid w:val="00AC2830"/>
    <w:rsid w:val="00AF167E"/>
    <w:rsid w:val="00AF566A"/>
    <w:rsid w:val="00B478EA"/>
    <w:rsid w:val="00B6553A"/>
    <w:rsid w:val="00BC6576"/>
    <w:rsid w:val="00BF28F3"/>
    <w:rsid w:val="00CE06BA"/>
    <w:rsid w:val="00D64005"/>
    <w:rsid w:val="00D84067"/>
    <w:rsid w:val="00E77192"/>
    <w:rsid w:val="00F262D6"/>
    <w:rsid w:val="00F441CC"/>
    <w:rsid w:val="00F52286"/>
    <w:rsid w:val="00F639D0"/>
    <w:rsid w:val="00F965AB"/>
    <w:rsid w:val="01B104CA"/>
    <w:rsid w:val="02106AB0"/>
    <w:rsid w:val="02B43A28"/>
    <w:rsid w:val="03A03C0E"/>
    <w:rsid w:val="046F331E"/>
    <w:rsid w:val="04F92C86"/>
    <w:rsid w:val="050464C8"/>
    <w:rsid w:val="05921366"/>
    <w:rsid w:val="05A36B0C"/>
    <w:rsid w:val="074E48B8"/>
    <w:rsid w:val="07956271"/>
    <w:rsid w:val="09100217"/>
    <w:rsid w:val="095600DF"/>
    <w:rsid w:val="09721397"/>
    <w:rsid w:val="0AB45140"/>
    <w:rsid w:val="0BB63BED"/>
    <w:rsid w:val="0BBA41CE"/>
    <w:rsid w:val="0D133464"/>
    <w:rsid w:val="0EB97A43"/>
    <w:rsid w:val="0EBD2122"/>
    <w:rsid w:val="0EE8391D"/>
    <w:rsid w:val="0EEE67EF"/>
    <w:rsid w:val="0F214EAE"/>
    <w:rsid w:val="0F8D477F"/>
    <w:rsid w:val="100B1BBB"/>
    <w:rsid w:val="119D4AC0"/>
    <w:rsid w:val="11B71E6A"/>
    <w:rsid w:val="13D606AE"/>
    <w:rsid w:val="1508746A"/>
    <w:rsid w:val="19C5476F"/>
    <w:rsid w:val="1AA17060"/>
    <w:rsid w:val="1AAF0063"/>
    <w:rsid w:val="1B736F07"/>
    <w:rsid w:val="1BE140DE"/>
    <w:rsid w:val="1BE8736B"/>
    <w:rsid w:val="1DC978E8"/>
    <w:rsid w:val="1E0C4183"/>
    <w:rsid w:val="1E542E40"/>
    <w:rsid w:val="207B437F"/>
    <w:rsid w:val="21F668A9"/>
    <w:rsid w:val="2253436D"/>
    <w:rsid w:val="24517A0D"/>
    <w:rsid w:val="248C197D"/>
    <w:rsid w:val="252959AF"/>
    <w:rsid w:val="25F35B50"/>
    <w:rsid w:val="277A6671"/>
    <w:rsid w:val="28A44CBC"/>
    <w:rsid w:val="292D35B7"/>
    <w:rsid w:val="2A6C24A7"/>
    <w:rsid w:val="2A942A16"/>
    <w:rsid w:val="2B222F37"/>
    <w:rsid w:val="2C294333"/>
    <w:rsid w:val="2F96728B"/>
    <w:rsid w:val="307B681E"/>
    <w:rsid w:val="33EB6CFF"/>
    <w:rsid w:val="34687E89"/>
    <w:rsid w:val="35A12947"/>
    <w:rsid w:val="36E4404E"/>
    <w:rsid w:val="37387040"/>
    <w:rsid w:val="3795353A"/>
    <w:rsid w:val="395F189C"/>
    <w:rsid w:val="3B625C0A"/>
    <w:rsid w:val="3CEE1963"/>
    <w:rsid w:val="3DD635F3"/>
    <w:rsid w:val="3DED384A"/>
    <w:rsid w:val="3E210507"/>
    <w:rsid w:val="3FA90FCF"/>
    <w:rsid w:val="40404196"/>
    <w:rsid w:val="406355E5"/>
    <w:rsid w:val="40C73A8E"/>
    <w:rsid w:val="40D4153C"/>
    <w:rsid w:val="42C45E7E"/>
    <w:rsid w:val="436B78D3"/>
    <w:rsid w:val="490612F7"/>
    <w:rsid w:val="4929734E"/>
    <w:rsid w:val="4C0C15B0"/>
    <w:rsid w:val="4C9C27FE"/>
    <w:rsid w:val="4CAA4D70"/>
    <w:rsid w:val="4DBA7B71"/>
    <w:rsid w:val="4F244126"/>
    <w:rsid w:val="512260B4"/>
    <w:rsid w:val="517F4BC4"/>
    <w:rsid w:val="52BD6ACB"/>
    <w:rsid w:val="55537534"/>
    <w:rsid w:val="55C51BA3"/>
    <w:rsid w:val="55E55774"/>
    <w:rsid w:val="561A74F1"/>
    <w:rsid w:val="576807AB"/>
    <w:rsid w:val="57AF122D"/>
    <w:rsid w:val="58237526"/>
    <w:rsid w:val="58B17416"/>
    <w:rsid w:val="595F09CA"/>
    <w:rsid w:val="597244E8"/>
    <w:rsid w:val="597B512C"/>
    <w:rsid w:val="59F91E22"/>
    <w:rsid w:val="5CCE2146"/>
    <w:rsid w:val="5D510C66"/>
    <w:rsid w:val="5EB71C30"/>
    <w:rsid w:val="62C63B33"/>
    <w:rsid w:val="636B6AA9"/>
    <w:rsid w:val="647A4BD6"/>
    <w:rsid w:val="65250494"/>
    <w:rsid w:val="66AF0CE5"/>
    <w:rsid w:val="684F7894"/>
    <w:rsid w:val="68AC2130"/>
    <w:rsid w:val="6AC537CF"/>
    <w:rsid w:val="6B950315"/>
    <w:rsid w:val="6CE52A09"/>
    <w:rsid w:val="6D0A786E"/>
    <w:rsid w:val="6E4404B2"/>
    <w:rsid w:val="6E5B14A6"/>
    <w:rsid w:val="6EBF7216"/>
    <w:rsid w:val="6ED56E6B"/>
    <w:rsid w:val="6F3E0C3F"/>
    <w:rsid w:val="711B255E"/>
    <w:rsid w:val="71AE1CC6"/>
    <w:rsid w:val="7637454E"/>
    <w:rsid w:val="78C72C32"/>
    <w:rsid w:val="78EB5EB0"/>
    <w:rsid w:val="7A6B47FD"/>
    <w:rsid w:val="7A6D4609"/>
    <w:rsid w:val="7A874A7B"/>
    <w:rsid w:val="7BB51E06"/>
    <w:rsid w:val="7C387F7C"/>
    <w:rsid w:val="7EB05FD3"/>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customStyle="1" w:styleId="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10">
    <w:name w:val="单元格样式1_c3de2e0f-b99d-47c9-b1be-a5c7c1b5fef9"/>
    <w:basedOn w:val="1"/>
    <w:qFormat/>
    <w:uiPriority w:val="0"/>
    <w:pPr>
      <w:jc w:val="center"/>
    </w:pPr>
    <w:rPr>
      <w:rFonts w:ascii="方正书宋_GBK" w:hAnsi="方正书宋_GBK" w:eastAsia="方正书宋_GBK" w:cs="方正书宋_GBK"/>
      <w:b/>
    </w:rPr>
  </w:style>
  <w:style w:type="paragraph" w:customStyle="1" w:styleId="11">
    <w:name w:val="单元格样式2_9dfb257f-1255-47b1-92f2-001655579a1d"/>
    <w:basedOn w:val="1"/>
    <w:qFormat/>
    <w:uiPriority w:val="0"/>
    <w:rPr>
      <w:rFonts w:ascii="方正书宋_GBK" w:hAnsi="方正书宋_GBK" w:eastAsia="方正书宋_GBK" w:cs="方正书宋_GBK"/>
    </w:rPr>
  </w:style>
  <w:style w:type="paragraph" w:customStyle="1" w:styleId="12">
    <w:name w:val="Normal_90537c8d-98eb-43cf-bd26-9d3fbdf7af15"/>
    <w:qFormat/>
    <w:uiPriority w:val="0"/>
    <w:rPr>
      <w:rFonts w:ascii="Times New Roman" w:hAnsi="Times New Roman" w:eastAsia="Times New Roman" w:cs="Times New Roman"/>
      <w:sz w:val="24"/>
      <w:szCs w:val="24"/>
      <w:lang w:val="en-US" w:eastAsia="uk-UA" w:bidi="ar-SA"/>
    </w:rPr>
  </w:style>
  <w:style w:type="paragraph" w:customStyle="1" w:styleId="13">
    <w:name w:val="单元格样式3_f09fe6fd-d919-4b03-a28e-f5ef3446d24e"/>
    <w:basedOn w:val="1"/>
    <w:qFormat/>
    <w:uiPriority w:val="0"/>
    <w:pPr>
      <w:jc w:val="center"/>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Win10NeT.COM</Company>
  <Pages>17</Pages>
  <Words>1626</Words>
  <Characters>9269</Characters>
  <Lines>77</Lines>
  <Paragraphs>21</Paragraphs>
  <TotalTime>1</TotalTime>
  <ScaleCrop>false</ScaleCrop>
  <LinksUpToDate>false</LinksUpToDate>
  <CharactersWithSpaces>10874</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2025-04-08T01:46:00Z</cp:lastPrinted>
  <dcterms:modified xsi:type="dcterms:W3CDTF">2025-04-08T04:41:37Z</dcterms:modified>
  <dc:title>附件3：</dc:title>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