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石家庄市裕华区人民检察院</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宋体" w:hAnsi="宋体" w:cs="宋体"/>
          <w:sz w:val="32"/>
          <w:szCs w:val="32"/>
        </w:rPr>
      </w:pP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我院</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1、部门职责</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（一）深入贯彻习近平新时代中国特色社会主义思想，深入贯彻党的路线方针和决策部署，坚持党对检察工作的绝对领导，坚决维护习近平总书记的核心地位，坚决维护党中央权威和集中统一领导。</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（二）依法向区人民代表大会及其常务委员会提出议案。</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（三）贯彻落实检察工作方针、总体规划，研究制定检察工作计划并组织实施。</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（四）依照法律规定对直接受理的刑事案件行使侦查权。</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（五）负责对管辖的各类刑事案件依法审查批准逮捕、决定逮捕、提起公诉。</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（六）负责应由本院承办的刑事、民事、行政诉讼活动及刑事、民事、行政判决和裁定等生效法律文书执行的法律监督工作</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（七）负责应由本院承办的提起公益诉讼工作。</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（八）依法受理核准追诉案件，审查是否上报。</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（九）负责应由本院承办的对社区矫正等执法活动的法律监督工作。</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（十）受理向本院的控告申诉。</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（十一）组织检察工作中法律政策具体应用问题的研究；组织开展检察理论研究工作。</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（十二）负责检察人员思想政治教育和业务培训工作；按照权限管理检察官和其他工作人员。</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（十三）负责本院检务督察工作。</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（十四）负责本院检务保障以及检察技术、信息化建设工作。</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（十五）完成其他应当由本院负责的工作。</w:t>
      </w:r>
    </w:p>
    <w:p>
      <w:pPr>
        <w:spacing w:before="0" w:after="0" w:line="240" w:lineRule="auto"/>
        <w:ind w:firstLine="0"/>
        <w:jc w:val="both"/>
        <w:outlineLvl w:val="9"/>
        <w:rPr>
          <w:rFonts w:hint="eastAsia"/>
          <w:sz w:val="36"/>
          <w:szCs w:val="36"/>
          <w:lang w:val="en-US" w:eastAsia="zh-CN"/>
        </w:rPr>
      </w:pPr>
      <w:r>
        <w:rPr>
          <w:rFonts w:hint="eastAsia"/>
          <w:sz w:val="36"/>
          <w:szCs w:val="36"/>
          <w:lang w:val="en-US" w:eastAsia="zh-CN"/>
        </w:rPr>
        <w:t>2、组织机构</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4"/>
        <w:tblW w:w="457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95"/>
        <w:gridCol w:w="1896"/>
        <w:gridCol w:w="2265"/>
        <w:gridCol w:w="20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63" w:type="pct"/>
            <w:vAlign w:val="center"/>
          </w:tcPr>
          <w:p>
            <w:pPr>
              <w:pStyle w:val="8"/>
            </w:pPr>
            <w:r>
              <w:t>单位名称</w:t>
            </w:r>
          </w:p>
        </w:tc>
        <w:tc>
          <w:tcPr>
            <w:tcW w:w="1143" w:type="pct"/>
            <w:vAlign w:val="center"/>
          </w:tcPr>
          <w:p>
            <w:pPr>
              <w:pStyle w:val="8"/>
            </w:pPr>
            <w:r>
              <w:t>单位性质</w:t>
            </w:r>
          </w:p>
        </w:tc>
        <w:tc>
          <w:tcPr>
            <w:tcW w:w="1365" w:type="pct"/>
            <w:vAlign w:val="center"/>
          </w:tcPr>
          <w:p>
            <w:pPr>
              <w:pStyle w:val="8"/>
            </w:pPr>
            <w:r>
              <w:t>单位规格</w:t>
            </w:r>
          </w:p>
        </w:tc>
        <w:tc>
          <w:tcPr>
            <w:tcW w:w="1228" w:type="pct"/>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pct"/>
            <w:vAlign w:val="center"/>
          </w:tcPr>
          <w:p>
            <w:pPr>
              <w:pStyle w:val="9"/>
            </w:pPr>
            <w:r>
              <w:t>石家庄市裕华区人民检察院</w:t>
            </w:r>
          </w:p>
        </w:tc>
        <w:tc>
          <w:tcPr>
            <w:tcW w:w="1143" w:type="pct"/>
            <w:vAlign w:val="center"/>
          </w:tcPr>
          <w:p>
            <w:pPr>
              <w:pStyle w:val="10"/>
            </w:pPr>
            <w:r>
              <w:t>行政</w:t>
            </w:r>
          </w:p>
        </w:tc>
        <w:tc>
          <w:tcPr>
            <w:tcW w:w="1365" w:type="pct"/>
            <w:vAlign w:val="center"/>
          </w:tcPr>
          <w:p>
            <w:pPr>
              <w:pStyle w:val="10"/>
            </w:pPr>
            <w:r>
              <w:t>副处（县）级</w:t>
            </w:r>
          </w:p>
        </w:tc>
        <w:tc>
          <w:tcPr>
            <w:tcW w:w="1228" w:type="pct"/>
            <w:vAlign w:val="center"/>
          </w:tcPr>
          <w:p>
            <w:pPr>
              <w:pStyle w:val="10"/>
            </w:pPr>
            <w:r>
              <w:t>财政拨款</w:t>
            </w:r>
          </w:p>
        </w:tc>
      </w:tr>
    </w:tbl>
    <w:p>
      <w:pPr>
        <w:spacing w:before="0" w:after="0" w:line="240" w:lineRule="auto"/>
        <w:ind w:firstLine="0"/>
        <w:jc w:val="center"/>
        <w:outlineLvl w:val="9"/>
        <w:rPr>
          <w:rFonts w:hint="eastAsia" w:ascii="方正小标宋_GBK" w:hAnsi="方正小标宋_GBK" w:eastAsia="方正小标宋_GBK" w:cs="方正小标宋_GBK"/>
          <w:color w:val="000000"/>
          <w:sz w:val="32"/>
          <w:lang w:eastAsia="zh-CN"/>
        </w:rPr>
      </w:pPr>
    </w:p>
    <w:p>
      <w:pPr>
        <w:spacing w:before="0" w:after="0" w:line="240" w:lineRule="auto"/>
        <w:ind w:firstLine="0"/>
        <w:jc w:val="both"/>
        <w:outlineLvl w:val="9"/>
        <w:rPr>
          <w:rFonts w:hint="default" w:ascii="方正小标宋_GBK" w:hAnsi="方正小标宋_GBK" w:eastAsia="方正小标宋_GBK" w:cs="方正小标宋_GBK"/>
          <w:color w:val="000000"/>
          <w:sz w:val="32"/>
          <w:lang w:val="en-US" w:eastAsia="zh-CN"/>
        </w:rPr>
      </w:pPr>
      <w:r>
        <w:rPr>
          <w:rFonts w:hint="eastAsia" w:ascii="方正小标宋_GBK" w:hAnsi="方正小标宋_GBK" w:eastAsia="方正小标宋_GBK" w:cs="方正小标宋_GBK"/>
          <w:color w:val="000000"/>
          <w:sz w:val="32"/>
          <w:lang w:val="en-US" w:eastAsia="zh-CN"/>
        </w:rPr>
        <w:t>3、人员情况</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部门人员</w:t>
      </w:r>
      <w:r>
        <w:rPr>
          <w:rFonts w:ascii="方正小标宋_GBK" w:hAnsi="方正小标宋_GBK" w:eastAsia="方正小标宋_GBK" w:cs="方正小标宋_GBK"/>
          <w:color w:val="000000"/>
          <w:sz w:val="32"/>
        </w:rPr>
        <w:t>情况</w:t>
      </w:r>
    </w:p>
    <w:tbl>
      <w:tblPr>
        <w:tblStyle w:val="4"/>
        <w:tblW w:w="332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94"/>
        <w:gridCol w:w="1896"/>
        <w:gridCol w:w="20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tblHeader/>
          <w:jc w:val="center"/>
        </w:trPr>
        <w:tc>
          <w:tcPr>
            <w:tcW w:w="1737" w:type="pct"/>
            <w:vAlign w:val="center"/>
          </w:tcPr>
          <w:p>
            <w:pPr>
              <w:pStyle w:val="8"/>
            </w:pPr>
            <w:r>
              <w:t>单位名称</w:t>
            </w:r>
          </w:p>
        </w:tc>
        <w:tc>
          <w:tcPr>
            <w:tcW w:w="1572" w:type="pct"/>
            <w:vAlign w:val="center"/>
          </w:tcPr>
          <w:p>
            <w:pPr>
              <w:pStyle w:val="8"/>
              <w:rPr>
                <w:rFonts w:hint="eastAsia" w:eastAsia="方正书宋_GBK"/>
                <w:lang w:eastAsia="zh-CN"/>
              </w:rPr>
            </w:pPr>
            <w:r>
              <w:rPr>
                <w:rFonts w:hint="eastAsia"/>
                <w:lang w:eastAsia="zh-CN"/>
              </w:rPr>
              <w:t>年末实有人数</w:t>
            </w:r>
          </w:p>
        </w:tc>
        <w:tc>
          <w:tcPr>
            <w:tcW w:w="1689" w:type="pct"/>
            <w:vAlign w:val="center"/>
          </w:tcPr>
          <w:p>
            <w:pPr>
              <w:pStyle w:val="8"/>
              <w:rPr>
                <w:rFonts w:hint="eastAsia" w:eastAsia="方正书宋_GBK"/>
                <w:lang w:eastAsia="zh-CN"/>
              </w:rPr>
            </w:pPr>
            <w:bookmarkStart w:id="0" w:name="_GoBack"/>
            <w:bookmarkEnd w:id="0"/>
            <w:r>
              <w:rPr>
                <w:rFonts w:hint="eastAsia"/>
                <w:lang w:eastAsia="zh-CN"/>
              </w:rP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7" w:type="pct"/>
            <w:vAlign w:val="center"/>
          </w:tcPr>
          <w:p>
            <w:pPr>
              <w:pStyle w:val="9"/>
            </w:pPr>
            <w:r>
              <w:t>石家庄市裕华区人民检察院</w:t>
            </w:r>
          </w:p>
        </w:tc>
        <w:tc>
          <w:tcPr>
            <w:tcW w:w="1572" w:type="pct"/>
            <w:vAlign w:val="center"/>
          </w:tcPr>
          <w:p>
            <w:pPr>
              <w:pStyle w:val="10"/>
              <w:rPr>
                <w:rFonts w:hint="default" w:eastAsia="方正书宋_GBK"/>
                <w:lang w:val="en-US" w:eastAsia="zh-CN"/>
              </w:rPr>
            </w:pPr>
            <w:r>
              <w:rPr>
                <w:rFonts w:hint="eastAsia"/>
                <w:lang w:val="en-US" w:eastAsia="zh-CN"/>
              </w:rPr>
              <w:t>47</w:t>
            </w:r>
          </w:p>
        </w:tc>
        <w:tc>
          <w:tcPr>
            <w:tcW w:w="1689" w:type="pct"/>
            <w:vAlign w:val="center"/>
          </w:tcPr>
          <w:p>
            <w:pPr>
              <w:pStyle w:val="10"/>
              <w:rPr>
                <w:rFonts w:hint="default" w:eastAsia="方正书宋_GBK"/>
                <w:lang w:val="en-US" w:eastAsia="zh-CN"/>
              </w:rPr>
            </w:pPr>
            <w:r>
              <w:rPr>
                <w:rFonts w:hint="eastAsia"/>
                <w:lang w:val="en-US" w:eastAsia="zh-CN"/>
              </w:rPr>
              <w:t>36</w:t>
            </w:r>
          </w:p>
        </w:tc>
      </w:tr>
    </w:tbl>
    <w:p>
      <w:pPr>
        <w:pStyle w:val="7"/>
        <w:numPr>
          <w:ilvl w:val="0"/>
          <w:numId w:val="1"/>
        </w:numPr>
        <w:tabs>
          <w:tab w:val="left" w:pos="354"/>
        </w:tabs>
        <w:rPr>
          <w:rFonts w:hint="default"/>
          <w:lang w:val="en-US" w:eastAsia="zh-CN"/>
        </w:rPr>
      </w:pPr>
      <w:r>
        <w:rPr>
          <w:rFonts w:hint="eastAsia"/>
          <w:lang w:val="en-US" w:eastAsia="zh-CN"/>
        </w:rPr>
        <w:t>车辆情况</w:t>
      </w:r>
    </w:p>
    <w:p>
      <w:pPr>
        <w:pStyle w:val="7"/>
        <w:numPr>
          <w:ilvl w:val="0"/>
          <w:numId w:val="0"/>
        </w:numPr>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现有车辆9辆，其中应急保障车辆1辆，特种专业技术用车8辆。</w:t>
      </w:r>
    </w:p>
    <w:p>
      <w:pPr>
        <w:numPr>
          <w:ilvl w:val="0"/>
          <w:numId w:val="2"/>
        </w:num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部门收支预决算情况</w:t>
      </w:r>
    </w:p>
    <w:p>
      <w:pPr>
        <w:numPr>
          <w:ilvl w:val="0"/>
          <w:numId w:val="0"/>
        </w:numPr>
        <w:adjustRightInd w:val="0"/>
        <w:snapToGrid w:val="0"/>
        <w:spacing w:line="560" w:lineRule="exact"/>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2023年预算收入1824.3万元，其中财政拨款1824.3万元，决算支出1776.65万元。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2023年我们将坚持以习近平新时代中国特色社会主义思想为指导，深入贯彻习近平法治思想，精细落实“讲政治、顾大局、谋发展、重自强”检察工作总要求，全面充分履行法律监督职责，以检察工作高质量发展服务保障区域经济社会高质量发展，努力为建设现代化、国际化美丽省会示范区提供有力司法保障。一是要在“精”上下功夫，服务保障区域经济社会发展大局。二是要在“实”上下功夫，持之以恒做好检察为民工作。三是要在“创”上下功夫，推动检察工作高质量发展。四是要在“严”上下功夫，建设德才兼备的高素质检察队伍。</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default" w:ascii="仿宋" w:hAnsi="仿宋" w:eastAsia="仿宋"/>
          <w:sz w:val="32"/>
          <w:szCs w:val="32"/>
          <w:lang w:val="en-US" w:eastAsia="zh-CN"/>
        </w:rPr>
      </w:pPr>
      <w:r>
        <w:rPr>
          <w:rFonts w:hint="eastAsia" w:ascii="仿宋" w:hAnsi="仿宋" w:eastAsia="仿宋"/>
          <w:sz w:val="32"/>
          <w:szCs w:val="32"/>
        </w:rPr>
        <w:t xml:space="preserve">    </w:t>
      </w:r>
      <w:r>
        <w:rPr>
          <w:rFonts w:hint="eastAsia" w:ascii="仿宋" w:hAnsi="仿宋" w:eastAsia="仿宋"/>
          <w:sz w:val="32"/>
          <w:szCs w:val="32"/>
          <w:lang w:eastAsia="zh-CN"/>
        </w:rPr>
        <w:t>为保证绩效评价工作顺利开展，我院成立了绩效评价工作小组，开展部门</w:t>
      </w:r>
      <w:r>
        <w:rPr>
          <w:rFonts w:hint="eastAsia" w:ascii="仿宋" w:hAnsi="仿宋" w:eastAsia="仿宋"/>
          <w:sz w:val="32"/>
          <w:szCs w:val="32"/>
          <w:lang w:val="en-US" w:eastAsia="zh-CN"/>
        </w:rPr>
        <w:t>2023年度整体支出绩效自评工作。</w:t>
      </w:r>
    </w:p>
    <w:p>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1.评价方法</w:t>
      </w:r>
    </w:p>
    <w:p>
      <w:pPr>
        <w:snapToGrid w:val="0"/>
        <w:spacing w:line="560" w:lineRule="exact"/>
        <w:ind w:firstLine="640" w:firstLineChars="200"/>
        <w:rPr>
          <w:rFonts w:ascii="仿宋" w:hAnsi="仿宋" w:eastAsia="仿宋" w:cs="仿宋"/>
          <w:sz w:val="32"/>
          <w:szCs w:val="32"/>
        </w:rPr>
      </w:pPr>
      <w:r>
        <w:rPr>
          <w:rFonts w:hint="eastAsia" w:ascii="仿宋_GB2312" w:hAnsi="仿宋" w:eastAsia="仿宋_GB2312" w:cs="仿宋"/>
          <w:sz w:val="32"/>
          <w:szCs w:val="32"/>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2.实施过程</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本次绩效评价工作过程包括前期准备、组织实施、撰写评价报告三个阶段。</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(1)前期准备</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(2)组织实施</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小组成员根据项目实际情况，建立绩效评价指标体系，并通过分析收集的数据、资料，对项目的实施进行评分，形成项目绩效评分表。</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(3)撰写绩效评价报告</w:t>
      </w:r>
    </w:p>
    <w:p>
      <w:pPr>
        <w:spacing w:line="560" w:lineRule="exact"/>
        <w:ind w:firstLine="640" w:firstLineChars="200"/>
        <w:rPr>
          <w:rFonts w:ascii="楷体" w:hAnsi="楷体" w:eastAsia="楷体" w:cs="楷体_GB2312"/>
          <w:bCs/>
          <w:sz w:val="32"/>
          <w:szCs w:val="32"/>
        </w:rPr>
      </w:pPr>
      <w:r>
        <w:rPr>
          <w:rFonts w:hint="eastAsia" w:ascii="仿宋_GB2312" w:hAnsi="仿宋" w:eastAsia="仿宋_GB2312" w:cs="仿宋"/>
          <w:sz w:val="32"/>
          <w:szCs w:val="32"/>
        </w:rPr>
        <w:t xml:space="preserve">根据项目绩效评价结果，撰写绩效评价报告，并形成绩效评价档案。   </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2023年我</w:t>
      </w:r>
      <w:r>
        <w:rPr>
          <w:rFonts w:hint="eastAsia" w:ascii="仿宋_GB2312" w:hAnsi="仿宋" w:eastAsia="仿宋_GB2312" w:cs="仿宋"/>
          <w:sz w:val="32"/>
          <w:szCs w:val="32"/>
          <w:lang w:eastAsia="zh-CN"/>
        </w:rPr>
        <w:t>院</w:t>
      </w:r>
      <w:r>
        <w:rPr>
          <w:rFonts w:hint="eastAsia" w:ascii="仿宋_GB2312" w:hAnsi="仿宋" w:eastAsia="仿宋_GB2312" w:cs="仿宋"/>
          <w:sz w:val="32"/>
          <w:szCs w:val="32"/>
        </w:rPr>
        <w:t>精细落实“讲政治、顾大局、谋发展、重自强”检察工作总要求，全面充分履行法律监督职责，以检察工作高质量发展服务保障区域经济社会高质量发展，努力为建设现代化、国际化美丽省会示范区提供有力司法保障。</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（二）分项绩效目标实现情况及指标分析</w:t>
      </w:r>
    </w:p>
    <w:p>
      <w:pPr>
        <w:pStyle w:val="12"/>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1、检察机关提起公益诉讼工作</w:t>
      </w:r>
    </w:p>
    <w:p>
      <w:pPr>
        <w:pStyle w:val="12"/>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绩效目标：对行政公益诉讼案件提出诉前检察建议，未采纳的情况下提出行政公益诉讼；对刑事附带民事公益诉讼提出公诉。</w:t>
      </w:r>
    </w:p>
    <w:p>
      <w:pPr>
        <w:pStyle w:val="12"/>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绩效指标：提出刑事附带民事公益诉讼的比例、提出诉前检察建议的比例、提出行政公益诉讼的比例</w:t>
      </w:r>
    </w:p>
    <w:p>
      <w:pPr>
        <w:pStyle w:val="12"/>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2、检察监督工作</w:t>
      </w:r>
    </w:p>
    <w:p>
      <w:pPr>
        <w:pStyle w:val="12"/>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绩效目标：依法对强制执行等是否合法实行法律监督，维护社会和谐稳定。</w:t>
      </w:r>
    </w:p>
    <w:p>
      <w:pPr>
        <w:pStyle w:val="12"/>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绩效指标：对刑事强制措施纠正意见的采纳率、对刑罚执行监督建议的采纳率、控告和刑事申诉检察工作</w:t>
      </w:r>
    </w:p>
    <w:p>
      <w:pPr>
        <w:pStyle w:val="12"/>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绩效目标：构建依法有序信访秩序，及时依法解决群众诉求，加强和改进举报工作，保护被赔偿人和被救助人合法权益。</w:t>
      </w:r>
    </w:p>
    <w:p>
      <w:pPr>
        <w:pStyle w:val="12"/>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绩效指标：举报线索处置率、法定期限内办结率</w:t>
      </w:r>
    </w:p>
    <w:p>
      <w:pPr>
        <w:pStyle w:val="12"/>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4、检察事务管理工作</w:t>
      </w:r>
    </w:p>
    <w:p>
      <w:pPr>
        <w:pStyle w:val="12"/>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绩效目标：定全区检察阶段性的工作重点和措施，部署检察工作任务。</w:t>
      </w:r>
    </w:p>
    <w:p>
      <w:pPr>
        <w:pStyle w:val="12"/>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绩效指标：案件质量评查工作完成率、各项综合业务管理工作完成率。</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根据部门职责定位和各项工作履职情况，通过综合分析评价，绩效评价工作组对部门整体支出绩效目标实现情况进行打分，总分100分，得分</w:t>
      </w:r>
      <w:r>
        <w:rPr>
          <w:rFonts w:hint="eastAsia" w:ascii="仿宋_GB2312" w:hAnsi="仿宋" w:eastAsia="仿宋_GB2312"/>
          <w:sz w:val="32"/>
          <w:szCs w:val="32"/>
          <w:lang w:val="en-US" w:eastAsia="zh-CN"/>
        </w:rPr>
        <w:t>85</w:t>
      </w:r>
      <w:r>
        <w:rPr>
          <w:rFonts w:hint="eastAsia" w:ascii="仿宋_GB2312" w:hAnsi="仿宋" w:eastAsia="仿宋_GB2312"/>
          <w:sz w:val="32"/>
          <w:szCs w:val="32"/>
        </w:rPr>
        <w:t>分，综合绩效评价等级为良好。在今后的工作中，我们将继续重视绩效评价工作</w:t>
      </w:r>
      <w:r>
        <w:rPr>
          <w:rFonts w:hint="eastAsia" w:ascii="仿宋_GB2312" w:hAnsi="仿宋" w:eastAsia="仿宋_GB2312"/>
          <w:sz w:val="32"/>
          <w:szCs w:val="32"/>
          <w:lang w:eastAsia="zh-CN"/>
        </w:rPr>
        <w:t>，</w:t>
      </w:r>
      <w:r>
        <w:rPr>
          <w:rFonts w:hint="eastAsia" w:ascii="仿宋_GB2312" w:hAnsi="仿宋" w:eastAsia="仿宋_GB2312" w:cs="仿宋"/>
          <w:sz w:val="32"/>
          <w:szCs w:val="32"/>
        </w:rPr>
        <w:t>加强预算收支管理，不断梳理内部管理流程，建立健全内部管理制度，部门整体支出管理水平得到提升。</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从自评情况看，有关项目总体立项规范，绩效目标明确，预算编制较为合理，预算执行</w:t>
      </w:r>
      <w:r>
        <w:rPr>
          <w:rFonts w:hint="eastAsia" w:ascii="仿宋_GB2312" w:hAnsi="仿宋" w:eastAsia="仿宋_GB2312" w:cs="仿宋"/>
          <w:sz w:val="32"/>
          <w:szCs w:val="32"/>
          <w:lang w:eastAsia="zh-CN"/>
        </w:rPr>
        <w:t>较为</w:t>
      </w:r>
      <w:r>
        <w:rPr>
          <w:rFonts w:hint="eastAsia" w:ascii="仿宋_GB2312" w:hAnsi="仿宋" w:eastAsia="仿宋_GB2312" w:cs="仿宋"/>
          <w:sz w:val="32"/>
          <w:szCs w:val="32"/>
        </w:rPr>
        <w:t>及时，有效，资金及时到位，各项管理制度健全并且能有效执行，绩效目标得到较好实现，部门履职水平不断提高，但也存在部分项目产出指标低于预期、项目实施进展慢等问题。</w:t>
      </w:r>
    </w:p>
    <w:p>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监控制度，确保绩效目标如期实现。</w:t>
      </w:r>
    </w:p>
    <w:p>
      <w:pPr>
        <w:spacing w:line="560" w:lineRule="exact"/>
        <w:ind w:firstLine="640" w:firstLineChars="200"/>
        <w:rPr>
          <w:rFonts w:hint="eastAsia" w:ascii="楷体" w:hAnsi="楷体" w:eastAsia="楷体"/>
          <w:bCs/>
          <w:sz w:val="32"/>
          <w:szCs w:val="32"/>
        </w:rPr>
      </w:pPr>
      <w:r>
        <w:rPr>
          <w:rFonts w:hint="eastAsia" w:ascii="仿宋_GB2312" w:hAnsi="仿宋" w:eastAsia="仿宋_GB2312" w:cs="仿宋"/>
          <w:sz w:val="32"/>
          <w:szCs w:val="32"/>
        </w:rPr>
        <w:t>2.提升预算执行率。建议相关部门年初应制定较为详细的资金使用明细和计划，有效保障下一年度的资金使用和项目实施，采取项目事前评估或其他方式对项目执行过程中可能发生的问题进行预测，有的放矢的采取相关措施保障计划顺利实施。</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pPr w:leftFromText="180" w:rightFromText="180" w:vertAnchor="text" w:horzAnchor="page" w:tblpX="1777" w:tblpY="45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59"/>
        <w:gridCol w:w="2670"/>
        <w:gridCol w:w="25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59" w:type="dxa"/>
          </w:tcPr>
          <w:p>
            <w:pPr>
              <w:spacing w:line="560" w:lineRule="exact"/>
              <w:jc w:val="center"/>
              <w:rPr>
                <w:rFonts w:hint="eastAsia" w:ascii="仿宋" w:hAnsi="仿宋" w:eastAsia="仿宋"/>
                <w:sz w:val="24"/>
                <w:szCs w:val="24"/>
                <w:vertAlign w:val="baseline"/>
                <w:lang w:eastAsia="zh-CN"/>
              </w:rPr>
            </w:pPr>
            <w:r>
              <w:rPr>
                <w:rFonts w:hint="eastAsia" w:ascii="仿宋" w:hAnsi="仿宋" w:eastAsia="仿宋"/>
                <w:sz w:val="24"/>
                <w:szCs w:val="24"/>
                <w:vertAlign w:val="baseline"/>
                <w:lang w:eastAsia="zh-CN"/>
              </w:rPr>
              <w:t>工作单位</w:t>
            </w:r>
          </w:p>
        </w:tc>
        <w:tc>
          <w:tcPr>
            <w:tcW w:w="2670" w:type="dxa"/>
          </w:tcPr>
          <w:p>
            <w:pPr>
              <w:spacing w:line="560" w:lineRule="exact"/>
              <w:jc w:val="center"/>
              <w:rPr>
                <w:rFonts w:hint="eastAsia" w:ascii="仿宋" w:hAnsi="仿宋" w:eastAsia="仿宋"/>
                <w:sz w:val="24"/>
                <w:szCs w:val="24"/>
                <w:vertAlign w:val="baseline"/>
                <w:lang w:eastAsia="zh-CN"/>
              </w:rPr>
            </w:pPr>
            <w:r>
              <w:rPr>
                <w:rFonts w:hint="eastAsia" w:ascii="仿宋" w:hAnsi="仿宋" w:eastAsia="仿宋"/>
                <w:sz w:val="24"/>
                <w:szCs w:val="24"/>
                <w:vertAlign w:val="baseline"/>
                <w:lang w:eastAsia="zh-CN"/>
              </w:rPr>
              <w:t>姓名</w:t>
            </w:r>
          </w:p>
        </w:tc>
        <w:tc>
          <w:tcPr>
            <w:tcW w:w="2526" w:type="dxa"/>
          </w:tcPr>
          <w:p>
            <w:pPr>
              <w:spacing w:line="560" w:lineRule="exact"/>
              <w:jc w:val="center"/>
              <w:rPr>
                <w:rFonts w:hint="eastAsia" w:ascii="仿宋" w:hAnsi="仿宋" w:eastAsia="仿宋"/>
                <w:sz w:val="24"/>
                <w:szCs w:val="24"/>
                <w:vertAlign w:val="baseline"/>
                <w:lang w:eastAsia="zh-CN"/>
              </w:rPr>
            </w:pPr>
            <w:r>
              <w:rPr>
                <w:rFonts w:hint="eastAsia" w:ascii="仿宋" w:hAnsi="仿宋" w:eastAsia="仿宋"/>
                <w:sz w:val="24"/>
                <w:szCs w:val="24"/>
                <w:vertAlign w:val="baseline"/>
                <w:lang w:eastAsia="zh-CN"/>
              </w:rPr>
              <w:t>职务、职称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59" w:type="dxa"/>
          </w:tcPr>
          <w:p>
            <w:pPr>
              <w:spacing w:line="560" w:lineRule="exact"/>
              <w:jc w:val="center"/>
              <w:rPr>
                <w:rFonts w:hint="eastAsia" w:ascii="仿宋" w:hAnsi="仿宋" w:eastAsia="仿宋"/>
                <w:sz w:val="24"/>
                <w:szCs w:val="24"/>
                <w:vertAlign w:val="baseline"/>
                <w:lang w:eastAsia="zh-CN"/>
              </w:rPr>
            </w:pPr>
            <w:r>
              <w:rPr>
                <w:rFonts w:hint="eastAsia" w:ascii="仿宋" w:hAnsi="仿宋" w:eastAsia="仿宋"/>
                <w:sz w:val="24"/>
                <w:szCs w:val="24"/>
                <w:vertAlign w:val="baseline"/>
                <w:lang w:eastAsia="zh-CN"/>
              </w:rPr>
              <w:t>石家庄市裕华区人民检察院</w:t>
            </w:r>
          </w:p>
        </w:tc>
        <w:tc>
          <w:tcPr>
            <w:tcW w:w="2670" w:type="dxa"/>
          </w:tcPr>
          <w:p>
            <w:pPr>
              <w:spacing w:line="560" w:lineRule="exact"/>
              <w:jc w:val="center"/>
              <w:rPr>
                <w:rFonts w:hint="eastAsia" w:ascii="仿宋" w:hAnsi="仿宋" w:eastAsia="仿宋"/>
                <w:sz w:val="24"/>
                <w:szCs w:val="24"/>
                <w:vertAlign w:val="baseline"/>
                <w:lang w:eastAsia="zh-CN"/>
              </w:rPr>
            </w:pPr>
            <w:r>
              <w:rPr>
                <w:rFonts w:hint="eastAsia" w:ascii="仿宋" w:hAnsi="仿宋" w:eastAsia="仿宋"/>
                <w:sz w:val="24"/>
                <w:szCs w:val="24"/>
                <w:vertAlign w:val="baseline"/>
                <w:lang w:eastAsia="zh-CN"/>
              </w:rPr>
              <w:t>王元浩</w:t>
            </w:r>
          </w:p>
        </w:tc>
        <w:tc>
          <w:tcPr>
            <w:tcW w:w="2526" w:type="dxa"/>
          </w:tcPr>
          <w:p>
            <w:pPr>
              <w:spacing w:line="560" w:lineRule="exact"/>
              <w:jc w:val="center"/>
              <w:rPr>
                <w:rFonts w:hint="eastAsia" w:ascii="仿宋" w:hAnsi="仿宋" w:eastAsia="仿宋"/>
                <w:sz w:val="24"/>
                <w:szCs w:val="24"/>
                <w:vertAlign w:val="baseline"/>
                <w:lang w:eastAsia="zh-CN"/>
              </w:rPr>
            </w:pPr>
            <w:r>
              <w:rPr>
                <w:rFonts w:hint="eastAsia" w:ascii="仿宋" w:hAnsi="仿宋" w:eastAsia="仿宋"/>
                <w:sz w:val="24"/>
                <w:szCs w:val="24"/>
                <w:vertAlign w:val="baseline"/>
                <w:lang w:eastAsia="zh-CN"/>
              </w:rPr>
              <w:t>副检察长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59" w:type="dxa"/>
          </w:tcPr>
          <w:p>
            <w:pPr>
              <w:spacing w:line="560" w:lineRule="exact"/>
              <w:jc w:val="center"/>
              <w:rPr>
                <w:rFonts w:ascii="仿宋" w:hAnsi="仿宋" w:eastAsia="仿宋"/>
                <w:sz w:val="24"/>
                <w:szCs w:val="24"/>
                <w:vertAlign w:val="baseline"/>
              </w:rPr>
            </w:pPr>
            <w:r>
              <w:rPr>
                <w:rFonts w:hint="eastAsia" w:ascii="仿宋" w:hAnsi="仿宋" w:eastAsia="仿宋"/>
                <w:sz w:val="24"/>
                <w:szCs w:val="24"/>
                <w:vertAlign w:val="baseline"/>
                <w:lang w:eastAsia="zh-CN"/>
              </w:rPr>
              <w:t>石家庄市裕华区人民检察院</w:t>
            </w:r>
          </w:p>
        </w:tc>
        <w:tc>
          <w:tcPr>
            <w:tcW w:w="2670" w:type="dxa"/>
          </w:tcPr>
          <w:p>
            <w:pPr>
              <w:spacing w:line="560" w:lineRule="exact"/>
              <w:jc w:val="center"/>
              <w:rPr>
                <w:rFonts w:hint="eastAsia" w:ascii="仿宋" w:hAnsi="仿宋" w:eastAsia="仿宋"/>
                <w:sz w:val="24"/>
                <w:szCs w:val="24"/>
                <w:vertAlign w:val="baseline"/>
                <w:lang w:eastAsia="zh-CN"/>
              </w:rPr>
            </w:pPr>
            <w:r>
              <w:rPr>
                <w:rFonts w:hint="eastAsia" w:ascii="仿宋" w:hAnsi="仿宋" w:eastAsia="仿宋"/>
                <w:sz w:val="24"/>
                <w:szCs w:val="24"/>
                <w:vertAlign w:val="baseline"/>
                <w:lang w:eastAsia="zh-CN"/>
              </w:rPr>
              <w:t>吕龙</w:t>
            </w:r>
          </w:p>
        </w:tc>
        <w:tc>
          <w:tcPr>
            <w:tcW w:w="2526" w:type="dxa"/>
          </w:tcPr>
          <w:p>
            <w:pPr>
              <w:spacing w:line="560" w:lineRule="exact"/>
              <w:jc w:val="center"/>
              <w:rPr>
                <w:rFonts w:hint="eastAsia" w:ascii="仿宋" w:hAnsi="仿宋" w:eastAsia="仿宋"/>
                <w:sz w:val="24"/>
                <w:szCs w:val="24"/>
                <w:vertAlign w:val="baseline"/>
                <w:lang w:eastAsia="zh-CN"/>
              </w:rPr>
            </w:pPr>
            <w:r>
              <w:rPr>
                <w:rFonts w:hint="eastAsia" w:ascii="仿宋" w:hAnsi="仿宋" w:eastAsia="仿宋"/>
                <w:sz w:val="24"/>
                <w:szCs w:val="24"/>
                <w:vertAlign w:val="baseline"/>
                <w:lang w:eastAsia="zh-CN"/>
              </w:rPr>
              <w:t>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59" w:type="dxa"/>
          </w:tcPr>
          <w:p>
            <w:pPr>
              <w:spacing w:line="560" w:lineRule="exact"/>
              <w:jc w:val="center"/>
              <w:rPr>
                <w:rFonts w:ascii="仿宋" w:hAnsi="仿宋" w:eastAsia="仿宋"/>
                <w:sz w:val="24"/>
                <w:szCs w:val="24"/>
                <w:vertAlign w:val="baseline"/>
              </w:rPr>
            </w:pPr>
            <w:r>
              <w:rPr>
                <w:rFonts w:hint="eastAsia" w:ascii="仿宋" w:hAnsi="仿宋" w:eastAsia="仿宋"/>
                <w:sz w:val="24"/>
                <w:szCs w:val="24"/>
                <w:vertAlign w:val="baseline"/>
                <w:lang w:eastAsia="zh-CN"/>
              </w:rPr>
              <w:t>石家庄市裕华区人民检察院</w:t>
            </w:r>
          </w:p>
        </w:tc>
        <w:tc>
          <w:tcPr>
            <w:tcW w:w="2670" w:type="dxa"/>
          </w:tcPr>
          <w:p>
            <w:pPr>
              <w:spacing w:line="560" w:lineRule="exact"/>
              <w:jc w:val="center"/>
              <w:rPr>
                <w:rFonts w:hint="eastAsia" w:ascii="仿宋" w:hAnsi="仿宋" w:eastAsia="仿宋"/>
                <w:sz w:val="24"/>
                <w:szCs w:val="24"/>
                <w:vertAlign w:val="baseline"/>
                <w:lang w:eastAsia="zh-CN"/>
              </w:rPr>
            </w:pPr>
            <w:r>
              <w:rPr>
                <w:rFonts w:hint="eastAsia" w:ascii="仿宋" w:hAnsi="仿宋" w:eastAsia="仿宋"/>
                <w:sz w:val="24"/>
                <w:szCs w:val="24"/>
                <w:vertAlign w:val="baseline"/>
                <w:lang w:eastAsia="zh-CN"/>
              </w:rPr>
              <w:t>魏兰萌</w:t>
            </w:r>
          </w:p>
        </w:tc>
        <w:tc>
          <w:tcPr>
            <w:tcW w:w="2526" w:type="dxa"/>
          </w:tcPr>
          <w:p>
            <w:pPr>
              <w:spacing w:line="560" w:lineRule="exact"/>
              <w:jc w:val="center"/>
              <w:rPr>
                <w:rFonts w:hint="eastAsia" w:ascii="仿宋" w:hAnsi="仿宋" w:eastAsia="仿宋"/>
                <w:sz w:val="24"/>
                <w:szCs w:val="24"/>
                <w:vertAlign w:val="baseline"/>
                <w:lang w:eastAsia="zh-CN"/>
              </w:rPr>
            </w:pPr>
            <w:r>
              <w:rPr>
                <w:rFonts w:hint="eastAsia" w:ascii="仿宋" w:hAnsi="仿宋" w:eastAsia="仿宋"/>
                <w:sz w:val="24"/>
                <w:szCs w:val="24"/>
                <w:vertAlign w:val="baseline"/>
                <w:lang w:eastAsia="zh-CN"/>
              </w:rPr>
              <w:t>会计</w:t>
            </w: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07CB92"/>
    <w:multiLevelType w:val="singleLevel"/>
    <w:tmpl w:val="9507CB92"/>
    <w:lvl w:ilvl="0" w:tentative="0">
      <w:start w:val="4"/>
      <w:numFmt w:val="decimal"/>
      <w:suff w:val="nothing"/>
      <w:lvlText w:val="%1、"/>
      <w:lvlJc w:val="left"/>
    </w:lvl>
  </w:abstractNum>
  <w:abstractNum w:abstractNumId="1">
    <w:nsid w:val="EC4A127C"/>
    <w:multiLevelType w:val="singleLevel"/>
    <w:tmpl w:val="EC4A127C"/>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gyODI4MzhkZWMxMjM0YjU5MjUyYjgyNzI4M2E1YT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1A6BC3"/>
    <w:rsid w:val="11B71E6A"/>
    <w:rsid w:val="128C3D8B"/>
    <w:rsid w:val="1AAF0063"/>
    <w:rsid w:val="1BE140DE"/>
    <w:rsid w:val="248C197D"/>
    <w:rsid w:val="24AD5462"/>
    <w:rsid w:val="252959AF"/>
    <w:rsid w:val="259D31D5"/>
    <w:rsid w:val="277A6671"/>
    <w:rsid w:val="28445B9D"/>
    <w:rsid w:val="292D35B7"/>
    <w:rsid w:val="33EB6CFF"/>
    <w:rsid w:val="35A12947"/>
    <w:rsid w:val="37387040"/>
    <w:rsid w:val="3B625C0A"/>
    <w:rsid w:val="3CEE1963"/>
    <w:rsid w:val="436B78D3"/>
    <w:rsid w:val="4C9C27FE"/>
    <w:rsid w:val="512260B4"/>
    <w:rsid w:val="52BD6ACB"/>
    <w:rsid w:val="55537534"/>
    <w:rsid w:val="561A74F1"/>
    <w:rsid w:val="597244E8"/>
    <w:rsid w:val="5EB71C30"/>
    <w:rsid w:val="634F43F0"/>
    <w:rsid w:val="66AF0CE5"/>
    <w:rsid w:val="6AC537CF"/>
    <w:rsid w:val="6E5B14A6"/>
    <w:rsid w:val="6FB87FA8"/>
    <w:rsid w:val="711B255E"/>
    <w:rsid w:val="73170297"/>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100</Words>
  <Characters>570</Characters>
  <Lines>4</Lines>
  <Paragraphs>1</Paragraphs>
  <TotalTime>24</TotalTime>
  <ScaleCrop>false</ScaleCrop>
  <LinksUpToDate>false</LinksUpToDate>
  <CharactersWithSpaces>669</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jcy</cp:lastModifiedBy>
  <cp:lastPrinted>2024-03-06T07:40:00Z</cp:lastPrinted>
  <dcterms:modified xsi:type="dcterms:W3CDTF">2024-04-19T07:56:11Z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96934721B1514D3FBAA28020338CE855_12</vt:lpwstr>
  </property>
</Properties>
</file>