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8A9E646">
      <w:pPr>
        <w:adjustRightInd w:val="0"/>
        <w:snapToGrid w:val="0"/>
        <w:spacing w:line="560" w:lineRule="exac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附件4</w:t>
      </w:r>
    </w:p>
    <w:p w14:paraId="02AE2736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 w14:paraId="6E6A43F4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石家庄市民民兵训练基地</w:t>
      </w:r>
    </w:p>
    <w:p w14:paraId="373C3015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2024年度整体支出绩效自评报告</w:t>
      </w:r>
    </w:p>
    <w:p w14:paraId="6197B623"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 w14:paraId="4FDEF3B0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市委市政府《关于全面落实预算绩效管理的实施意见》（石发﹝2019﹞8号）文件精神，遵循“科学性、规范性、客观性和公正性”的原则，对石家庄市民兵训练基地2024年整体支出情况实施了财政支出绩效自评价，形成本评价报告。</w:t>
      </w:r>
    </w:p>
    <w:p w14:paraId="48C2AA9A">
      <w:pPr>
        <w:adjustRightInd w:val="0"/>
        <w:snapToGrid w:val="0"/>
        <w:spacing w:line="560" w:lineRule="exact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 w14:paraId="3B6B9FDC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（一）部门概况</w:t>
      </w:r>
    </w:p>
    <w:p w14:paraId="607ECBD7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1.部门职能</w:t>
      </w:r>
    </w:p>
    <w:p w14:paraId="278631D7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（一）负责起草民兵训练基地建设规划并组织实施。</w:t>
      </w:r>
    </w:p>
    <w:p w14:paraId="7B8C9B32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（二）负责民兵训练基地的日常管理、维护及修缮。</w:t>
      </w:r>
    </w:p>
    <w:p w14:paraId="14B321BD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（三）承担全市基层专职人民武装干部、民兵干部骨干和教练员培训，组织民兵分队集中轮训等任务。</w:t>
      </w:r>
    </w:p>
    <w:p w14:paraId="242013AE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（四）承担市内四区、鹿泉区及高新区的预定新兵役前教育训练相关保障工作。</w:t>
      </w:r>
    </w:p>
    <w:p w14:paraId="5A47DEB0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（五）承担全市国防教育任务，为党政机关、院校师生、企事业单位接受红色文化教育提供相关保障。</w:t>
      </w:r>
    </w:p>
    <w:p w14:paraId="61F003B6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（六）承担学生军训任务，会同教育部门，统筹安排属地学生军事技能训练。</w:t>
      </w:r>
    </w:p>
    <w:p w14:paraId="498ECC55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（七）为地方应急力量、专业力量和特殊力量训练提供保障。</w:t>
      </w:r>
    </w:p>
    <w:p w14:paraId="01C41F7D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（八）完成市委、市政府及警备区赋予的其他任务。</w:t>
      </w:r>
    </w:p>
    <w:p w14:paraId="54199DA6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2.组织机构及人员</w:t>
      </w:r>
    </w:p>
    <w:p w14:paraId="17C8F3AF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基地为副县级事业单位，经费形式为财政性资金基本保证经费，内设机构为办公室、教育训练科、后勤科。编制23人，2024年末实有在职人数23人，人员与上年无变化。</w:t>
      </w:r>
    </w:p>
    <w:p w14:paraId="4E85710F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3.资产等基本情况</w:t>
      </w:r>
    </w:p>
    <w:p w14:paraId="1EFF2446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截止到2024年12月31止，固定资产原值33.30万元，固定资产净值27.60万元，无形资产1.10万元，无形资产净值0.97万元，流动资产407万元，负债-0.095万元。2024年末，净资产合计433.21万元。</w:t>
      </w:r>
    </w:p>
    <w:p w14:paraId="0BF3D381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（二）部门收支预决算情况</w:t>
      </w:r>
    </w:p>
    <w:p w14:paraId="77D59693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2024年初财政预算收支1025.90万元，决算收支907.59万元，支出占比88.46%。本年一般预算财政拨款收入1025.90万元，其中人员经费455.06万元，占财政拨款收入的44.35%，日常公用经费199.64万元，占财政拨款收入的19.45%;专项经费371.20万元，占财政拨款收入的36.18%。</w:t>
      </w:r>
    </w:p>
    <w:p w14:paraId="3E14C20E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2024年度一般预算财政拨款决算支出907.59万元，其中基本支出599.81万元，支出占比的66.08%，（人员经费支出410.59万元、日常公用经费支出189.21万元），专项经费支出307.78万元，占总支出的33.91%。</w:t>
      </w:r>
    </w:p>
    <w:p w14:paraId="1E3FC297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财政拨款中，人员经费所占重较大，主要用于发放在职人员和离休人员工资。</w:t>
      </w:r>
    </w:p>
    <w:p w14:paraId="750B377B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（三）部门整体支出绩效目标、指标</w:t>
      </w:r>
    </w:p>
    <w:p w14:paraId="00AA91E4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（一）负责起草民兵训练基地建设规划并组织实施。</w:t>
      </w:r>
    </w:p>
    <w:p w14:paraId="03FA5BA8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（二）负责民兵训练基地的日常管理、维护及修缮。</w:t>
      </w:r>
    </w:p>
    <w:p w14:paraId="5A6B7E2E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（三）承担全市基层专职人民武装干部、民兵干部骨干和教练员培训，组织民兵分队集中轮训等任务。</w:t>
      </w:r>
    </w:p>
    <w:p w14:paraId="5289FAEE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（四）承担市内四区、鹿泉区及高新区的预定新兵役前教育训练相关保障工作。</w:t>
      </w:r>
    </w:p>
    <w:p w14:paraId="200C65FF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（五）承担全市国防教育任务，为党政机关、院校师生、企事业单位接受红色文化教育提供相关保障。</w:t>
      </w:r>
    </w:p>
    <w:p w14:paraId="0F00DD22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（六）承担学生军训任务，会同教育部门，统筹安排属地学生军事技能训练。</w:t>
      </w:r>
    </w:p>
    <w:p w14:paraId="6E12ED48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（七）为地方应急力量、专业力量和特殊力量训练提供保障。</w:t>
      </w:r>
    </w:p>
    <w:p w14:paraId="292F195B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（八）完成市委、市政府及警备区赋予的其他任务。</w:t>
      </w:r>
    </w:p>
    <w:p w14:paraId="7599C48E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 w14:paraId="3FF2038D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 w14:paraId="49C27417">
      <w:pPr>
        <w:spacing w:line="560" w:lineRule="exac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 按照《石家庄市财政局关于开展2024年度专项资金绩效自评工作的通知》要求，市基地成立由基地主任为组长，基地副主任为副组长，办公室主任、教育训练科科长，后勤科科长为成员的工作小组，学习领会通知精神，明确分工、落实责任，认真对2024年各专项资金使用效益和管理情况开展绩效自评工作。根据2024年初设定的绩效目标情况和年度各绩效指标完成情况进行了分心，按照通知规定填报《市级部门预算项目绩效自评表》，并形成了本年度绩效自评工作报告。</w:t>
      </w:r>
    </w:p>
    <w:p w14:paraId="3AB4CC10">
      <w:pPr>
        <w:numPr>
          <w:ilvl w:val="0"/>
          <w:numId w:val="1"/>
        </w:numPr>
        <w:spacing w:line="560" w:lineRule="exact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 w14:paraId="47A59792"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1.落实主体责任。按照资金“谁分配、谁使用、谁负责”的原则，资金使用科室的认真准备，收集资料，在规定时间内提供相关信息。</w:t>
      </w:r>
    </w:p>
    <w:p w14:paraId="5AFE6BB3"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2.检查资金项目。收集整理基本支出和专项经费支出相关资料。</w:t>
      </w:r>
    </w:p>
    <w:p w14:paraId="0F1A608B"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3.综合分析评价。由财务科负责人牵头，各资金使用科室以年初预算确定的项目绩效目标和绩效指标为依据，逐项进行对比分析。</w:t>
      </w:r>
    </w:p>
    <w:p w14:paraId="3BEA9ACA"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4.综合评价结论。综合各资金科室上交和收集的资料，根据绩效自评指标较好地完成了绩效目标，得出自评结果。</w:t>
      </w:r>
    </w:p>
    <w:p w14:paraId="4D46064E">
      <w:pPr>
        <w:spacing w:line="560" w:lineRule="exact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三、部门整体支出绩效目标实现情况及指标分析</w:t>
      </w:r>
    </w:p>
    <w:p w14:paraId="15327B95">
      <w:pPr>
        <w:numPr>
          <w:ilvl w:val="0"/>
          <w:numId w:val="2"/>
        </w:numPr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 w14:paraId="60FCE99D">
      <w:pPr>
        <w:spacing w:line="560" w:lineRule="exact"/>
        <w:ind w:firstLine="800" w:firstLineChars="25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人员经费和日常公用经费的支出保障了部门的运转和工作的需要，满足了日常办公需求，为部门正常开展工作提供了有力保障；项目经费的有效执行有支持了基地行使部门职能，发挥部门作用。专项经费的有效执行，基地的各项工作得到了顺利实施，圆满完成了年度的工作指标。</w:t>
      </w:r>
    </w:p>
    <w:p w14:paraId="03EC9C9E">
      <w:pPr>
        <w:spacing w:line="560" w:lineRule="exact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（二）分项绩效目标实现情况及指标分析</w:t>
      </w:r>
    </w:p>
    <w:p w14:paraId="3C920BEF">
      <w:pPr>
        <w:spacing w:line="560" w:lineRule="exact"/>
        <w:ind w:firstLine="800" w:firstLineChars="25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通过对本部门2024年度各个专项项目进行绩效自评，各项目资金的实施科室，参照预算绩效文本中分项绩效目标、指标，从完成数量、质量、时效、成本效益等方面，指标进行综合考量，</w:t>
      </w:r>
      <w:r>
        <w:rPr>
          <w:rFonts w:hint="eastAsia" w:ascii="仿宋" w:hAnsi="仿宋" w:eastAsia="仿宋"/>
          <w:sz w:val="32"/>
          <w:szCs w:val="32"/>
          <w:lang w:eastAsia="zh-CN"/>
        </w:rPr>
        <w:t>市基地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2024年分项</w:t>
      </w:r>
      <w:bookmarkStart w:id="0" w:name="_GoBack"/>
      <w:bookmarkEnd w:id="0"/>
      <w:r>
        <w:rPr>
          <w:rFonts w:hint="eastAsia" w:ascii="仿宋" w:hAnsi="仿宋" w:eastAsia="仿宋"/>
          <w:sz w:val="32"/>
          <w:szCs w:val="32"/>
          <w:lang w:val="en-US" w:eastAsia="zh-CN"/>
        </w:rPr>
        <w:t>绩效目标已如期实现</w:t>
      </w:r>
      <w:r>
        <w:rPr>
          <w:rFonts w:hint="eastAsia" w:ascii="仿宋" w:hAnsi="仿宋" w:eastAsia="仿宋"/>
          <w:sz w:val="32"/>
          <w:szCs w:val="32"/>
        </w:rPr>
        <w:t>。</w:t>
      </w:r>
    </w:p>
    <w:p w14:paraId="19F651AD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 w14:paraId="7A4F5D64">
      <w:pPr>
        <w:rPr>
          <w:rFonts w:ascii="宋体" w:hAnsi="宋体" w:cs="宋体"/>
          <w:kern w:val="0"/>
          <w:sz w:val="24"/>
          <w:szCs w:val="24"/>
        </w:rPr>
      </w:pPr>
      <w:r>
        <w:rPr>
          <w:rFonts w:ascii="仿宋" w:hAnsi="仿宋" w:eastAsia="仿宋"/>
          <w:sz w:val="32"/>
          <w:szCs w:val="32"/>
        </w:rPr>
        <w:tab/>
      </w:r>
      <w:r>
        <w:rPr>
          <w:rFonts w:hint="eastAsia" w:ascii="仿宋" w:hAnsi="仿宋" w:eastAsia="仿宋" w:cs="宋体"/>
          <w:kern w:val="0"/>
          <w:sz w:val="32"/>
          <w:szCs w:val="32"/>
        </w:rPr>
        <w:t>从整体情况来看，本部门高度重视财政资金的支出绩效，无论在资金预算、审批、执行、支付等方面都做到了层层把关，严格按照单位预算进行整体支出，严守法律、纪律底线，严守各项财经纪律，严格执行资金管理相关规定及单位财务制度，切实做到资金安全高效运行，发挥了本部门的作用，圆满完成市委、市政府及警备区下达的各类培训、轮训保障任务。</w:t>
      </w:r>
    </w:p>
    <w:p w14:paraId="777E6F2B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 w14:paraId="2E0CFC4C">
      <w:pPr>
        <w:spacing w:line="560" w:lineRule="exact"/>
        <w:ind w:firstLine="640" w:firstLineChars="200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（一）存在的主要问题</w:t>
      </w:r>
    </w:p>
    <w:p w14:paraId="28458AC2"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一是绩效预算编制还有待进一步细化；</w:t>
      </w:r>
    </w:p>
    <w:p w14:paraId="0A4816BF"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二是个别支出支付进度安排不够合理。</w:t>
      </w:r>
    </w:p>
    <w:p w14:paraId="6FCF37B1">
      <w:pPr>
        <w:spacing w:line="560" w:lineRule="exact"/>
        <w:ind w:firstLine="640" w:firstLineChars="200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（二）针对问题提出具体的改进措施或建议</w:t>
      </w:r>
    </w:p>
    <w:p w14:paraId="0E00AF18"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一是加强预算编制的前期调查研究，进一步提升预算的科学性、合理性和实用性，力争预算编制科学合理； </w:t>
      </w:r>
    </w:p>
    <w:p w14:paraId="5894DD24"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二是加强预算执行管理，根据工作开展情况合理调整支出进度；</w:t>
      </w:r>
    </w:p>
    <w:p w14:paraId="319B8132"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三是加大对财务人员专业培训力度，不断增强单位业务人员的业务水平，推动财务管理工作更加有效的开展。</w:t>
      </w:r>
    </w:p>
    <w:p w14:paraId="6465A5F6">
      <w:pPr>
        <w:spacing w:line="560" w:lineRule="exact"/>
        <w:rPr>
          <w:rFonts w:ascii="仿宋" w:hAnsi="仿宋" w:eastAsia="仿宋"/>
        </w:rPr>
      </w:pP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B945AFE">
    <w:pPr>
      <w:pStyle w:val="2"/>
    </w:pPr>
    <w:r>
      <w:pict>
        <v:shape id="Quad Arrow 3073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ed="f" o:preferrelative="t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 w14:paraId="34EA052F"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- 4 -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1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rPr>
        <w:rFonts w:ascii="楷体" w:hAnsi="楷体" w:eastAsia="楷体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YzgxMzVhZTBlNDUyZWUxNDVhMjNkN2E1NjFlOTE5NDcifQ=="/>
  </w:docVars>
  <w:rsids>
    <w:rsidRoot w:val="0EBD2122"/>
    <w:rsid w:val="000208A2"/>
    <w:rsid w:val="000B0260"/>
    <w:rsid w:val="0010107D"/>
    <w:rsid w:val="00105878"/>
    <w:rsid w:val="0013337F"/>
    <w:rsid w:val="00150D20"/>
    <w:rsid w:val="00156A76"/>
    <w:rsid w:val="00177CD4"/>
    <w:rsid w:val="001946ED"/>
    <w:rsid w:val="001A0257"/>
    <w:rsid w:val="001F187B"/>
    <w:rsid w:val="00210E67"/>
    <w:rsid w:val="00252E4D"/>
    <w:rsid w:val="00253475"/>
    <w:rsid w:val="00261562"/>
    <w:rsid w:val="002976CE"/>
    <w:rsid w:val="00304C2C"/>
    <w:rsid w:val="0032626E"/>
    <w:rsid w:val="00343796"/>
    <w:rsid w:val="00430D7C"/>
    <w:rsid w:val="00433F86"/>
    <w:rsid w:val="004B6168"/>
    <w:rsid w:val="005C5D5B"/>
    <w:rsid w:val="00607D66"/>
    <w:rsid w:val="00613DD3"/>
    <w:rsid w:val="00680DBD"/>
    <w:rsid w:val="006F2B31"/>
    <w:rsid w:val="00724D38"/>
    <w:rsid w:val="00743224"/>
    <w:rsid w:val="00784B1C"/>
    <w:rsid w:val="00785520"/>
    <w:rsid w:val="0079654F"/>
    <w:rsid w:val="007B5335"/>
    <w:rsid w:val="007D4F70"/>
    <w:rsid w:val="007E6C1F"/>
    <w:rsid w:val="00861BE1"/>
    <w:rsid w:val="00867601"/>
    <w:rsid w:val="008A639B"/>
    <w:rsid w:val="008C4F11"/>
    <w:rsid w:val="00956A93"/>
    <w:rsid w:val="009E575C"/>
    <w:rsid w:val="009E70A5"/>
    <w:rsid w:val="00A73CB3"/>
    <w:rsid w:val="00AC4C5D"/>
    <w:rsid w:val="00AF167E"/>
    <w:rsid w:val="00AF566A"/>
    <w:rsid w:val="00B442D6"/>
    <w:rsid w:val="00B478EA"/>
    <w:rsid w:val="00B6553A"/>
    <w:rsid w:val="00B83BD4"/>
    <w:rsid w:val="00BC6576"/>
    <w:rsid w:val="00C00AD4"/>
    <w:rsid w:val="00C24903"/>
    <w:rsid w:val="00C63656"/>
    <w:rsid w:val="00C67C41"/>
    <w:rsid w:val="00CE06BA"/>
    <w:rsid w:val="00CE5D0F"/>
    <w:rsid w:val="00CF1182"/>
    <w:rsid w:val="00D44592"/>
    <w:rsid w:val="00DF0F41"/>
    <w:rsid w:val="00E01195"/>
    <w:rsid w:val="00EA7BE6"/>
    <w:rsid w:val="00ED521A"/>
    <w:rsid w:val="00F441CC"/>
    <w:rsid w:val="01B104CA"/>
    <w:rsid w:val="02106AB0"/>
    <w:rsid w:val="02B43A28"/>
    <w:rsid w:val="046F331E"/>
    <w:rsid w:val="07956271"/>
    <w:rsid w:val="09721397"/>
    <w:rsid w:val="0BB63BED"/>
    <w:rsid w:val="0EB97A43"/>
    <w:rsid w:val="0EBD2122"/>
    <w:rsid w:val="0F214EAE"/>
    <w:rsid w:val="11B71E6A"/>
    <w:rsid w:val="1AAF0063"/>
    <w:rsid w:val="1BE140DE"/>
    <w:rsid w:val="1E542E40"/>
    <w:rsid w:val="248C197D"/>
    <w:rsid w:val="252959AF"/>
    <w:rsid w:val="277A6671"/>
    <w:rsid w:val="292D35B7"/>
    <w:rsid w:val="33EB6CFF"/>
    <w:rsid w:val="35A12947"/>
    <w:rsid w:val="37387040"/>
    <w:rsid w:val="3A431911"/>
    <w:rsid w:val="3B625C0A"/>
    <w:rsid w:val="3CEE1963"/>
    <w:rsid w:val="436B78D3"/>
    <w:rsid w:val="4C9C27FE"/>
    <w:rsid w:val="512260B4"/>
    <w:rsid w:val="52BD6ACB"/>
    <w:rsid w:val="55537534"/>
    <w:rsid w:val="561A74F1"/>
    <w:rsid w:val="58B17416"/>
    <w:rsid w:val="597244E8"/>
    <w:rsid w:val="5EB71C30"/>
    <w:rsid w:val="66AF0CE5"/>
    <w:rsid w:val="68AC2130"/>
    <w:rsid w:val="6AC537CF"/>
    <w:rsid w:val="6E5B14A6"/>
    <w:rsid w:val="711B255E"/>
    <w:rsid w:val="7BB51E06"/>
    <w:rsid w:val="7C387F7C"/>
    <w:rsid w:val="7FE8342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5</Pages>
  <Words>2119</Words>
  <Characters>2281</Characters>
  <Lines>16</Lines>
  <Paragraphs>4</Paragraphs>
  <TotalTime>1953</TotalTime>
  <ScaleCrop>false</ScaleCrop>
  <LinksUpToDate>false</LinksUpToDate>
  <CharactersWithSpaces>2297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Administrator</cp:lastModifiedBy>
  <cp:lastPrinted>2025-03-19T07:32:19Z</cp:lastPrinted>
  <dcterms:modified xsi:type="dcterms:W3CDTF">2025-03-19T07:32:22Z</dcterms:modified>
  <dc:title>附件3：</dc:title>
  <cp:revision>41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96934721B1514D3FBAA28020338CE855_12</vt:lpwstr>
  </property>
  <property fmtid="{D5CDD505-2E9C-101B-9397-08002B2CF9AE}" pid="4" name="KSOTemplateDocerSaveRecord">
    <vt:lpwstr>eyJoZGlkIjoiMjU5NjZjYzI1N2ZiNjU5M2YxYzQ5OTcwMTU4ODYyM2IifQ==</vt:lpwstr>
  </property>
</Properties>
</file>