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16A446">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575B4CC0">
      <w:pPr>
        <w:spacing w:line="560" w:lineRule="exact"/>
        <w:jc w:val="center"/>
        <w:rPr>
          <w:rFonts w:ascii="宋体" w:hAnsi="宋体" w:cs="宋体"/>
          <w:b/>
          <w:bCs/>
          <w:sz w:val="44"/>
          <w:szCs w:val="44"/>
        </w:rPr>
      </w:pPr>
    </w:p>
    <w:p w14:paraId="00BD7E7D">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石家庄市妇女联合会</w:t>
      </w:r>
      <w:r>
        <w:rPr>
          <w:rFonts w:hint="eastAsia" w:ascii="宋体" w:hAnsi="宋体" w:cs="宋体"/>
          <w:b/>
          <w:bCs/>
          <w:sz w:val="44"/>
          <w:szCs w:val="44"/>
        </w:rPr>
        <w:t>部门</w:t>
      </w:r>
    </w:p>
    <w:p w14:paraId="60675112">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EBB9DE8">
      <w:pPr>
        <w:spacing w:line="560" w:lineRule="exact"/>
        <w:jc w:val="center"/>
        <w:rPr>
          <w:rFonts w:ascii="华文楷体" w:eastAsia="华文楷体"/>
          <w:sz w:val="32"/>
          <w:szCs w:val="32"/>
        </w:rPr>
      </w:pPr>
    </w:p>
    <w:p w14:paraId="68B5533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石家庄市妇女联合会</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50531C8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D1DADE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02E6965">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 w:hAnsi="仿宋" w:eastAsia="仿宋" w:cs="仿宋"/>
          <w:sz w:val="32"/>
          <w:szCs w:val="32"/>
          <w:lang w:val="en-US" w:eastAsia="zh-CN"/>
        </w:rPr>
        <w:t>1.部门职责：</w:t>
      </w:r>
    </w:p>
    <w:p w14:paraId="4518CD02">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（一）领导全市妇女儿童工作，团结动员妇女群众投身改革开放和经济建设、政治建设、文化建设、社会建设、生态文明建设，为维护改革发展稳定大局服务，为全面推进中国式现代化贡献力量。</w:t>
      </w:r>
    </w:p>
    <w:p w14:paraId="0E5102D0">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二）教育引导广大妇女践行社会主义核心价值观，宣传马克思主义妇女观和男女平等思想，教育、引导妇女树立正确的世界观、人生观、价值观，弘扬“自尊、自信、自立、自强”精神，提高妇女素质，促进妇女人才成长。</w:t>
      </w:r>
    </w:p>
    <w:p w14:paraId="0B41ADDC">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三）代表妇女参与管理国家和社会事务、管理经济和文化事业，参与民主决策、民主管理、民主监督，参与起草有关地方性法规、政府规章草案；开展对涉及妇女切身利益的热点、难点问题的研究，及时向市委、市政府反映社情民意，提出对策建议。</w:t>
      </w:r>
    </w:p>
    <w:p w14:paraId="656AA032">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（四）维护妇女儿童合法权益，倾听妇女意见，反映妇女诉求，向有关部门和单位提出意见建议，要求并协助有关部门和单位查处侵害妇女儿童权益的行为，为受侵害的妇女儿童提供帮助。</w:t>
      </w:r>
    </w:p>
    <w:p w14:paraId="0219C68F">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五）坚持为妇女儿童服务、为基层服务，加强与社会各界联系，协调推动全社会为妇女儿童办实事、办好事，促进妇女儿童事业发展。开展家庭文明建设，发挥妇女在家庭生活中的独特作用，培育家庭家教家风文化。</w:t>
      </w:r>
    </w:p>
    <w:p w14:paraId="3336AA42">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六）指导县（市、区）妇联依据《章程》和妇女代表大会的任务开展工作；联系并指导团体会员工作；负责同各省市、港澳台及海外华侨华人妇女、妇女组织的交流合作；巩固和扩大各族各界妇女的大团结，促进祖国统一。</w:t>
      </w:r>
    </w:p>
    <w:p w14:paraId="50923D69">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hint="eastAsia" w:ascii="仿宋_GB2312" w:hAnsi="仿宋" w:eastAsia="仿宋_GB2312"/>
          <w:sz w:val="32"/>
          <w:szCs w:val="32"/>
          <w:highlight w:val="none"/>
        </w:rPr>
      </w:pPr>
      <w:r>
        <w:rPr>
          <w:rFonts w:hint="eastAsia" w:ascii="仿宋_GB2312" w:hAnsi="仿宋" w:eastAsia="仿宋_GB2312"/>
          <w:sz w:val="32"/>
          <w:szCs w:val="32"/>
          <w:highlight w:val="none"/>
        </w:rPr>
        <w:t>（七）组织编制、推动实施石家庄市妇女儿童发展规划并开展监测评估；指导各县(市、区)妇女儿童发展规划相关工作。</w:t>
      </w:r>
    </w:p>
    <w:p w14:paraId="507BA48E">
      <w:pPr>
        <w:keepNext w:val="0"/>
        <w:keepLines w:val="0"/>
        <w:pageBreakBefore w:val="0"/>
        <w:kinsoku/>
        <w:wordWrap/>
        <w:overflowPunct/>
        <w:topLinePunct w:val="0"/>
        <w:autoSpaceDE/>
        <w:autoSpaceDN/>
        <w:bidi w:val="0"/>
        <w:adjustRightInd/>
        <w:snapToGrid w:val="0"/>
        <w:spacing w:line="560" w:lineRule="exact"/>
        <w:ind w:left="0" w:leftChars="0" w:right="0" w:rightChars="0" w:firstLine="640" w:firstLineChars="200"/>
        <w:rPr>
          <w:rFonts w:ascii="仿宋_GB2312" w:hAnsi="仿宋" w:eastAsia="仿宋_GB2312"/>
          <w:sz w:val="32"/>
          <w:szCs w:val="32"/>
        </w:rPr>
      </w:pPr>
      <w:r>
        <w:rPr>
          <w:rFonts w:hint="eastAsia" w:ascii="仿宋_GB2312" w:hAnsi="仿宋" w:eastAsia="仿宋_GB2312"/>
          <w:sz w:val="32"/>
          <w:szCs w:val="32"/>
          <w:highlight w:val="none"/>
        </w:rPr>
        <w:t>（八）完成市委、市政府和省妇联交办的其他任务。</w:t>
      </w:r>
    </w:p>
    <w:p w14:paraId="4CF74086">
      <w:pPr>
        <w:keepNext w:val="0"/>
        <w:keepLines w:val="0"/>
        <w:pageBreakBefore w:val="0"/>
        <w:kinsoku/>
        <w:wordWrap/>
        <w:overflowPunct/>
        <w:topLinePunct w:val="0"/>
        <w:autoSpaceDE/>
        <w:autoSpaceDN/>
        <w:bidi w:val="0"/>
        <w:spacing w:line="560" w:lineRule="exact"/>
        <w:ind w:firstLine="640" w:firstLineChars="200"/>
        <w:textAlignment w:val="auto"/>
        <w:rPr>
          <w:rFonts w:hint="eastAsia"/>
        </w:rPr>
      </w:pPr>
      <w:r>
        <w:rPr>
          <w:rFonts w:hint="eastAsia" w:ascii="仿宋" w:hAnsi="仿宋" w:eastAsia="仿宋" w:cs="仿宋"/>
          <w:sz w:val="32"/>
          <w:szCs w:val="32"/>
          <w:lang w:val="en-US" w:eastAsia="zh-CN"/>
        </w:rPr>
        <w:t>2.部门机构设置情况</w:t>
      </w:r>
    </w:p>
    <w:tbl>
      <w:tblPr>
        <w:tblStyle w:val="7"/>
        <w:tblpPr w:leftFromText="180" w:rightFromText="180" w:vertAnchor="text" w:horzAnchor="page" w:tblpX="1567" w:tblpY="58"/>
        <w:tblOverlap w:val="never"/>
        <w:tblW w:w="933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47"/>
        <w:gridCol w:w="1834"/>
        <w:gridCol w:w="1508"/>
        <w:gridCol w:w="3149"/>
      </w:tblGrid>
      <w:tr w14:paraId="0E56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8" w:hRule="atLeast"/>
          <w:tblHeader/>
        </w:trPr>
        <w:tc>
          <w:tcPr>
            <w:tcW w:w="2847" w:type="dxa"/>
            <w:vAlign w:val="center"/>
          </w:tcPr>
          <w:p w14:paraId="4AD03551">
            <w:pPr>
              <w:pStyle w:val="9"/>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单位名称</w:t>
            </w:r>
          </w:p>
        </w:tc>
        <w:tc>
          <w:tcPr>
            <w:tcW w:w="1834" w:type="dxa"/>
            <w:vAlign w:val="center"/>
          </w:tcPr>
          <w:p w14:paraId="45394814">
            <w:pPr>
              <w:pStyle w:val="9"/>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单位性质</w:t>
            </w:r>
          </w:p>
        </w:tc>
        <w:tc>
          <w:tcPr>
            <w:tcW w:w="1508" w:type="dxa"/>
            <w:vAlign w:val="center"/>
          </w:tcPr>
          <w:p w14:paraId="2C6DD8C4">
            <w:pPr>
              <w:pStyle w:val="9"/>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单位规格</w:t>
            </w:r>
          </w:p>
        </w:tc>
        <w:tc>
          <w:tcPr>
            <w:tcW w:w="3149" w:type="dxa"/>
            <w:vAlign w:val="center"/>
          </w:tcPr>
          <w:p w14:paraId="4A425A09">
            <w:pPr>
              <w:pStyle w:val="9"/>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经费保障形式</w:t>
            </w:r>
          </w:p>
        </w:tc>
      </w:tr>
      <w:tr w14:paraId="5786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8" w:hRule="atLeast"/>
        </w:trPr>
        <w:tc>
          <w:tcPr>
            <w:tcW w:w="2847" w:type="dxa"/>
            <w:vAlign w:val="center"/>
          </w:tcPr>
          <w:p w14:paraId="21B8B999">
            <w:pPr>
              <w:pStyle w:val="10"/>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石家庄市妇女联合会</w:t>
            </w:r>
          </w:p>
        </w:tc>
        <w:tc>
          <w:tcPr>
            <w:tcW w:w="1834" w:type="dxa"/>
            <w:vAlign w:val="center"/>
          </w:tcPr>
          <w:p w14:paraId="79333218">
            <w:pPr>
              <w:pStyle w:val="11"/>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行政</w:t>
            </w:r>
          </w:p>
        </w:tc>
        <w:tc>
          <w:tcPr>
            <w:tcW w:w="1508" w:type="dxa"/>
            <w:vAlign w:val="center"/>
          </w:tcPr>
          <w:p w14:paraId="04A966A0">
            <w:pPr>
              <w:pStyle w:val="11"/>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正处（县）级</w:t>
            </w:r>
          </w:p>
        </w:tc>
        <w:tc>
          <w:tcPr>
            <w:tcW w:w="3149" w:type="dxa"/>
            <w:vAlign w:val="center"/>
          </w:tcPr>
          <w:p w14:paraId="7087C561">
            <w:pPr>
              <w:pStyle w:val="11"/>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财政拨款</w:t>
            </w:r>
          </w:p>
        </w:tc>
      </w:tr>
      <w:tr w14:paraId="5C5B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2" w:hRule="atLeast"/>
        </w:trPr>
        <w:tc>
          <w:tcPr>
            <w:tcW w:w="2847" w:type="dxa"/>
            <w:vAlign w:val="center"/>
          </w:tcPr>
          <w:p w14:paraId="454F12D3">
            <w:pPr>
              <w:pStyle w:val="10"/>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石家庄市妇女儿童活动中心</w:t>
            </w:r>
          </w:p>
        </w:tc>
        <w:tc>
          <w:tcPr>
            <w:tcW w:w="1834" w:type="dxa"/>
            <w:vAlign w:val="center"/>
          </w:tcPr>
          <w:p w14:paraId="32AD5F2F">
            <w:pPr>
              <w:pStyle w:val="11"/>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事业</w:t>
            </w:r>
          </w:p>
        </w:tc>
        <w:tc>
          <w:tcPr>
            <w:tcW w:w="1508" w:type="dxa"/>
            <w:vAlign w:val="center"/>
          </w:tcPr>
          <w:p w14:paraId="589ED080">
            <w:pPr>
              <w:pStyle w:val="11"/>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副处（县）级</w:t>
            </w:r>
          </w:p>
        </w:tc>
        <w:tc>
          <w:tcPr>
            <w:tcW w:w="3149" w:type="dxa"/>
            <w:vAlign w:val="center"/>
          </w:tcPr>
          <w:p w14:paraId="1405F023">
            <w:pPr>
              <w:pStyle w:val="11"/>
              <w:keepNext w:val="0"/>
              <w:keepLines w:val="0"/>
              <w:pageBreakBefore w:val="0"/>
              <w:kinsoku/>
              <w:wordWrap/>
              <w:overflowPunct/>
              <w:topLinePunct w:val="0"/>
              <w:autoSpaceDE/>
              <w:autoSpaceDN/>
              <w:bidi w:val="0"/>
              <w:spacing w:line="560" w:lineRule="exact"/>
              <w:jc w:val="center"/>
              <w:textAlignment w:val="auto"/>
              <w:rPr>
                <w:rFonts w:hint="eastAsia" w:ascii="仿宋" w:hAnsi="仿宋" w:eastAsia="仿宋" w:cs="仿宋"/>
              </w:rPr>
            </w:pPr>
            <w:r>
              <w:rPr>
                <w:rFonts w:hint="eastAsia" w:ascii="仿宋" w:hAnsi="仿宋" w:eastAsia="仿宋" w:cs="仿宋"/>
              </w:rPr>
              <w:t>财政性资金定额或定项补助</w:t>
            </w:r>
          </w:p>
        </w:tc>
      </w:tr>
    </w:tbl>
    <w:p w14:paraId="08CAC762">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3.部门人员情况</w:t>
      </w:r>
    </w:p>
    <w:p w14:paraId="71394ABD">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rPr>
        <w:t>截</w:t>
      </w:r>
      <w:r>
        <w:rPr>
          <w:rFonts w:hint="eastAsia" w:ascii="仿宋_GB2312" w:eastAsia="仿宋_GB2312" w:cs="仿宋_GB2312"/>
          <w:kern w:val="0"/>
          <w:sz w:val="32"/>
          <w:szCs w:val="32"/>
          <w:lang w:val="en-US" w:eastAsia="zh-CN"/>
        </w:rPr>
        <w:t>至</w:t>
      </w:r>
      <w:bookmarkStart w:id="1" w:name="_GoBack"/>
      <w:bookmarkEnd w:id="1"/>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4</w:t>
      </w:r>
      <w:r>
        <w:rPr>
          <w:rFonts w:hint="eastAsia" w:ascii="仿宋_GB2312" w:eastAsia="仿宋_GB2312" w:cs="仿宋_GB2312"/>
          <w:kern w:val="0"/>
          <w:sz w:val="32"/>
          <w:szCs w:val="32"/>
        </w:rPr>
        <w:t>年12月31日，我部门实有人员81人，在职4</w:t>
      </w:r>
      <w:r>
        <w:rPr>
          <w:rFonts w:hint="eastAsia" w:ascii="仿宋_GB2312" w:eastAsia="仿宋_GB2312" w:cs="仿宋_GB2312"/>
          <w:kern w:val="0"/>
          <w:sz w:val="32"/>
          <w:szCs w:val="32"/>
          <w:lang w:val="en-US" w:eastAsia="zh-CN"/>
        </w:rPr>
        <w:t>7</w:t>
      </w:r>
      <w:r>
        <w:rPr>
          <w:rFonts w:hint="eastAsia" w:ascii="仿宋_GB2312" w:eastAsia="仿宋_GB2312" w:cs="仿宋_GB2312"/>
          <w:kern w:val="0"/>
          <w:sz w:val="32"/>
          <w:szCs w:val="32"/>
        </w:rPr>
        <w:t>人，离休</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人，退休3</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人。在职人员包括行政人员4</w:t>
      </w:r>
      <w:r>
        <w:rPr>
          <w:rFonts w:hint="eastAsia" w:ascii="仿宋_GB2312" w:eastAsia="仿宋_GB2312" w:cs="仿宋_GB2312"/>
          <w:kern w:val="0"/>
          <w:sz w:val="32"/>
          <w:szCs w:val="32"/>
          <w:lang w:val="en-US" w:eastAsia="zh-CN"/>
        </w:rPr>
        <w:t>7</w:t>
      </w:r>
      <w:r>
        <w:rPr>
          <w:rFonts w:hint="eastAsia" w:ascii="仿宋_GB2312" w:eastAsia="仿宋_GB2312" w:cs="仿宋_GB2312"/>
          <w:kern w:val="0"/>
          <w:sz w:val="32"/>
          <w:szCs w:val="32"/>
        </w:rPr>
        <w:t>人（其中：工勤人员2人，非参公事业人员2</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人）。</w:t>
      </w:r>
    </w:p>
    <w:p w14:paraId="69374249">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4、资产情况</w:t>
      </w:r>
    </w:p>
    <w:p w14:paraId="63ADED74">
      <w:pPr>
        <w:snapToGrid w:val="0"/>
        <w:spacing w:line="560" w:lineRule="exact"/>
        <w:ind w:firstLine="640" w:firstLineChars="200"/>
      </w:pPr>
      <w:r>
        <w:rPr>
          <w:rFonts w:hint="eastAsia" w:ascii="仿宋" w:hAnsi="仿宋" w:eastAsia="仿宋" w:cs="仿宋"/>
          <w:sz w:val="32"/>
          <w:szCs w:val="32"/>
          <w:shd w:val="clear" w:color="auto" w:fill="FFFFFF"/>
          <w:lang w:val="en-US" w:eastAsia="zh-CN"/>
        </w:rPr>
        <w:t>截至2024年12月31日，我部门资产总额（账面净值，）470.93万元，负债总额22.69万元,净资产448.24万元 。</w:t>
      </w:r>
    </w:p>
    <w:p w14:paraId="23DD471B">
      <w:pPr>
        <w:keepNext w:val="0"/>
        <w:keepLines w:val="0"/>
        <w:pageBreakBefore w:val="0"/>
        <w:numPr>
          <w:ilvl w:val="0"/>
          <w:numId w:val="1"/>
        </w:numPr>
        <w:kinsoku/>
        <w:wordWrap/>
        <w:overflowPunct/>
        <w:topLinePunct w:val="0"/>
        <w:bidi w:val="0"/>
        <w:snapToGrid w:val="0"/>
        <w:spacing w:line="560" w:lineRule="exact"/>
        <w:ind w:left="0" w:leftChars="0" w:right="0" w:rightChars="0" w:firstLine="640" w:firstLineChars="200"/>
        <w:rPr>
          <w:rFonts w:hint="eastAsia" w:ascii="仿宋_GB2312" w:eastAsia="仿宋_GB2312" w:cs="仿宋_GB2312"/>
          <w:color w:val="auto"/>
          <w:kern w:val="0"/>
          <w:sz w:val="32"/>
          <w:szCs w:val="32"/>
          <w:lang w:val="en-US" w:eastAsia="zh-CN"/>
        </w:rPr>
      </w:pPr>
      <w:r>
        <w:rPr>
          <w:rFonts w:hint="eastAsia" w:ascii="楷体_GB2312" w:hAnsi="仿宋" w:eastAsia="楷体_GB2312" w:cs="楷体_GB2312"/>
          <w:bCs/>
          <w:sz w:val="32"/>
          <w:szCs w:val="32"/>
          <w:highlight w:val="none"/>
        </w:rPr>
        <w:t>部门收支预决算情况</w:t>
      </w:r>
    </w:p>
    <w:p w14:paraId="4126ABE1">
      <w:pPr>
        <w:keepNext w:val="0"/>
        <w:keepLines w:val="0"/>
        <w:pageBreakBefore w:val="0"/>
        <w:numPr>
          <w:ilvl w:val="0"/>
          <w:numId w:val="0"/>
        </w:numPr>
        <w:kinsoku/>
        <w:wordWrap/>
        <w:overflowPunct/>
        <w:topLinePunct w:val="0"/>
        <w:bidi w:val="0"/>
        <w:snapToGrid w:val="0"/>
        <w:spacing w:line="560" w:lineRule="exact"/>
        <w:ind w:right="0" w:rightChars="0" w:firstLine="640"/>
        <w:rPr>
          <w:rFonts w:hint="eastAsia" w:ascii="仿宋_GB2312" w:hAnsi="Calibri" w:eastAsia="仿宋_GB2312" w:cs="Calibri"/>
          <w:color w:val="000000"/>
          <w:kern w:val="0"/>
          <w:sz w:val="30"/>
          <w:szCs w:val="30"/>
        </w:rPr>
      </w:pPr>
      <w:r>
        <w:rPr>
          <w:rFonts w:hint="eastAsia" w:ascii="仿宋_GB2312" w:hAnsi="Calibri" w:eastAsia="仿宋_GB2312" w:cs="Calibri"/>
          <w:color w:val="000000"/>
          <w:kern w:val="0"/>
          <w:sz w:val="30"/>
          <w:szCs w:val="30"/>
        </w:rPr>
        <w:t>202</w:t>
      </w:r>
      <w:r>
        <w:rPr>
          <w:rFonts w:hint="eastAsia" w:ascii="仿宋_GB2312" w:hAnsi="Calibri" w:eastAsia="仿宋_GB2312" w:cs="Calibri"/>
          <w:color w:val="000000"/>
          <w:kern w:val="0"/>
          <w:sz w:val="30"/>
          <w:szCs w:val="30"/>
          <w:lang w:val="en-US" w:eastAsia="zh-CN"/>
        </w:rPr>
        <w:t>4</w:t>
      </w:r>
      <w:r>
        <w:rPr>
          <w:rFonts w:hint="eastAsia" w:ascii="仿宋_GB2312" w:hAnsi="Calibri" w:eastAsia="仿宋_GB2312" w:cs="Calibri"/>
          <w:color w:val="000000"/>
          <w:kern w:val="0"/>
          <w:sz w:val="30"/>
          <w:szCs w:val="30"/>
        </w:rPr>
        <w:t>年度，</w:t>
      </w:r>
      <w:r>
        <w:rPr>
          <w:rFonts w:hint="eastAsia" w:ascii="仿宋_GB2312" w:hAnsi="Calibri" w:eastAsia="仿宋_GB2312" w:cs="Calibri"/>
          <w:color w:val="000000"/>
          <w:kern w:val="0"/>
          <w:sz w:val="30"/>
          <w:szCs w:val="30"/>
          <w:lang w:eastAsia="zh-CN"/>
        </w:rPr>
        <w:t>我</w:t>
      </w:r>
      <w:r>
        <w:rPr>
          <w:rFonts w:hint="eastAsia" w:ascii="仿宋_GB2312" w:eastAsia="仿宋_GB2312" w:cs="Calibri"/>
          <w:color w:val="000000"/>
          <w:kern w:val="0"/>
          <w:sz w:val="30"/>
          <w:szCs w:val="30"/>
          <w:lang w:eastAsia="zh-CN"/>
        </w:rPr>
        <w:t>部门</w:t>
      </w:r>
      <w:r>
        <w:rPr>
          <w:rFonts w:hint="eastAsia" w:ascii="仿宋_GB2312" w:hAnsi="Calibri" w:eastAsia="仿宋_GB2312" w:cs="Calibri"/>
          <w:color w:val="000000"/>
          <w:kern w:val="0"/>
          <w:sz w:val="30"/>
          <w:szCs w:val="30"/>
          <w:lang w:eastAsia="zh-CN"/>
        </w:rPr>
        <w:t>年初</w:t>
      </w:r>
      <w:r>
        <w:rPr>
          <w:rFonts w:hint="eastAsia" w:ascii="仿宋_GB2312" w:hAnsi="Calibri" w:eastAsia="仿宋_GB2312" w:cs="Calibri"/>
          <w:color w:val="000000"/>
          <w:kern w:val="0"/>
          <w:sz w:val="30"/>
          <w:szCs w:val="30"/>
        </w:rPr>
        <w:t>预算收入</w:t>
      </w:r>
      <w:r>
        <w:rPr>
          <w:rFonts w:hint="eastAsia" w:ascii="仿宋_GB2312" w:hAnsi="Calibri" w:eastAsia="仿宋_GB2312" w:cs="Calibri"/>
          <w:color w:val="000000"/>
          <w:kern w:val="0"/>
          <w:sz w:val="30"/>
          <w:szCs w:val="30"/>
          <w:lang w:val="en-US" w:eastAsia="zh-CN"/>
        </w:rPr>
        <w:t>1925.59</w:t>
      </w:r>
      <w:r>
        <w:rPr>
          <w:rFonts w:hint="eastAsia" w:ascii="仿宋_GB2312" w:hAnsi="Calibri" w:eastAsia="仿宋_GB2312" w:cs="Calibri"/>
          <w:color w:val="000000"/>
          <w:kern w:val="0"/>
          <w:sz w:val="30"/>
          <w:szCs w:val="30"/>
        </w:rPr>
        <w:t>万元，其中财政拨款收入为</w:t>
      </w:r>
      <w:r>
        <w:rPr>
          <w:rFonts w:hint="eastAsia" w:ascii="仿宋_GB2312" w:hAnsi="Calibri" w:eastAsia="仿宋_GB2312" w:cs="Calibri"/>
          <w:color w:val="000000"/>
          <w:kern w:val="0"/>
          <w:sz w:val="30"/>
          <w:szCs w:val="30"/>
          <w:lang w:val="en-US" w:eastAsia="zh-CN"/>
        </w:rPr>
        <w:t>1646.46</w:t>
      </w:r>
      <w:r>
        <w:rPr>
          <w:rFonts w:hint="eastAsia" w:ascii="仿宋_GB2312" w:hAnsi="Calibri" w:eastAsia="仿宋_GB2312" w:cs="Calibri"/>
          <w:color w:val="000000"/>
          <w:kern w:val="0"/>
          <w:sz w:val="30"/>
          <w:szCs w:val="30"/>
        </w:rPr>
        <w:t>万元，</w:t>
      </w:r>
      <w:r>
        <w:rPr>
          <w:rFonts w:hint="eastAsia" w:ascii="仿宋_GB2312" w:eastAsia="仿宋_GB2312" w:cs="楷体_GB2312"/>
          <w:kern w:val="0"/>
          <w:sz w:val="32"/>
          <w:szCs w:val="32"/>
          <w:highlight w:val="none"/>
        </w:rPr>
        <w:t>事业收入</w:t>
      </w:r>
      <w:r>
        <w:rPr>
          <w:rFonts w:hint="eastAsia" w:ascii="仿宋_GB2312" w:eastAsia="仿宋_GB2312" w:cs="楷体_GB2312"/>
          <w:kern w:val="0"/>
          <w:sz w:val="32"/>
          <w:szCs w:val="32"/>
          <w:highlight w:val="none"/>
          <w:lang w:val="en-US" w:eastAsia="zh-CN"/>
        </w:rPr>
        <w:t>316</w:t>
      </w:r>
      <w:r>
        <w:rPr>
          <w:rFonts w:hint="eastAsia" w:ascii="仿宋_GB2312" w:eastAsia="仿宋_GB2312" w:cs="楷体_GB2312"/>
          <w:kern w:val="0"/>
          <w:sz w:val="32"/>
          <w:szCs w:val="32"/>
          <w:highlight w:val="none"/>
        </w:rPr>
        <w:t>万元。</w:t>
      </w:r>
      <w:r>
        <w:rPr>
          <w:rFonts w:hint="eastAsia" w:ascii="仿宋_GB2312" w:hAnsi="Calibri" w:eastAsia="仿宋_GB2312" w:cs="Calibri"/>
          <w:color w:val="000000"/>
          <w:kern w:val="0"/>
          <w:sz w:val="30"/>
          <w:szCs w:val="30"/>
        </w:rPr>
        <w:t>预算支出为</w:t>
      </w:r>
      <w:r>
        <w:rPr>
          <w:rFonts w:hint="eastAsia" w:ascii="仿宋_GB2312" w:hAnsi="Calibri" w:eastAsia="仿宋_GB2312" w:cs="Calibri"/>
          <w:color w:val="000000"/>
          <w:kern w:val="0"/>
          <w:sz w:val="30"/>
          <w:szCs w:val="30"/>
          <w:lang w:val="en-US" w:eastAsia="zh-CN"/>
        </w:rPr>
        <w:t>1982.4</w:t>
      </w:r>
      <w:r>
        <w:rPr>
          <w:rFonts w:hint="eastAsia" w:ascii="仿宋_GB2312" w:hAnsi="Calibri" w:eastAsia="仿宋_GB2312" w:cs="Calibri"/>
          <w:color w:val="000000"/>
          <w:kern w:val="0"/>
          <w:sz w:val="30"/>
          <w:szCs w:val="30"/>
        </w:rPr>
        <w:t>万元：基本支出</w:t>
      </w:r>
      <w:r>
        <w:rPr>
          <w:rFonts w:hint="eastAsia" w:ascii="仿宋_GB2312" w:hAnsi="Calibri" w:eastAsia="仿宋_GB2312" w:cs="Calibri"/>
          <w:color w:val="000000"/>
          <w:kern w:val="0"/>
          <w:sz w:val="30"/>
          <w:szCs w:val="30"/>
          <w:lang w:val="en-US" w:eastAsia="zh-CN"/>
        </w:rPr>
        <w:t>1263.25</w:t>
      </w:r>
      <w:r>
        <w:rPr>
          <w:rFonts w:hint="eastAsia" w:ascii="仿宋_GB2312" w:hAnsi="Calibri" w:eastAsia="仿宋_GB2312" w:cs="Calibri"/>
          <w:color w:val="000000"/>
          <w:kern w:val="0"/>
          <w:sz w:val="30"/>
          <w:szCs w:val="30"/>
        </w:rPr>
        <w:t>万元，其中人员经费</w:t>
      </w:r>
      <w:r>
        <w:rPr>
          <w:rFonts w:hint="eastAsia" w:ascii="仿宋_GB2312" w:hAnsi="Calibri" w:eastAsia="仿宋_GB2312" w:cs="Calibri"/>
          <w:color w:val="000000"/>
          <w:kern w:val="0"/>
          <w:sz w:val="30"/>
          <w:szCs w:val="30"/>
          <w:lang w:val="en-US" w:eastAsia="zh-CN"/>
        </w:rPr>
        <w:t>1160.24</w:t>
      </w:r>
      <w:r>
        <w:rPr>
          <w:rFonts w:hint="eastAsia" w:ascii="仿宋_GB2312" w:hAnsi="Calibri" w:eastAsia="仿宋_GB2312" w:cs="Calibri"/>
          <w:color w:val="000000"/>
          <w:kern w:val="0"/>
          <w:sz w:val="30"/>
          <w:szCs w:val="30"/>
        </w:rPr>
        <w:t>万元，日常公用经费</w:t>
      </w:r>
      <w:r>
        <w:rPr>
          <w:rFonts w:hint="eastAsia" w:ascii="仿宋_GB2312" w:hAnsi="Calibri" w:eastAsia="仿宋_GB2312" w:cs="Calibri"/>
          <w:color w:val="000000"/>
          <w:kern w:val="0"/>
          <w:sz w:val="30"/>
          <w:szCs w:val="30"/>
          <w:lang w:val="en-US" w:eastAsia="zh-CN"/>
        </w:rPr>
        <w:t>103.01</w:t>
      </w:r>
      <w:r>
        <w:rPr>
          <w:rFonts w:hint="eastAsia" w:ascii="仿宋_GB2312" w:hAnsi="Calibri" w:eastAsia="仿宋_GB2312" w:cs="Calibri"/>
          <w:color w:val="000000"/>
          <w:kern w:val="0"/>
          <w:sz w:val="30"/>
          <w:szCs w:val="30"/>
        </w:rPr>
        <w:t>万元；项目支出</w:t>
      </w:r>
      <w:r>
        <w:rPr>
          <w:rFonts w:hint="eastAsia" w:ascii="仿宋_GB2312" w:hAnsi="Calibri" w:eastAsia="仿宋_GB2312" w:cs="Calibri"/>
          <w:color w:val="000000"/>
          <w:kern w:val="0"/>
          <w:sz w:val="30"/>
          <w:szCs w:val="30"/>
          <w:lang w:val="en-US" w:eastAsia="zh-CN"/>
        </w:rPr>
        <w:t>719.15</w:t>
      </w:r>
      <w:r>
        <w:rPr>
          <w:rFonts w:hint="eastAsia" w:ascii="仿宋_GB2312" w:hAnsi="Calibri" w:eastAsia="仿宋_GB2312" w:cs="Calibri"/>
          <w:color w:val="000000"/>
          <w:kern w:val="0"/>
          <w:sz w:val="30"/>
          <w:szCs w:val="30"/>
        </w:rPr>
        <w:t>万元。</w:t>
      </w:r>
    </w:p>
    <w:p w14:paraId="335F9BD8">
      <w:pPr>
        <w:pStyle w:val="12"/>
        <w:keepNext w:val="0"/>
        <w:keepLines w:val="0"/>
        <w:pageBreakBefore w:val="0"/>
        <w:kinsoku/>
        <w:wordWrap/>
        <w:overflowPunct/>
        <w:topLinePunct w:val="0"/>
        <w:bidi w:val="0"/>
        <w:spacing w:line="560" w:lineRule="exact"/>
        <w:ind w:left="0" w:leftChars="0" w:right="0" w:rightChars="0" w:firstLine="640"/>
        <w:rPr>
          <w:rFonts w:hint="eastAsia" w:ascii="仿宋_GB2312" w:eastAsia="仿宋_GB2312" w:cs="仿宋_GB2312"/>
          <w:kern w:val="0"/>
          <w:sz w:val="32"/>
          <w:szCs w:val="32"/>
          <w:highlight w:val="none"/>
        </w:rPr>
      </w:pPr>
      <w:r>
        <w:rPr>
          <w:rFonts w:hint="eastAsia" w:ascii="仿宋_GB2312" w:eastAsia="仿宋_GB2312" w:cs="仿宋_GB2312"/>
          <w:color w:val="auto"/>
          <w:kern w:val="0"/>
          <w:sz w:val="32"/>
          <w:szCs w:val="32"/>
          <w:lang w:val="en-US" w:eastAsia="zh-CN"/>
        </w:rPr>
        <w:t>2024年度，</w:t>
      </w:r>
      <w:r>
        <w:rPr>
          <w:rFonts w:hint="eastAsia" w:ascii="仿宋_GB2312" w:eastAsia="仿宋_GB2312" w:cs="仿宋_GB2312"/>
          <w:color w:val="auto"/>
          <w:kern w:val="0"/>
          <w:sz w:val="32"/>
          <w:szCs w:val="32"/>
          <w:highlight w:val="none"/>
          <w:lang w:val="en-US" w:eastAsia="zh-CN"/>
        </w:rPr>
        <w:t>全年决算收入总计1753.01万元，其中一般公共预算财政拨款收入1636.76万元，</w:t>
      </w:r>
      <w:r>
        <w:rPr>
          <w:rFonts w:hint="eastAsia" w:ascii="仿宋_GB2312" w:eastAsia="仿宋_GB2312" w:cs="仿宋_GB2312"/>
          <w:kern w:val="0"/>
          <w:sz w:val="32"/>
          <w:szCs w:val="32"/>
          <w:highlight w:val="none"/>
        </w:rPr>
        <w:t>事业收入</w:t>
      </w:r>
      <w:r>
        <w:rPr>
          <w:rFonts w:hint="eastAsia" w:ascii="仿宋_GB2312" w:eastAsia="仿宋_GB2312" w:cs="仿宋_GB2312"/>
          <w:kern w:val="0"/>
          <w:sz w:val="32"/>
          <w:szCs w:val="32"/>
          <w:highlight w:val="none"/>
          <w:lang w:val="en-US" w:eastAsia="zh-CN"/>
        </w:rPr>
        <w:t>116.24</w:t>
      </w:r>
      <w:r>
        <w:rPr>
          <w:rFonts w:hint="eastAsia" w:ascii="仿宋_GB2312" w:eastAsia="仿宋_GB2312" w:cs="仿宋_GB2312"/>
          <w:kern w:val="0"/>
          <w:sz w:val="32"/>
          <w:szCs w:val="32"/>
          <w:highlight w:val="none"/>
        </w:rPr>
        <w:t>万元。</w:t>
      </w:r>
      <w:r>
        <w:rPr>
          <w:rFonts w:hint="eastAsia" w:ascii="仿宋_GB2312" w:eastAsia="仿宋_GB2312" w:cs="仿宋_GB2312"/>
          <w:color w:val="auto"/>
          <w:kern w:val="0"/>
          <w:sz w:val="32"/>
          <w:szCs w:val="32"/>
          <w:lang w:val="en-US" w:eastAsia="zh-CN"/>
        </w:rPr>
        <w:t>全年决算支出总计1831.11万元，基本支出1260.44万元，其中：人员经费支出1157.42万元，日常公用经费支出103.01万元，项目支出570.67万元。</w:t>
      </w:r>
    </w:p>
    <w:p w14:paraId="7AA11920">
      <w:pPr>
        <w:adjustRightInd w:val="0"/>
        <w:snapToGrid w:val="0"/>
        <w:spacing w:line="560" w:lineRule="exact"/>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（三）部门整体支出绩效目标、指标</w:t>
      </w:r>
    </w:p>
    <w:p w14:paraId="75138AFF">
      <w:pPr>
        <w:keepNext w:val="0"/>
        <w:keepLines w:val="0"/>
        <w:pageBreakBefore w:val="0"/>
        <w:kinsoku/>
        <w:wordWrap/>
        <w:overflowPunct/>
        <w:topLinePunct w:val="0"/>
        <w:autoSpaceDE/>
        <w:autoSpaceDN/>
        <w:bidi w:val="0"/>
        <w:spacing w:line="560" w:lineRule="exact"/>
        <w:ind w:left="573"/>
        <w:textAlignment w:val="auto"/>
        <w:outlineLvl w:val="0"/>
        <w:rPr>
          <w:rFonts w:ascii="黑体" w:hAnsi="黑体" w:eastAsia="黑体" w:cs="黑体"/>
          <w:b w:val="0"/>
          <w:bCs w:val="0"/>
          <w:sz w:val="32"/>
          <w:szCs w:val="32"/>
        </w:rPr>
      </w:pPr>
      <w:r>
        <w:rPr>
          <w:rFonts w:hint="eastAsia" w:ascii="仿宋" w:hAnsi="仿宋" w:eastAsia="仿宋" w:cs="仿宋"/>
          <w:b w:val="0"/>
          <w:bCs w:val="0"/>
          <w:spacing w:val="3"/>
          <w:sz w:val="32"/>
          <w:szCs w:val="32"/>
          <w:lang w:val="en-US" w:eastAsia="zh-CN"/>
        </w:rPr>
        <w:t>1、</w:t>
      </w:r>
      <w:r>
        <w:rPr>
          <w:rFonts w:hint="eastAsia" w:ascii="仿宋" w:hAnsi="仿宋" w:eastAsia="仿宋" w:cs="仿宋"/>
          <w:b w:val="0"/>
          <w:bCs w:val="0"/>
          <w:spacing w:val="3"/>
          <w:sz w:val="32"/>
          <w:szCs w:val="32"/>
        </w:rPr>
        <w:t>总体绩效目标</w:t>
      </w:r>
    </w:p>
    <w:p w14:paraId="722837F0">
      <w:pPr>
        <w:adjustRightInd w:val="0"/>
        <w:snapToGrid w:val="0"/>
        <w:spacing w:line="560" w:lineRule="exact"/>
        <w:ind w:firstLine="640" w:firstLineChars="200"/>
        <w:rPr>
          <w:rFonts w:ascii="仿宋" w:hAnsi="仿宋" w:eastAsia="仿宋"/>
          <w:sz w:val="32"/>
          <w:szCs w:val="32"/>
        </w:rPr>
      </w:pPr>
      <w:r>
        <w:rPr>
          <w:rFonts w:hint="eastAsia" w:ascii="仿宋_GB2312" w:eastAsia="仿宋_GB2312" w:cs="仿宋_GB2312"/>
          <w:color w:val="auto"/>
          <w:kern w:val="0"/>
          <w:sz w:val="32"/>
          <w:szCs w:val="32"/>
          <w:lang w:val="en-US" w:eastAsia="zh-CN"/>
        </w:rPr>
        <w:t>坚持以习近平新时代中国特色社会主义思想为指导，深入学习贯彻二十大精神，坚持围绕中心、服务大局，推进妇联事业实现全面发展。着力用好妇女之家平台，新建规范的示范妇女之家10个，让妇女群众在身边找得到妇联；着力开展寻找“最美家庭”活动，推荐命名“最美家庭”100户以上；着力推进美丽庭院创建，完成美丽庭院6.4万户、精品庭院1.5万户，提高美丽庭院比例；着力开展巾帼创业创新和巾帼脱贫行动，发挥妇女在家庭生活和社会生活中的独特作用，举办家庭手工发展服务培训活动5次以上；着力维护妇女儿童合法权益，进行婚姻家庭纠纷调解工作，全年争取调解不少于600件；妇儿中心2024年</w:t>
      </w:r>
      <w:r>
        <w:rPr>
          <w:rFonts w:hint="eastAsia" w:ascii="仿宋" w:hAnsi="仿宋" w:eastAsia="仿宋" w:cs="仿宋"/>
          <w:color w:val="343434"/>
          <w:sz w:val="32"/>
          <w:szCs w:val="32"/>
          <w:shd w:val="clear" w:color="auto" w:fill="FFFFFF"/>
        </w:rPr>
        <w:t>举办家庭教育公益课堂8期、沙盘活动2期、</w:t>
      </w:r>
      <w:r>
        <w:rPr>
          <w:rFonts w:hint="eastAsia" w:ascii="仿宋" w:hAnsi="仿宋" w:eastAsia="仿宋" w:cs="仿宋"/>
          <w:color w:val="000000"/>
          <w:sz w:val="32"/>
          <w:szCs w:val="32"/>
        </w:rPr>
        <w:t>OH卡牌活动2期、家庭教育沙龙3期、心理绘画1期</w:t>
      </w:r>
      <w:r>
        <w:rPr>
          <w:rFonts w:hint="eastAsia" w:ascii="仿宋" w:hAnsi="仿宋" w:eastAsia="仿宋" w:cs="仿宋"/>
          <w:color w:val="343434"/>
          <w:sz w:val="32"/>
          <w:szCs w:val="32"/>
          <w:shd w:val="clear" w:color="auto" w:fill="FFFFFF"/>
        </w:rPr>
        <w:t>。选择</w:t>
      </w:r>
      <w:r>
        <w:rPr>
          <w:rFonts w:hint="eastAsia" w:ascii="仿宋" w:hAnsi="仿宋" w:eastAsia="仿宋" w:cs="仿宋"/>
          <w:sz w:val="32"/>
          <w:szCs w:val="32"/>
        </w:rPr>
        <w:t>“如何让孩子爱上学习”、“用‘心’沟通，高效陪伴”、“情绪管理”、“如何引导孩子爱上学习”等广受家庭关注的热点主题，开展家庭教育咨询活动。</w:t>
      </w:r>
      <w:r>
        <w:rPr>
          <w:rFonts w:hint="eastAsia" w:ascii="仿宋" w:hAnsi="仿宋" w:eastAsia="仿宋"/>
          <w:sz w:val="32"/>
          <w:szCs w:val="32"/>
          <w:lang w:eastAsia="zh-CN"/>
        </w:rPr>
        <w:t>组织教学活动，年培训组织培训学员</w:t>
      </w:r>
      <w:r>
        <w:rPr>
          <w:rFonts w:hint="eastAsia" w:ascii="仿宋" w:hAnsi="仿宋" w:eastAsia="仿宋"/>
          <w:sz w:val="32"/>
          <w:szCs w:val="32"/>
          <w:lang w:val="en-US" w:eastAsia="zh-CN"/>
        </w:rPr>
        <w:t>626余人次，开办各类各项培训班次78余班，培训学员各项考核合格率90%以上。</w:t>
      </w:r>
    </w:p>
    <w:p w14:paraId="7C63F33F">
      <w:pPr>
        <w:keepNext w:val="0"/>
        <w:keepLines w:val="0"/>
        <w:pageBreakBefore w:val="0"/>
        <w:kinsoku/>
        <w:wordWrap/>
        <w:overflowPunct/>
        <w:topLinePunct w:val="0"/>
        <w:autoSpaceDE/>
        <w:autoSpaceDN/>
        <w:bidi w:val="0"/>
        <w:spacing w:line="560" w:lineRule="exact"/>
        <w:ind w:left="573"/>
        <w:textAlignment w:val="auto"/>
        <w:outlineLvl w:val="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2、分项绩效目标</w:t>
      </w:r>
    </w:p>
    <w:p w14:paraId="45FA58CA">
      <w:pPr>
        <w:pStyle w:val="3"/>
        <w:keepNext w:val="0"/>
        <w:keepLines w:val="0"/>
        <w:pageBreakBefore w:val="0"/>
        <w:kinsoku/>
        <w:wordWrap/>
        <w:overflowPunct/>
        <w:topLinePunct w:val="0"/>
        <w:autoSpaceDE/>
        <w:autoSpaceDN/>
        <w:bidi w:val="0"/>
        <w:spacing w:line="560" w:lineRule="exact"/>
        <w:ind w:left="679"/>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(1)妇女之家项目建设</w:t>
      </w:r>
    </w:p>
    <w:p w14:paraId="070AF703">
      <w:pPr>
        <w:pStyle w:val="3"/>
        <w:keepNext w:val="0"/>
        <w:keepLines w:val="0"/>
        <w:pageBreakBefore w:val="0"/>
        <w:kinsoku/>
        <w:wordWrap/>
        <w:overflowPunct/>
        <w:topLinePunct w:val="0"/>
        <w:autoSpaceDE/>
        <w:autoSpaceDN/>
        <w:bidi w:val="0"/>
        <w:spacing w:line="560" w:lineRule="exact"/>
        <w:ind w:right="19"/>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绩效目标：在乡(镇、街道)、农村(社区)及妇女集中的领域建</w:t>
      </w:r>
      <w:bookmarkStart w:id="0" w:name="bookmark2"/>
      <w:bookmarkEnd w:id="0"/>
      <w:r>
        <w:rPr>
          <w:rFonts w:hint="eastAsia" w:ascii="仿宋" w:hAnsi="仿宋" w:eastAsia="仿宋" w:cs="仿宋"/>
          <w:kern w:val="2"/>
          <w:sz w:val="32"/>
          <w:szCs w:val="32"/>
          <w:lang w:val="en-US" w:eastAsia="zh-CN" w:bidi="ar-SA"/>
        </w:rPr>
        <w:t>设妇女之家，打造示范妇女之家，拓展功能，丰富内容，切实把妇联组织建成可信赖依靠的妇女之家。</w:t>
      </w:r>
    </w:p>
    <w:p w14:paraId="45E40970">
      <w:pPr>
        <w:pStyle w:val="3"/>
        <w:keepNext w:val="0"/>
        <w:keepLines w:val="0"/>
        <w:pageBreakBefore w:val="0"/>
        <w:kinsoku/>
        <w:wordWrap/>
        <w:overflowPunct/>
        <w:topLinePunct w:val="0"/>
        <w:autoSpaceDE/>
        <w:autoSpaceDN/>
        <w:bidi w:val="0"/>
        <w:spacing w:line="560" w:lineRule="exact"/>
        <w:ind w:right="38"/>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绩效指标：建设规范的示范妇女之家10个以上，发挥妇女讲习所(培训室)、阅览室、室外宣传橱窗功能。</w:t>
      </w:r>
    </w:p>
    <w:p w14:paraId="630EE293">
      <w:pPr>
        <w:pStyle w:val="3"/>
        <w:keepNext w:val="0"/>
        <w:keepLines w:val="0"/>
        <w:pageBreakBefore w:val="0"/>
        <w:kinsoku/>
        <w:wordWrap/>
        <w:overflowPunct/>
        <w:topLinePunct w:val="0"/>
        <w:autoSpaceDE/>
        <w:autoSpaceDN/>
        <w:bidi w:val="0"/>
        <w:spacing w:line="560" w:lineRule="exact"/>
        <w:ind w:left="669"/>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(2)深化寻找“最美家庭”活动</w:t>
      </w:r>
    </w:p>
    <w:p w14:paraId="74EDA978">
      <w:pPr>
        <w:pStyle w:val="3"/>
        <w:keepNext w:val="0"/>
        <w:keepLines w:val="0"/>
        <w:pageBreakBefore w:val="0"/>
        <w:kinsoku/>
        <w:wordWrap/>
        <w:overflowPunct/>
        <w:topLinePunct w:val="0"/>
        <w:autoSpaceDE/>
        <w:autoSpaceDN/>
        <w:bidi w:val="0"/>
        <w:spacing w:line="560" w:lineRule="exact"/>
        <w:ind w:right="30" w:firstLine="640" w:firstLineChars="200"/>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绩效目标：充分发挥妇女在家庭生活中的独特作用，组织开展特色家庭文化活动，广泛发动妇女和家庭共同分享家庭幸福故事。</w:t>
      </w:r>
    </w:p>
    <w:p w14:paraId="1B4C1DBC">
      <w:pPr>
        <w:pStyle w:val="3"/>
        <w:keepNext w:val="0"/>
        <w:keepLines w:val="0"/>
        <w:pageBreakBefore w:val="0"/>
        <w:kinsoku/>
        <w:wordWrap/>
        <w:overflowPunct/>
        <w:topLinePunct w:val="0"/>
        <w:autoSpaceDE/>
        <w:autoSpaceDN/>
        <w:bidi w:val="0"/>
        <w:spacing w:line="560" w:lineRule="exact"/>
        <w:ind w:right="32"/>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绩效指标：着力开展进一步深化寻找“最美家庭”活动，全年推荐不同领域、各具特色、富有新时代特征的最美家庭100户以上。</w:t>
      </w:r>
    </w:p>
    <w:p w14:paraId="5A2FEA8C">
      <w:pPr>
        <w:pStyle w:val="3"/>
        <w:keepNext w:val="0"/>
        <w:keepLines w:val="0"/>
        <w:pageBreakBefore w:val="0"/>
        <w:kinsoku/>
        <w:wordWrap/>
        <w:overflowPunct/>
        <w:topLinePunct w:val="0"/>
        <w:autoSpaceDE/>
        <w:autoSpaceDN/>
        <w:bidi w:val="0"/>
        <w:spacing w:line="560" w:lineRule="exact"/>
        <w:ind w:left="669"/>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(3)延伸“美丽庭院”创建工作覆盖面</w:t>
      </w:r>
    </w:p>
    <w:p w14:paraId="70D1FE04">
      <w:pPr>
        <w:pStyle w:val="3"/>
        <w:keepNext w:val="0"/>
        <w:keepLines w:val="0"/>
        <w:pageBreakBefore w:val="0"/>
        <w:kinsoku/>
        <w:wordWrap/>
        <w:overflowPunct/>
        <w:topLinePunct w:val="0"/>
        <w:autoSpaceDE/>
        <w:autoSpaceDN/>
        <w:bidi w:val="0"/>
        <w:spacing w:line="560" w:lineRule="exact"/>
        <w:ind w:firstLine="57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绩效目标：2023年，持续开展美丽庭院创建，巩固提升现有美丽 庭院户，更多创建新的美丽庭院示范户，让美丽庭院成为农村人居环境整治提升的最美音符。</w:t>
      </w:r>
    </w:p>
    <w:p w14:paraId="21656D50">
      <w:pPr>
        <w:pStyle w:val="3"/>
        <w:keepNext w:val="0"/>
        <w:keepLines w:val="0"/>
        <w:pageBreakBefore w:val="0"/>
        <w:kinsoku/>
        <w:wordWrap/>
        <w:overflowPunct/>
        <w:topLinePunct w:val="0"/>
        <w:autoSpaceDE/>
        <w:autoSpaceDN/>
        <w:bidi w:val="0"/>
        <w:spacing w:line="560" w:lineRule="exact"/>
        <w:ind w:right="12" w:firstLine="57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绩效指标：2023年对现有美丽庭院户提升，围绕“五美”标准，提升创建水平。大力创建新的美丽庭院户，创建完成美丽庭院3万户、精品庭院1.5万户，提高美丽庭院比例。</w:t>
      </w:r>
    </w:p>
    <w:p w14:paraId="0B44DFC5">
      <w:pPr>
        <w:pStyle w:val="3"/>
        <w:keepNext w:val="0"/>
        <w:keepLines w:val="0"/>
        <w:pageBreakBefore w:val="0"/>
        <w:kinsoku/>
        <w:wordWrap/>
        <w:overflowPunct/>
        <w:topLinePunct w:val="0"/>
        <w:autoSpaceDE/>
        <w:autoSpaceDN/>
        <w:bidi w:val="0"/>
        <w:spacing w:line="560" w:lineRule="exact"/>
        <w:ind w:left="669"/>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(4)开展巾帼创业创新系列活动</w:t>
      </w:r>
    </w:p>
    <w:p w14:paraId="2B73CCD9">
      <w:pPr>
        <w:pStyle w:val="3"/>
        <w:keepNext w:val="0"/>
        <w:keepLines w:val="0"/>
        <w:pageBreakBefore w:val="0"/>
        <w:kinsoku/>
        <w:wordWrap/>
        <w:overflowPunct/>
        <w:topLinePunct w:val="0"/>
        <w:autoSpaceDE/>
        <w:autoSpaceDN/>
        <w:bidi w:val="0"/>
        <w:spacing w:line="560" w:lineRule="exact"/>
        <w:ind w:right="37"/>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绩效目标：大力发展巾帼家政、家庭手工、巾帼农业等产业。举办家政、手工等妇女职业技能培训，带动更多妇女创业就业。</w:t>
      </w:r>
    </w:p>
    <w:p w14:paraId="110628BF">
      <w:pPr>
        <w:pStyle w:val="3"/>
        <w:keepNext w:val="0"/>
        <w:keepLines w:val="0"/>
        <w:pageBreakBefore w:val="0"/>
        <w:kinsoku/>
        <w:wordWrap/>
        <w:overflowPunct/>
        <w:topLinePunct w:val="0"/>
        <w:autoSpaceDE/>
        <w:autoSpaceDN/>
        <w:bidi w:val="0"/>
        <w:spacing w:line="560" w:lineRule="exact"/>
        <w:ind w:right="25" w:firstLine="57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绩效指标：开展家政、手工等妇女技能培训，年培训妇女600人以上；举办巾帼家政大赛1次，引领带动更多妇女创业就业；举办家政宣传活动与技能培训5次以上。</w:t>
      </w:r>
    </w:p>
    <w:p w14:paraId="587B82B9">
      <w:pPr>
        <w:pStyle w:val="3"/>
        <w:keepNext w:val="0"/>
        <w:keepLines w:val="0"/>
        <w:pageBreakBefore w:val="0"/>
        <w:kinsoku/>
        <w:wordWrap/>
        <w:overflowPunct/>
        <w:topLinePunct w:val="0"/>
        <w:autoSpaceDE/>
        <w:autoSpaceDN/>
        <w:bidi w:val="0"/>
        <w:spacing w:line="560" w:lineRule="exact"/>
        <w:ind w:left="699"/>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(5)加大普法宣传力度，提高妇女依法维护自身权益的能力</w:t>
      </w:r>
    </w:p>
    <w:p w14:paraId="164B168F">
      <w:pPr>
        <w:pStyle w:val="3"/>
        <w:keepNext w:val="0"/>
        <w:keepLines w:val="0"/>
        <w:pageBreakBefore w:val="0"/>
        <w:kinsoku/>
        <w:wordWrap/>
        <w:overflowPunct/>
        <w:topLinePunct w:val="0"/>
        <w:autoSpaceDE/>
        <w:autoSpaceDN/>
        <w:bidi w:val="0"/>
        <w:spacing w:line="560" w:lineRule="exact"/>
        <w:ind w:right="12" w:firstLine="59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绩效目标：开展三八维权周、11.25反家暴宣传周、12.1防艾宣传及12.4宪法普法宣传工作，邀请顾问开展现场咨询，各级妇联组织在全市掀起向广大妇女群众普法宣传热潮。</w:t>
      </w:r>
    </w:p>
    <w:p w14:paraId="7DE1B6EF">
      <w:pPr>
        <w:pStyle w:val="3"/>
        <w:keepNext w:val="0"/>
        <w:keepLines w:val="0"/>
        <w:pageBreakBefore w:val="0"/>
        <w:kinsoku/>
        <w:wordWrap/>
        <w:overflowPunct/>
        <w:topLinePunct w:val="0"/>
        <w:autoSpaceDE/>
        <w:autoSpaceDN/>
        <w:bidi w:val="0"/>
        <w:spacing w:line="560" w:lineRule="exact"/>
        <w:ind w:right="12" w:firstLine="59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绩效指标：开展基层干部和婚姻家庭纠纷调解技巧培训班1次，不少于50人，进行婚姻家庭纠纷调解工作，全年争取调解不少于600件。</w:t>
      </w:r>
    </w:p>
    <w:p w14:paraId="78847369">
      <w:pPr>
        <w:pStyle w:val="3"/>
        <w:keepNext w:val="0"/>
        <w:keepLines w:val="0"/>
        <w:pageBreakBefore w:val="0"/>
        <w:kinsoku/>
        <w:wordWrap/>
        <w:overflowPunct/>
        <w:topLinePunct w:val="0"/>
        <w:autoSpaceDE/>
        <w:autoSpaceDN/>
        <w:bidi w:val="0"/>
        <w:spacing w:line="560" w:lineRule="exact"/>
        <w:ind w:right="12" w:firstLine="59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（6）推进校外教育、妇女家庭教育及家政培训工作进一步开展</w:t>
      </w:r>
    </w:p>
    <w:p w14:paraId="443E2C77">
      <w:pPr>
        <w:pStyle w:val="3"/>
        <w:keepNext w:val="0"/>
        <w:keepLines w:val="0"/>
        <w:pageBreakBefore w:val="0"/>
        <w:kinsoku/>
        <w:wordWrap/>
        <w:overflowPunct/>
        <w:topLinePunct w:val="0"/>
        <w:autoSpaceDE/>
        <w:autoSpaceDN/>
        <w:bidi w:val="0"/>
        <w:spacing w:line="560" w:lineRule="exact"/>
        <w:ind w:right="12" w:firstLine="59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充分发挥校外教育作用，积极开办适合少年儿童需要的活动项目，开展各项文化知识和艺术培训班，提高孩子们的学习知识的兴趣，培养孩子们动手能力。通过妇女家庭教育及家政培训，丰富活动参与人员业余文化活动。</w:t>
      </w:r>
    </w:p>
    <w:p w14:paraId="200527C1">
      <w:pPr>
        <w:pStyle w:val="3"/>
        <w:keepNext w:val="0"/>
        <w:keepLines w:val="0"/>
        <w:pageBreakBefore w:val="0"/>
        <w:kinsoku/>
        <w:wordWrap/>
        <w:overflowPunct/>
        <w:topLinePunct w:val="0"/>
        <w:autoSpaceDE/>
        <w:autoSpaceDN/>
        <w:bidi w:val="0"/>
        <w:spacing w:line="560" w:lineRule="exact"/>
        <w:ind w:right="12" w:firstLine="59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绩效指标：组织教学活动，年培训开班数量不低于 50 班次，计划组织培训学员500 余人次。让广大少年儿童在喜闻乐见的各项活动中提高思想道德、文化知识、艺术体育等全方面的素质。</w:t>
      </w:r>
    </w:p>
    <w:p w14:paraId="511AE773">
      <w:pPr>
        <w:pStyle w:val="3"/>
        <w:keepNext w:val="0"/>
        <w:keepLines w:val="0"/>
        <w:pageBreakBefore w:val="0"/>
        <w:kinsoku/>
        <w:wordWrap/>
        <w:overflowPunct/>
        <w:topLinePunct w:val="0"/>
        <w:autoSpaceDE/>
        <w:autoSpaceDN/>
        <w:bidi w:val="0"/>
        <w:spacing w:line="560" w:lineRule="exact"/>
        <w:ind w:right="12" w:firstLine="59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(7）进一步提升“花儿艺术团”“老年妇女合唱团”等亮点工程</w:t>
      </w:r>
    </w:p>
    <w:p w14:paraId="430738B8">
      <w:pPr>
        <w:pStyle w:val="3"/>
        <w:keepNext w:val="0"/>
        <w:keepLines w:val="0"/>
        <w:pageBreakBefore w:val="0"/>
        <w:kinsoku/>
        <w:wordWrap/>
        <w:overflowPunct/>
        <w:topLinePunct w:val="0"/>
        <w:autoSpaceDE/>
        <w:autoSpaceDN/>
        <w:bidi w:val="0"/>
        <w:spacing w:line="560" w:lineRule="exact"/>
        <w:ind w:right="12" w:firstLine="59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绩效目标：充分发挥场地优势，加强“花儿艺术团”活动，丰富少年儿童的课余文化生活；委托第三方开展讲座、烘焙、心理健康知识沙龙等各项活动，提升学员生活品质，激发学员对生活的热情。</w:t>
      </w:r>
    </w:p>
    <w:p w14:paraId="44532050">
      <w:pPr>
        <w:pStyle w:val="3"/>
        <w:keepNext w:val="0"/>
        <w:keepLines w:val="0"/>
        <w:pageBreakBefore w:val="0"/>
        <w:kinsoku/>
        <w:wordWrap/>
        <w:overflowPunct/>
        <w:topLinePunct w:val="0"/>
        <w:autoSpaceDE/>
        <w:autoSpaceDN/>
        <w:bidi w:val="0"/>
        <w:spacing w:line="560" w:lineRule="exact"/>
        <w:ind w:right="12" w:firstLine="590"/>
        <w:textAlignment w:val="auto"/>
        <w:rPr>
          <w:rFonts w:ascii="仿宋" w:hAnsi="仿宋" w:eastAsia="仿宋"/>
          <w:sz w:val="32"/>
          <w:szCs w:val="32"/>
        </w:rPr>
      </w:pPr>
      <w:r>
        <w:rPr>
          <w:rFonts w:hint="eastAsia" w:ascii="仿宋" w:hAnsi="仿宋" w:eastAsia="仿宋" w:cs="仿宋"/>
          <w:kern w:val="2"/>
          <w:sz w:val="32"/>
          <w:szCs w:val="32"/>
          <w:lang w:val="en-US" w:eastAsia="zh-CN" w:bidi="ar-SA"/>
        </w:rPr>
        <w:t>绩效指标：年度内，委托组织开展至少5场专项活动，活动参与人数不少于100人，按期培训完成率95%以上。</w:t>
      </w:r>
    </w:p>
    <w:p w14:paraId="1F217DFB">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19752EF">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楷体_GB2312" w:hAnsi="黑体" w:eastAsia="楷体_GB2312"/>
          <w:sz w:val="32"/>
          <w:szCs w:val="32"/>
        </w:rPr>
      </w:pPr>
      <w:r>
        <w:rPr>
          <w:rFonts w:hint="eastAsia" w:ascii="楷体_GB2312" w:hAnsi="黑体" w:eastAsia="楷体_GB2312"/>
          <w:sz w:val="32"/>
          <w:szCs w:val="32"/>
        </w:rPr>
        <w:t>(一)自评的组织工作</w:t>
      </w:r>
    </w:p>
    <w:p w14:paraId="1BDEB9DA">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rPr>
        <w:t>为完成好此次部门整体支出绩效自评工作，成立了由主管主席为组长、各部室负责人为成员的绩效自评工作领导小组，确定了绩效评</w:t>
      </w:r>
      <w:r>
        <w:rPr>
          <w:rFonts w:hint="eastAsia" w:ascii="仿宋" w:hAnsi="仿宋" w:eastAsia="仿宋" w:cs="仿宋"/>
          <w:sz w:val="32"/>
          <w:szCs w:val="32"/>
          <w:highlight w:val="none"/>
        </w:rPr>
        <w:t>价工作组成员，明确了需收集的资料及注意事项。对照总体绩效目标和分项绩效目标、指标设定情况，由各相关部室提供各项任务具体完成情况的相关资料以及有关财务资料。绩效评价工作组遵循“科学性、规范性、客观性和公正性”的原则，开展绩效评价工作，得出综合评价结果，撰写绩效评价报告。</w:t>
      </w:r>
    </w:p>
    <w:p w14:paraId="6208641D">
      <w:pPr>
        <w:pStyle w:val="3"/>
        <w:keepNext w:val="0"/>
        <w:keepLines w:val="0"/>
        <w:pageBreakBefore w:val="0"/>
        <w:kinsoku/>
        <w:wordWrap/>
        <w:overflowPunct/>
        <w:topLinePunct w:val="0"/>
        <w:autoSpaceDE/>
        <w:autoSpaceDN/>
        <w:bidi w:val="0"/>
        <w:spacing w:line="560" w:lineRule="exact"/>
        <w:textAlignment w:val="auto"/>
        <w:rPr>
          <w:rFonts w:hint="eastAsia" w:ascii="楷体_GB2312" w:hAnsi="仿宋" w:eastAsia="楷体_GB2312"/>
          <w:sz w:val="32"/>
          <w:szCs w:val="32"/>
          <w:highlight w:val="none"/>
        </w:rPr>
      </w:pPr>
      <w:r>
        <w:rPr>
          <w:rFonts w:hint="eastAsia" w:ascii="仿宋_GB2312" w:hAnsi="仿宋" w:eastAsia="仿宋_GB2312"/>
          <w:sz w:val="32"/>
          <w:szCs w:val="32"/>
          <w:highlight w:val="none"/>
        </w:rPr>
        <w:t xml:space="preserve"> </w:t>
      </w:r>
      <w:r>
        <w:rPr>
          <w:rFonts w:hint="eastAsia" w:ascii="楷体_GB2312" w:hAnsi="仿宋" w:eastAsia="楷体_GB2312"/>
          <w:sz w:val="32"/>
          <w:szCs w:val="32"/>
          <w:highlight w:val="none"/>
        </w:rPr>
        <w:t xml:space="preserve">  </w:t>
      </w:r>
      <w:r>
        <w:rPr>
          <w:rFonts w:hint="eastAsia" w:ascii="楷体_GB2312" w:hAnsi="黑体" w:eastAsia="楷体_GB2312"/>
          <w:sz w:val="32"/>
          <w:szCs w:val="32"/>
          <w:highlight w:val="none"/>
        </w:rPr>
        <w:t>(二)自评的方法和过程</w:t>
      </w:r>
    </w:p>
    <w:p w14:paraId="16382BE9">
      <w:pPr>
        <w:pStyle w:val="3"/>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kern w:val="0"/>
          <w:sz w:val="32"/>
          <w:szCs w:val="32"/>
          <w:highlight w:val="none"/>
          <w:lang w:bidi="ar"/>
        </w:rPr>
      </w:pPr>
      <w:r>
        <w:rPr>
          <w:rFonts w:hint="eastAsia" w:ascii="仿宋" w:hAnsi="仿宋" w:eastAsia="仿宋" w:cs="仿宋"/>
          <w:sz w:val="32"/>
          <w:szCs w:val="32"/>
          <w:highlight w:val="none"/>
        </w:rPr>
        <w:t>绩效评价工作组采用全面评价和重点评价相结合的方式，运用最低成本法、比较法等分析方法，开展绩效评价工作。结合实际确定了绩效评价评分体系，此次绩效评价满分100分，其中总体绩效目标40分，</w:t>
      </w:r>
      <w:r>
        <w:rPr>
          <w:rFonts w:hint="eastAsia" w:ascii="仿宋" w:hAnsi="仿宋" w:eastAsia="仿宋" w:cs="仿宋"/>
          <w:sz w:val="32"/>
          <w:szCs w:val="32"/>
          <w:highlight w:val="none"/>
          <w:lang w:eastAsia="zh-CN"/>
        </w:rPr>
        <w:t>八</w:t>
      </w:r>
      <w:r>
        <w:rPr>
          <w:rFonts w:hint="eastAsia" w:ascii="仿宋" w:hAnsi="仿宋" w:eastAsia="仿宋" w:cs="仿宋"/>
          <w:sz w:val="32"/>
          <w:szCs w:val="32"/>
          <w:highlight w:val="none"/>
        </w:rPr>
        <w:t>个分项绩效目标</w:t>
      </w:r>
      <w:r>
        <w:rPr>
          <w:rFonts w:hint="eastAsia" w:ascii="仿宋" w:hAnsi="仿宋" w:eastAsia="仿宋" w:cs="仿宋"/>
          <w:sz w:val="32"/>
          <w:szCs w:val="32"/>
          <w:highlight w:val="none"/>
          <w:lang w:eastAsia="zh-CN"/>
        </w:rPr>
        <w:t>合计</w:t>
      </w:r>
      <w:r>
        <w:rPr>
          <w:rFonts w:hint="eastAsia" w:ascii="仿宋" w:hAnsi="仿宋" w:eastAsia="仿宋" w:cs="仿宋"/>
          <w:sz w:val="32"/>
          <w:szCs w:val="32"/>
          <w:highlight w:val="none"/>
          <w:lang w:val="en-US" w:eastAsia="zh-CN"/>
        </w:rPr>
        <w:t>60</w:t>
      </w:r>
      <w:r>
        <w:rPr>
          <w:rFonts w:hint="eastAsia" w:ascii="仿宋" w:hAnsi="仿宋" w:eastAsia="仿宋" w:cs="仿宋"/>
          <w:sz w:val="32"/>
          <w:szCs w:val="32"/>
          <w:highlight w:val="none"/>
        </w:rPr>
        <w:t>分。绩效评价工作组通过汇总整理各项资料，对各绩效目标、指标实现情况进行逐一汇总、分析、核实，得出了综合评价结果。</w:t>
      </w:r>
    </w:p>
    <w:p w14:paraId="00217B93">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5D025AA">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0C33FB8">
      <w:pPr>
        <w:spacing w:after="0" w:line="600" w:lineRule="exact"/>
        <w:ind w:firstLine="640" w:firstLineChars="200"/>
        <w:rPr>
          <w:rFonts w:hint="eastAsia" w:ascii="仿宋_GB2312" w:eastAsia="仿宋_GB2312"/>
          <w:sz w:val="32"/>
          <w:szCs w:val="32"/>
        </w:rPr>
      </w:pPr>
      <w:r>
        <w:rPr>
          <w:rFonts w:hint="eastAsia" w:ascii="仿宋_GB2312" w:hAnsi="仿宋" w:eastAsia="仿宋_GB2312" w:cs="仿宋"/>
          <w:sz w:val="32"/>
          <w:szCs w:val="32"/>
        </w:rPr>
        <w:t>市妇联以习近平新时代中国特色社会主义思想为指导，全面贯彻党的二十大精神，深入学习贯彻习近平总书记同全国妇联新一届</w:t>
      </w:r>
      <w:r>
        <w:rPr>
          <w:rFonts w:hint="eastAsia" w:ascii="仿宋_GB2312" w:eastAsia="仿宋_GB2312"/>
          <w:sz w:val="32"/>
          <w:szCs w:val="32"/>
        </w:rPr>
        <w:t>领导班子成员集体谈话时重要讲话精神，按照中国妇女十三大、河北省妇女十五大安排部署，坚持</w:t>
      </w:r>
      <w:r>
        <w:rPr>
          <w:rFonts w:ascii="仿宋_GB2312" w:eastAsia="仿宋_GB2312"/>
          <w:sz w:val="32"/>
          <w:szCs w:val="32"/>
        </w:rPr>
        <w:t>围绕中心</w:t>
      </w:r>
      <w:r>
        <w:rPr>
          <w:rFonts w:hint="eastAsia" w:ascii="仿宋_GB2312" w:eastAsia="仿宋_GB2312"/>
          <w:sz w:val="32"/>
          <w:szCs w:val="32"/>
        </w:rPr>
        <w:t>、</w:t>
      </w:r>
      <w:r>
        <w:rPr>
          <w:rFonts w:ascii="仿宋_GB2312" w:eastAsia="仿宋_GB2312"/>
          <w:sz w:val="32"/>
          <w:szCs w:val="32"/>
        </w:rPr>
        <w:t>服务大局，</w:t>
      </w:r>
      <w:r>
        <w:rPr>
          <w:rFonts w:hint="eastAsia" w:ascii="仿宋_GB2312" w:eastAsia="仿宋_GB2312"/>
          <w:sz w:val="32"/>
          <w:szCs w:val="32"/>
        </w:rPr>
        <w:t>聚焦</w:t>
      </w:r>
      <w:r>
        <w:rPr>
          <w:rFonts w:ascii="仿宋_GB2312" w:eastAsia="仿宋_GB2312"/>
          <w:sz w:val="32"/>
          <w:szCs w:val="32"/>
        </w:rPr>
        <w:t>引领服务联系职能，有力推动</w:t>
      </w:r>
      <w:r>
        <w:rPr>
          <w:rFonts w:hint="eastAsia" w:ascii="仿宋_GB2312" w:eastAsia="仿宋_GB2312"/>
          <w:sz w:val="32"/>
          <w:szCs w:val="32"/>
        </w:rPr>
        <w:t>我市</w:t>
      </w:r>
      <w:r>
        <w:rPr>
          <w:rFonts w:ascii="仿宋_GB2312" w:eastAsia="仿宋_GB2312"/>
          <w:sz w:val="32"/>
          <w:szCs w:val="32"/>
        </w:rPr>
        <w:t>妇女儿童工作创新发展。</w:t>
      </w:r>
      <w:r>
        <w:rPr>
          <w:rFonts w:hint="eastAsia" w:ascii="仿宋_GB2312" w:hAnsi="仿宋" w:eastAsia="仿宋_GB2312"/>
          <w:sz w:val="32"/>
          <w:szCs w:val="32"/>
        </w:rPr>
        <w:t>全国妇联党组书记、副主席、书记处第一书记黄晓薇</w:t>
      </w:r>
      <w:r>
        <w:rPr>
          <w:rFonts w:hint="eastAsia" w:ascii="仿宋_GB2312" w:eastAsia="仿宋_GB2312"/>
          <w:sz w:val="32"/>
          <w:szCs w:val="32"/>
        </w:rPr>
        <w:t>视察指导我市妇女工作，给予高度评价。市委、市政府领导多次出席市妇联活动，对市妇联工作给予肯定。</w:t>
      </w:r>
      <w:r>
        <w:rPr>
          <w:rFonts w:hint="eastAsia" w:ascii="仿宋_GB2312" w:hAnsi="仿宋" w:eastAsia="仿宋_GB2312" w:cs="方正仿宋_GBK"/>
          <w:sz w:val="32"/>
          <w:szCs w:val="32"/>
        </w:rPr>
        <w:t>今年以来，高标准打造省级示范妇女儿童之家13个，市级妇女儿童之家10个。创建</w:t>
      </w:r>
      <w:r>
        <w:rPr>
          <w:rFonts w:hint="eastAsia" w:ascii="仿宋_GB2312" w:hAnsi="仿宋" w:eastAsia="仿宋_GB2312" w:cs="方正仿宋_GBK"/>
          <w:sz w:val="32"/>
          <w:szCs w:val="32"/>
          <w:lang w:eastAsia="zh-CN"/>
        </w:rPr>
        <w:t>美丽庭院</w:t>
      </w:r>
      <w:r>
        <w:rPr>
          <w:rFonts w:hint="eastAsia" w:ascii="仿宋_GB2312" w:hAnsi="仿宋" w:eastAsia="仿宋_GB2312" w:cs="方正仿宋_GBK"/>
          <w:sz w:val="32"/>
          <w:szCs w:val="32"/>
        </w:rPr>
        <w:t>8.4万户、精品庭院2.4万户，</w:t>
      </w:r>
      <w:r>
        <w:rPr>
          <w:rFonts w:hint="eastAsia" w:ascii="仿宋_GB2312" w:hAnsi="仿宋" w:eastAsia="仿宋_GB2312"/>
          <w:color w:val="000000"/>
          <w:sz w:val="32"/>
          <w:szCs w:val="32"/>
        </w:rPr>
        <w:t>开展多角度、立体化寻找、宣传“最美家庭”活动，9名家庭入选省级“最美家庭”。</w:t>
      </w:r>
      <w:r>
        <w:rPr>
          <w:rFonts w:hint="eastAsia" w:ascii="仿宋_GB2312" w:hAnsi="仿宋" w:eastAsia="仿宋_GB2312" w:cs="方正仿宋_GBK"/>
          <w:sz w:val="32"/>
          <w:szCs w:val="32"/>
        </w:rPr>
        <w:t>开展法律咨询服务2610场次、群众性政治文化活动536场次，线下活动覆盖2万余人次，</w:t>
      </w:r>
      <w:r>
        <w:rPr>
          <w:rFonts w:hint="eastAsia" w:ascii="仿宋_GB2312" w:hAnsi="仿宋" w:eastAsia="仿宋_GB2312" w:cs="仿宋"/>
          <w:sz w:val="32"/>
          <w:szCs w:val="32"/>
        </w:rPr>
        <w:t>开展婚姻家庭矛盾纠纷调解</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开展木兰有约、志愿讲法、典型说法等各类线上线下普法宣传讲座2600余场，</w:t>
      </w:r>
      <w:r>
        <w:rPr>
          <w:rFonts w:hint="eastAsia" w:ascii="仿宋_GB2312" w:eastAsia="仿宋_GB2312" w:cs="仿宋_GB2312"/>
          <w:color w:val="auto"/>
          <w:kern w:val="0"/>
          <w:sz w:val="32"/>
          <w:szCs w:val="32"/>
          <w:lang w:val="en-US" w:eastAsia="zh-CN"/>
        </w:rPr>
        <w:t>全年调解远超600件。</w:t>
      </w:r>
    </w:p>
    <w:p w14:paraId="7C235CE9">
      <w:pPr>
        <w:pStyle w:val="2"/>
        <w:rPr>
          <w:rFonts w:hint="eastAsia"/>
        </w:rPr>
      </w:pPr>
      <w:r>
        <w:rPr>
          <w:rFonts w:hint="eastAsia" w:ascii="仿宋" w:hAnsi="仿宋" w:eastAsia="仿宋" w:cs="仿宋"/>
          <w:color w:val="000000"/>
          <w:sz w:val="32"/>
          <w:szCs w:val="32"/>
          <w:highlight w:val="none"/>
        </w:rPr>
        <w:t>评价认为，总体绩效目标圆满实现，自评得分40分。</w:t>
      </w:r>
    </w:p>
    <w:p w14:paraId="70487327">
      <w:pPr>
        <w:spacing w:line="560" w:lineRule="exact"/>
        <w:ind w:firstLine="642"/>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14:paraId="6C1A1A8C">
      <w:pPr>
        <w:pStyle w:val="3"/>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(一)妇女之家项目建设分项绩效目标、指标实现情况。</w:t>
      </w:r>
    </w:p>
    <w:p w14:paraId="627F0A01">
      <w:pPr>
        <w:pStyle w:val="3"/>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在乡(镇、街道)、农村(社区)及妇女集中的领域建设妇女之家，打造示范妇女之家，拓展功能，丰富内容，切实把妇联组织建成可信赖依靠的妇女之家。</w:t>
      </w:r>
      <w:r>
        <w:rPr>
          <w:rFonts w:hint="eastAsia" w:ascii="仿宋_GB2312" w:hAnsi="楷体" w:eastAsia="仿宋_GB2312"/>
          <w:sz w:val="32"/>
          <w:szCs w:val="32"/>
        </w:rPr>
        <w:t>高标准打</w:t>
      </w:r>
      <w:r>
        <w:rPr>
          <w:rFonts w:hint="eastAsia" w:ascii="仿宋_GB2312" w:hAnsi="仿宋" w:eastAsia="仿宋_GB2312" w:cs="方正仿宋_GBK"/>
          <w:sz w:val="32"/>
          <w:szCs w:val="32"/>
        </w:rPr>
        <w:t>造省级示范妇女儿童之家13个，市级妇女儿童之家10个</w:t>
      </w:r>
      <w:r>
        <w:rPr>
          <w:rFonts w:hint="eastAsia" w:ascii="仿宋_GB2312" w:hAnsi="仿宋" w:eastAsia="仿宋_GB2312" w:cs="方正仿宋_GBK"/>
          <w:sz w:val="32"/>
          <w:szCs w:val="32"/>
          <w:lang w:eastAsia="zh-CN"/>
        </w:rPr>
        <w:t>，</w:t>
      </w:r>
      <w:r>
        <w:rPr>
          <w:rFonts w:hint="eastAsia" w:ascii="仿宋" w:hAnsi="仿宋" w:eastAsia="仿宋" w:cs="仿宋"/>
          <w:sz w:val="32"/>
          <w:szCs w:val="32"/>
          <w:highlight w:val="none"/>
        </w:rPr>
        <w:t>发挥妇女讲习所(培训室)、阅览室、室外宣传橱窗功能。</w:t>
      </w:r>
    </w:p>
    <w:p w14:paraId="2F24A9DA">
      <w:pPr>
        <w:spacing w:line="588" w:lineRule="exact"/>
        <w:ind w:firstLine="640" w:firstLineChars="200"/>
        <w:rPr>
          <w:rFonts w:hint="eastAsia" w:ascii="仿宋_GB2312" w:hAnsi="仿宋" w:eastAsia="仿宋_GB2312" w:cs="方正仿宋_GBK"/>
          <w:sz w:val="32"/>
          <w:szCs w:val="32"/>
        </w:rPr>
      </w:pPr>
      <w:r>
        <w:rPr>
          <w:rFonts w:hint="eastAsia" w:ascii="仿宋_GB2312" w:hAnsi="仿宋" w:eastAsia="仿宋_GB2312" w:cs="方正仿宋_GBK"/>
          <w:sz w:val="32"/>
          <w:szCs w:val="32"/>
        </w:rPr>
        <w:t>评价认为，</w:t>
      </w:r>
      <w:r>
        <w:rPr>
          <w:rFonts w:hint="eastAsia" w:ascii="仿宋_GB2312" w:hAnsi="仿宋" w:eastAsia="仿宋_GB2312" w:cs="方正仿宋_GBK"/>
          <w:sz w:val="32"/>
          <w:szCs w:val="32"/>
          <w:lang w:eastAsia="zh-CN"/>
        </w:rPr>
        <w:t>此</w:t>
      </w:r>
      <w:r>
        <w:rPr>
          <w:rFonts w:hint="eastAsia" w:ascii="仿宋_GB2312" w:hAnsi="仿宋" w:eastAsia="仿宋_GB2312" w:cs="方正仿宋_GBK"/>
          <w:sz w:val="32"/>
          <w:szCs w:val="32"/>
        </w:rPr>
        <w:t>项目建设分项绩效目标、指标圆满实现。</w:t>
      </w:r>
    </w:p>
    <w:p w14:paraId="222FBAC1">
      <w:pPr>
        <w:pStyle w:val="3"/>
        <w:keepNext w:val="0"/>
        <w:keepLines w:val="0"/>
        <w:pageBreakBefore w:val="0"/>
        <w:numPr>
          <w:ilvl w:val="0"/>
          <w:numId w:val="3"/>
        </w:numPr>
        <w:kinsoku/>
        <w:wordWrap/>
        <w:overflowPunct/>
        <w:topLinePunct w:val="0"/>
        <w:autoSpaceDE/>
        <w:autoSpaceDN/>
        <w:bidi w:val="0"/>
        <w:spacing w:line="560" w:lineRule="exact"/>
        <w:ind w:firstLine="640" w:firstLineChars="200"/>
        <w:jc w:val="both"/>
        <w:textAlignment w:val="auto"/>
        <w:rPr>
          <w:rFonts w:hint="eastAsia" w:ascii="仿宋" w:hAnsi="仿宋" w:eastAsia="仿宋" w:cs="仿宋"/>
          <w:sz w:val="32"/>
          <w:szCs w:val="32"/>
          <w:highlight w:val="none"/>
        </w:rPr>
      </w:pPr>
      <w:r>
        <w:rPr>
          <w:rFonts w:hint="eastAsia" w:ascii="仿宋" w:hAnsi="仿宋" w:eastAsia="仿宋" w:cs="仿宋"/>
          <w:kern w:val="2"/>
          <w:sz w:val="32"/>
          <w:szCs w:val="32"/>
          <w:lang w:val="en-US" w:eastAsia="zh-CN" w:bidi="ar-SA"/>
        </w:rPr>
        <w:t>深化寻找“最美家庭”活动</w:t>
      </w:r>
      <w:r>
        <w:rPr>
          <w:rFonts w:hint="eastAsia" w:ascii="仿宋" w:hAnsi="仿宋" w:eastAsia="仿宋" w:cs="仿宋"/>
          <w:sz w:val="32"/>
          <w:szCs w:val="32"/>
          <w:highlight w:val="none"/>
        </w:rPr>
        <w:t>分项绩效目标、指标实现情况。</w:t>
      </w:r>
    </w:p>
    <w:p w14:paraId="6A1C9ACD">
      <w:pPr>
        <w:pStyle w:val="3"/>
        <w:keepNext w:val="0"/>
        <w:keepLines w:val="0"/>
        <w:pageBreakBefore w:val="0"/>
        <w:numPr>
          <w:ilvl w:val="0"/>
          <w:numId w:val="0"/>
        </w:numPr>
        <w:kinsoku/>
        <w:wordWrap/>
        <w:overflowPunct/>
        <w:topLinePunct w:val="0"/>
        <w:autoSpaceDE/>
        <w:autoSpaceDN/>
        <w:bidi w:val="0"/>
        <w:spacing w:line="560" w:lineRule="exact"/>
        <w:jc w:val="both"/>
        <w:textAlignment w:val="auto"/>
        <w:rPr>
          <w:rFonts w:hint="eastAsia" w:ascii="仿宋" w:hAnsi="仿宋" w:eastAsia="仿宋" w:cs="仿宋"/>
          <w:color w:val="000000"/>
          <w:sz w:val="32"/>
          <w:szCs w:val="32"/>
          <w:highlight w:val="none"/>
          <w:lang w:val="en-US" w:eastAsia="zh-CN"/>
        </w:rPr>
      </w:pPr>
      <w:r>
        <w:rPr>
          <w:rFonts w:hint="eastAsia" w:ascii="仿宋_GB2312" w:hAnsi="仿宋" w:eastAsia="仿宋_GB2312" w:cs="仿宋"/>
          <w:sz w:val="32"/>
          <w:szCs w:val="32"/>
          <w:lang w:val="en-US" w:eastAsia="zh-CN"/>
        </w:rPr>
        <w:t xml:space="preserve">     </w:t>
      </w:r>
      <w:r>
        <w:rPr>
          <w:rFonts w:hint="eastAsia" w:ascii="仿宋_GB2312" w:hAnsi="仿宋" w:eastAsia="仿宋_GB2312"/>
          <w:color w:val="000000"/>
          <w:sz w:val="32"/>
          <w:szCs w:val="32"/>
        </w:rPr>
        <w:t>将家庭家教家风纳入市域社会治理，开展多角度、立体化寻找、宣传“最美家庭”活动，</w:t>
      </w:r>
      <w:r>
        <w:rPr>
          <w:rFonts w:hint="eastAsia" w:ascii="仿宋_GB2312" w:hAnsi="仿宋" w:eastAsia="仿宋_GB2312" w:cs="方正仿宋_GBK"/>
          <w:sz w:val="32"/>
          <w:szCs w:val="32"/>
        </w:rPr>
        <w:t>联合市纪委监委机关、市文明办共同举办“家风隽永 廉润初心”暨石家庄市 “5·15”国际家庭日主题活动，引导党员干部廉以修身、廉以持家，</w:t>
      </w:r>
      <w:r>
        <w:rPr>
          <w:rFonts w:hint="eastAsia" w:ascii="仿宋_GB2312" w:hAnsi="仿宋" w:eastAsia="仿宋_GB2312" w:cs="仿宋"/>
          <w:sz w:val="32"/>
          <w:szCs w:val="32"/>
        </w:rPr>
        <w:t>以家庭文明助推社会文明</w:t>
      </w:r>
      <w:r>
        <w:rPr>
          <w:rFonts w:hint="eastAsia" w:ascii="仿宋_GB2312" w:hAnsi="仿宋" w:eastAsia="仿宋_GB2312" w:cs="仿宋"/>
          <w:sz w:val="32"/>
          <w:szCs w:val="32"/>
          <w:lang w:eastAsia="zh-CN"/>
        </w:rPr>
        <w:t>，</w:t>
      </w:r>
      <w:r>
        <w:rPr>
          <w:rFonts w:hint="eastAsia" w:ascii="仿宋_GB2312" w:hAnsi="仿宋" w:eastAsia="仿宋_GB2312"/>
          <w:color w:val="000000"/>
          <w:sz w:val="32"/>
          <w:szCs w:val="32"/>
        </w:rPr>
        <w:t>9名家</w:t>
      </w:r>
      <w:r>
        <w:rPr>
          <w:rFonts w:hint="eastAsia" w:ascii="仿宋" w:hAnsi="仿宋" w:eastAsia="仿宋" w:cs="仿宋"/>
          <w:color w:val="000000"/>
          <w:sz w:val="32"/>
          <w:szCs w:val="32"/>
          <w:highlight w:val="none"/>
        </w:rPr>
        <w:t>庭入选省级“最美家庭”。</w:t>
      </w:r>
    </w:p>
    <w:p w14:paraId="0175AF77">
      <w:pPr>
        <w:spacing w:line="588" w:lineRule="exact"/>
        <w:ind w:firstLine="640" w:firstLineChars="200"/>
        <w:rPr>
          <w:rFonts w:hint="eastAsia" w:ascii="仿宋_GB2312" w:hAnsi="仿宋" w:eastAsia="仿宋_GB2312" w:cs="方正仿宋_GBK"/>
          <w:sz w:val="32"/>
          <w:szCs w:val="32"/>
        </w:rPr>
      </w:pPr>
      <w:r>
        <w:rPr>
          <w:rFonts w:hint="eastAsia" w:ascii="仿宋_GB2312" w:hAnsi="仿宋" w:eastAsia="仿宋_GB2312" w:cs="方正仿宋_GBK"/>
          <w:sz w:val="32"/>
          <w:szCs w:val="32"/>
        </w:rPr>
        <w:t>评价认为，</w:t>
      </w:r>
      <w:r>
        <w:rPr>
          <w:rFonts w:hint="eastAsia" w:ascii="仿宋_GB2312" w:hAnsi="仿宋" w:eastAsia="仿宋_GB2312" w:cs="方正仿宋_GBK"/>
          <w:sz w:val="32"/>
          <w:szCs w:val="32"/>
          <w:lang w:eastAsia="zh-CN"/>
        </w:rPr>
        <w:t>此</w:t>
      </w:r>
      <w:r>
        <w:rPr>
          <w:rFonts w:hint="eastAsia" w:ascii="仿宋_GB2312" w:hAnsi="仿宋" w:eastAsia="仿宋_GB2312" w:cs="方正仿宋_GBK"/>
          <w:sz w:val="32"/>
          <w:szCs w:val="32"/>
        </w:rPr>
        <w:t>项目建设分项绩效目标、指标圆满实现。</w:t>
      </w:r>
    </w:p>
    <w:p w14:paraId="11135AE3">
      <w:pPr>
        <w:pStyle w:val="3"/>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
          <w:sz w:val="32"/>
          <w:szCs w:val="32"/>
          <w:highlight w:val="none"/>
        </w:rPr>
      </w:pPr>
      <w:r>
        <w:rPr>
          <w:rFonts w:hint="eastAsia" w:ascii="仿宋" w:hAnsi="仿宋" w:eastAsia="仿宋" w:cs="仿宋"/>
          <w:kern w:val="2"/>
          <w:sz w:val="32"/>
          <w:szCs w:val="32"/>
          <w:lang w:val="en-US" w:eastAsia="zh-CN" w:bidi="ar-SA"/>
        </w:rPr>
        <w:t>(3)延伸“美丽庭院”创建工作覆盖面</w:t>
      </w:r>
      <w:r>
        <w:rPr>
          <w:rFonts w:hint="eastAsia" w:ascii="仿宋" w:hAnsi="仿宋" w:eastAsia="仿宋" w:cs="仿宋"/>
          <w:sz w:val="32"/>
          <w:szCs w:val="32"/>
          <w:highlight w:val="none"/>
        </w:rPr>
        <w:t>分项绩效目标、指标实现情况。</w:t>
      </w:r>
    </w:p>
    <w:p w14:paraId="21244BBB">
      <w:pPr>
        <w:spacing w:line="588" w:lineRule="exact"/>
        <w:ind w:firstLine="640" w:firstLineChars="200"/>
        <w:rPr>
          <w:rFonts w:hint="eastAsia" w:ascii="仿宋_GB2312" w:hAnsi="仿宋" w:eastAsia="仿宋_GB2312" w:cs="E-BX"/>
          <w:sz w:val="32"/>
          <w:szCs w:val="32"/>
        </w:rPr>
      </w:pPr>
      <w:r>
        <w:rPr>
          <w:rFonts w:hint="eastAsia" w:ascii="仿宋_GB2312" w:hAnsi="仿宋" w:eastAsia="仿宋_GB2312" w:cs="方正仿宋_GBK"/>
          <w:sz w:val="32"/>
          <w:szCs w:val="32"/>
        </w:rPr>
        <w:t>结合宜居宜业和美乡村建设，重点在环滹沱河沿岸、重点旅游景区周边、国省交通干道沿线，成方连片推进、打造美丽庭院。制定美丽庭院创建工作方案，定期开展调度督导，全年创建</w:t>
      </w:r>
      <w:r>
        <w:rPr>
          <w:rFonts w:hint="eastAsia" w:ascii="仿宋_GB2312" w:hAnsi="仿宋" w:eastAsia="仿宋_GB2312" w:cs="方正仿宋_GBK"/>
          <w:sz w:val="32"/>
          <w:szCs w:val="32"/>
          <w:lang w:val="en-US" w:eastAsia="zh-CN"/>
        </w:rPr>
        <w:t>6</w:t>
      </w:r>
      <w:r>
        <w:rPr>
          <w:rFonts w:hint="eastAsia" w:ascii="仿宋_GB2312" w:hAnsi="仿宋" w:eastAsia="仿宋_GB2312" w:cs="方正仿宋_GBK"/>
          <w:sz w:val="32"/>
          <w:szCs w:val="32"/>
        </w:rPr>
        <w:t>.4万户、精品庭院</w:t>
      </w:r>
      <w:r>
        <w:rPr>
          <w:rFonts w:hint="eastAsia" w:ascii="仿宋_GB2312" w:hAnsi="仿宋" w:eastAsia="仿宋_GB2312" w:cs="方正仿宋_GBK"/>
          <w:sz w:val="32"/>
          <w:szCs w:val="32"/>
          <w:lang w:val="en-US" w:eastAsia="zh-CN"/>
        </w:rPr>
        <w:t>1.5</w:t>
      </w:r>
      <w:r>
        <w:rPr>
          <w:rFonts w:hint="eastAsia" w:ascii="仿宋_GB2312" w:hAnsi="仿宋" w:eastAsia="仿宋_GB2312" w:cs="方正仿宋_GBK"/>
          <w:sz w:val="32"/>
          <w:szCs w:val="32"/>
        </w:rPr>
        <w:t>万户，圆满完成了省下达目标任务</w:t>
      </w:r>
      <w:r>
        <w:rPr>
          <w:rFonts w:hint="eastAsia" w:ascii="仿宋_GB2312" w:hAnsi="仿宋" w:eastAsia="仿宋_GB2312" w:cs="E-BX"/>
          <w:sz w:val="32"/>
          <w:szCs w:val="32"/>
        </w:rPr>
        <w:t>，美丽庭院成为乡村振兴“最靓的风景”。</w:t>
      </w:r>
    </w:p>
    <w:p w14:paraId="53E3DF35">
      <w:pPr>
        <w:spacing w:line="588" w:lineRule="exact"/>
        <w:ind w:firstLine="640" w:firstLineChars="200"/>
        <w:rPr>
          <w:rFonts w:hint="eastAsia" w:ascii="仿宋_GB2312" w:hAnsi="仿宋" w:eastAsia="仿宋_GB2312" w:cs="方正仿宋_GBK"/>
          <w:sz w:val="32"/>
          <w:szCs w:val="32"/>
        </w:rPr>
      </w:pPr>
      <w:r>
        <w:rPr>
          <w:rFonts w:hint="eastAsia" w:ascii="仿宋_GB2312" w:hAnsi="仿宋" w:eastAsia="仿宋_GB2312" w:cs="方正仿宋_GBK"/>
          <w:sz w:val="32"/>
          <w:szCs w:val="32"/>
        </w:rPr>
        <w:t>评价认为，</w:t>
      </w:r>
      <w:r>
        <w:rPr>
          <w:rFonts w:hint="eastAsia" w:ascii="仿宋_GB2312" w:hAnsi="仿宋" w:eastAsia="仿宋_GB2312" w:cs="方正仿宋_GBK"/>
          <w:sz w:val="32"/>
          <w:szCs w:val="32"/>
          <w:lang w:eastAsia="zh-CN"/>
        </w:rPr>
        <w:t>此</w:t>
      </w:r>
      <w:r>
        <w:rPr>
          <w:rFonts w:hint="eastAsia" w:ascii="仿宋_GB2312" w:hAnsi="仿宋" w:eastAsia="仿宋_GB2312" w:cs="方正仿宋_GBK"/>
          <w:sz w:val="32"/>
          <w:szCs w:val="32"/>
        </w:rPr>
        <w:t>项目建设分项绩效目标、指标圆满实现。</w:t>
      </w:r>
    </w:p>
    <w:p w14:paraId="3F73BC9B">
      <w:pPr>
        <w:pStyle w:val="3"/>
        <w:keepNext w:val="0"/>
        <w:keepLines w:val="0"/>
        <w:pageBreakBefore w:val="0"/>
        <w:kinsoku/>
        <w:wordWrap/>
        <w:overflowPunct/>
        <w:topLinePunct w:val="0"/>
        <w:autoSpaceDE/>
        <w:autoSpaceDN/>
        <w:bidi w:val="0"/>
        <w:spacing w:line="560" w:lineRule="exact"/>
        <w:ind w:firstLine="640" w:firstLineChars="200"/>
        <w:jc w:val="both"/>
        <w:textAlignment w:val="auto"/>
        <w:rPr>
          <w:rFonts w:hint="eastAsia" w:ascii="仿宋" w:hAnsi="仿宋" w:eastAsia="仿宋" w:cs="仿宋"/>
          <w:sz w:val="32"/>
          <w:szCs w:val="32"/>
          <w:highlight w:val="none"/>
        </w:rPr>
      </w:pPr>
      <w:r>
        <w:rPr>
          <w:rFonts w:hint="eastAsia" w:ascii="仿宋" w:hAnsi="仿宋" w:eastAsia="仿宋" w:cs="仿宋"/>
          <w:kern w:val="2"/>
          <w:sz w:val="32"/>
          <w:szCs w:val="32"/>
          <w:lang w:val="en-US" w:eastAsia="zh-CN" w:bidi="ar-SA"/>
        </w:rPr>
        <w:t>(4)开展巾帼创业创新系列活动</w:t>
      </w:r>
      <w:r>
        <w:rPr>
          <w:rFonts w:hint="eastAsia" w:ascii="仿宋" w:hAnsi="仿宋" w:eastAsia="仿宋" w:cs="仿宋"/>
          <w:kern w:val="2"/>
          <w:sz w:val="32"/>
          <w:szCs w:val="32"/>
          <w:highlight w:val="none"/>
          <w:lang w:val="en-US" w:eastAsia="zh-CN" w:bidi="ar-SA"/>
        </w:rPr>
        <w:t>分项绩效目标、指标实现情况。</w:t>
      </w:r>
    </w:p>
    <w:p w14:paraId="2EB433C8">
      <w:pPr>
        <w:spacing w:line="588" w:lineRule="exact"/>
        <w:ind w:firstLine="640" w:firstLineChars="200"/>
        <w:rPr>
          <w:rFonts w:hint="eastAsia" w:ascii="仿宋_GB2312" w:hAnsi="仿宋" w:eastAsia="仿宋_GB2312" w:cs="方正仿宋_GBK"/>
          <w:sz w:val="32"/>
          <w:szCs w:val="32"/>
        </w:rPr>
      </w:pPr>
      <w:r>
        <w:rPr>
          <w:rFonts w:hint="eastAsia" w:ascii="仿宋_GB2312" w:hAnsi="仿宋" w:eastAsia="仿宋_GB2312" w:cs="方正仿宋_GBK"/>
          <w:sz w:val="32"/>
          <w:szCs w:val="32"/>
        </w:rPr>
        <w:t>今年以来培育五星级巾帼家政基地16个，选树五星级“河北福嫂”42名，全市开展巾帼家政进社区（乡村）活动2982场次，全面推进乡村振兴。开展线上线下家政技能培训1721场次，298.7万人次参加。举办“石诚福嫂”品牌名称发布活动。持续开展“双百双进”助农助企直通车活动，建立“妇”字号基地（企业）和基层医疗机构22个，开展技术培训、科技帮扶138场次，助推企业创新发展，帮助农村妇女依靠科技创新创业、增收致富。</w:t>
      </w:r>
    </w:p>
    <w:p w14:paraId="4F102BBF">
      <w:pPr>
        <w:spacing w:line="588" w:lineRule="exact"/>
        <w:ind w:firstLine="640" w:firstLineChars="200"/>
        <w:rPr>
          <w:rFonts w:hint="eastAsia" w:ascii="仿宋_GB2312" w:hAnsi="仿宋" w:eastAsia="仿宋_GB2312" w:cs="方正仿宋_GBK"/>
          <w:sz w:val="32"/>
          <w:szCs w:val="32"/>
          <w:lang w:val="en-US" w:eastAsia="zh-CN"/>
        </w:rPr>
      </w:pPr>
      <w:r>
        <w:rPr>
          <w:rFonts w:hint="eastAsia" w:ascii="仿宋_GB2312" w:hAnsi="仿宋" w:eastAsia="仿宋_GB2312" w:cs="方正仿宋_GBK"/>
          <w:sz w:val="32"/>
          <w:szCs w:val="32"/>
        </w:rPr>
        <w:t>评价认为，</w:t>
      </w:r>
      <w:r>
        <w:rPr>
          <w:rFonts w:hint="eastAsia" w:ascii="仿宋_GB2312" w:hAnsi="仿宋" w:eastAsia="仿宋_GB2312" w:cs="方正仿宋_GBK"/>
          <w:sz w:val="32"/>
          <w:szCs w:val="32"/>
          <w:lang w:eastAsia="zh-CN"/>
        </w:rPr>
        <w:t>此</w:t>
      </w:r>
      <w:r>
        <w:rPr>
          <w:rFonts w:hint="eastAsia" w:ascii="仿宋_GB2312" w:hAnsi="仿宋" w:eastAsia="仿宋_GB2312" w:cs="方正仿宋_GBK"/>
          <w:sz w:val="32"/>
          <w:szCs w:val="32"/>
        </w:rPr>
        <w:t>项目建设分项绩效目标、指标圆满实现。</w:t>
      </w:r>
    </w:p>
    <w:p w14:paraId="757E1EE0">
      <w:pPr>
        <w:numPr>
          <w:ilvl w:val="0"/>
          <w:numId w:val="4"/>
        </w:numPr>
        <w:spacing w:after="0" w:line="600" w:lineRule="exact"/>
        <w:ind w:firstLine="640" w:firstLineChars="200"/>
        <w:rPr>
          <w:rFonts w:hint="eastAsia" w:ascii="仿宋_GB2312" w:hAnsi="仿宋" w:eastAsia="仿宋_GB2312" w:cs="方正仿宋_GBK"/>
          <w:sz w:val="32"/>
          <w:szCs w:val="32"/>
        </w:rPr>
      </w:pPr>
      <w:r>
        <w:rPr>
          <w:rFonts w:hint="eastAsia" w:ascii="仿宋_GB2312" w:hAnsi="仿宋" w:eastAsia="仿宋_GB2312" w:cs="方正仿宋_GBK"/>
          <w:sz w:val="32"/>
          <w:szCs w:val="32"/>
          <w:lang w:val="en-US" w:eastAsia="zh-CN"/>
        </w:rPr>
        <w:t>加大普法宣传力度，提高妇女依法维护自身权益的能力</w:t>
      </w:r>
      <w:r>
        <w:rPr>
          <w:rFonts w:hint="eastAsia" w:ascii="仿宋_GB2312" w:hAnsi="仿宋" w:eastAsia="仿宋_GB2312" w:cs="方正仿宋_GBK"/>
          <w:sz w:val="32"/>
          <w:szCs w:val="32"/>
        </w:rPr>
        <w:t>分项绩效目标、指标实现情况。</w:t>
      </w:r>
    </w:p>
    <w:p w14:paraId="49032B7E">
      <w:pPr>
        <w:numPr>
          <w:ilvl w:val="0"/>
          <w:numId w:val="0"/>
        </w:numPr>
        <w:spacing w:after="0" w:line="600" w:lineRule="exact"/>
        <w:rPr>
          <w:rFonts w:ascii="仿宋_GB2312" w:hAnsi="仿宋" w:eastAsia="仿宋_GB2312" w:cs="仿宋"/>
          <w:sz w:val="32"/>
          <w:szCs w:val="32"/>
        </w:rPr>
      </w:pPr>
      <w:r>
        <w:rPr>
          <w:rFonts w:hint="eastAsia" w:ascii="仿宋_GB2312" w:hAnsi="仿宋" w:eastAsia="仿宋_GB2312" w:cs="方正仿宋_GBK"/>
          <w:sz w:val="32"/>
          <w:szCs w:val="32"/>
          <w:lang w:val="en-US" w:eastAsia="zh-CN"/>
        </w:rPr>
        <w:t xml:space="preserve">    </w:t>
      </w:r>
      <w:r>
        <w:rPr>
          <w:rFonts w:hint="eastAsia" w:ascii="仿宋_GB2312" w:hAnsi="仿宋" w:eastAsia="仿宋_GB2312" w:cs="方正仿宋_GBK"/>
          <w:sz w:val="32"/>
          <w:szCs w:val="32"/>
        </w:rPr>
        <w:t>联合市司法局举办 “法润万家 平安相伴”石家庄市“三八”维护妇女合法权益宣传周启动仪式，宣传男女平等基本国策和保障妇女儿童权益法律法规。联合市委网信办、市司法局、市农业农村局、市法学会举办石家庄市“巾帼普法乡村行”示范活动，开展法律咨询服务2610场次、群众性政治文化活动536场次，线下活动覆盖2万余人次，</w:t>
      </w:r>
      <w:r>
        <w:rPr>
          <w:rFonts w:hint="eastAsia" w:ascii="仿宋_GB2312" w:hAnsi="仿宋" w:eastAsia="仿宋_GB2312" w:cs="仿宋"/>
          <w:sz w:val="32"/>
          <w:szCs w:val="32"/>
        </w:rPr>
        <w:t>组建婚姻家庭和心理咨询专家顾问团，开展婚姻家庭矛盾纠纷调解。开展木兰有约、志愿讲法、典型说法等各类线上线下普法宣传讲座2600余场，深入社区、深入家庭进行解疑答惑。</w:t>
      </w:r>
    </w:p>
    <w:p w14:paraId="2C1484AF">
      <w:pPr>
        <w:spacing w:line="588" w:lineRule="exact"/>
        <w:ind w:firstLine="640" w:firstLineChars="200"/>
        <w:rPr>
          <w:rFonts w:hint="eastAsia" w:ascii="仿宋_GB2312" w:hAnsi="仿宋" w:eastAsia="仿宋_GB2312" w:cs="方正仿宋_GBK"/>
          <w:sz w:val="32"/>
          <w:szCs w:val="32"/>
        </w:rPr>
      </w:pPr>
      <w:r>
        <w:rPr>
          <w:rFonts w:hint="eastAsia" w:ascii="仿宋_GB2312" w:hAnsi="仿宋" w:eastAsia="仿宋_GB2312" w:cs="方正仿宋_GBK"/>
          <w:sz w:val="32"/>
          <w:szCs w:val="32"/>
        </w:rPr>
        <w:t>评价认为，</w:t>
      </w:r>
      <w:r>
        <w:rPr>
          <w:rFonts w:hint="eastAsia" w:ascii="仿宋_GB2312" w:hAnsi="仿宋" w:eastAsia="仿宋_GB2312" w:cs="方正仿宋_GBK"/>
          <w:sz w:val="32"/>
          <w:szCs w:val="32"/>
          <w:lang w:eastAsia="zh-CN"/>
        </w:rPr>
        <w:t>此</w:t>
      </w:r>
      <w:r>
        <w:rPr>
          <w:rFonts w:hint="eastAsia" w:ascii="仿宋_GB2312" w:hAnsi="仿宋" w:eastAsia="仿宋_GB2312" w:cs="方正仿宋_GBK"/>
          <w:sz w:val="32"/>
          <w:szCs w:val="32"/>
        </w:rPr>
        <w:t>项目建设分项绩效目标、指标圆满实现。</w:t>
      </w:r>
    </w:p>
    <w:p w14:paraId="7BBBA1B3">
      <w:pPr>
        <w:numPr>
          <w:ilvl w:val="0"/>
          <w:numId w:val="4"/>
        </w:numPr>
        <w:spacing w:line="588" w:lineRule="exact"/>
        <w:ind w:firstLine="640" w:firstLineChars="200"/>
        <w:rPr>
          <w:rFonts w:hint="eastAsia" w:ascii="仿宋_GB2312" w:hAnsi="仿宋" w:eastAsia="仿宋_GB2312" w:cs="方正仿宋_GBK"/>
          <w:sz w:val="32"/>
          <w:szCs w:val="32"/>
          <w:lang w:val="en-US" w:eastAsia="zh-CN"/>
        </w:rPr>
      </w:pPr>
      <w:r>
        <w:rPr>
          <w:rFonts w:hint="eastAsia" w:ascii="仿宋_GB2312" w:hAnsi="仿宋" w:eastAsia="仿宋_GB2312" w:cs="方正仿宋_GBK"/>
          <w:sz w:val="32"/>
          <w:szCs w:val="32"/>
          <w:lang w:val="en-US" w:eastAsia="zh-CN"/>
        </w:rPr>
        <w:t>推进校外教育、妇女家庭教育及家政培训工作进一步开展</w:t>
      </w:r>
      <w:r>
        <w:rPr>
          <w:rFonts w:hint="eastAsia" w:ascii="仿宋_GB2312" w:hAnsi="仿宋" w:eastAsia="仿宋_GB2312" w:cs="方正仿宋_GBK"/>
          <w:sz w:val="32"/>
          <w:szCs w:val="32"/>
        </w:rPr>
        <w:t>分项绩效目标、指标实现情况。</w:t>
      </w:r>
    </w:p>
    <w:p w14:paraId="7340F7D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组织教学活动，年培训组织培训学员</w:t>
      </w:r>
      <w:r>
        <w:rPr>
          <w:rFonts w:hint="eastAsia" w:ascii="仿宋" w:hAnsi="仿宋" w:eastAsia="仿宋"/>
          <w:sz w:val="32"/>
          <w:szCs w:val="32"/>
          <w:lang w:val="en-US" w:eastAsia="zh-CN"/>
        </w:rPr>
        <w:t>626余人次，开办各类各项培训班次78余班，培训学员各项考核合格率90%以上。</w:t>
      </w:r>
    </w:p>
    <w:p w14:paraId="7FEBA892">
      <w:pPr>
        <w:spacing w:line="588" w:lineRule="exact"/>
        <w:ind w:firstLine="640" w:firstLineChars="200"/>
        <w:rPr>
          <w:rFonts w:hint="eastAsia" w:eastAsia="仿宋_GB2312"/>
          <w:b w:val="0"/>
          <w:bCs w:val="0"/>
          <w:lang w:val="en-US" w:eastAsia="zh-CN"/>
        </w:rPr>
      </w:pPr>
      <w:r>
        <w:rPr>
          <w:rFonts w:hint="eastAsia" w:ascii="仿宋_GB2312" w:hAnsi="仿宋" w:eastAsia="仿宋_GB2312" w:cs="方正仿宋_GBK"/>
          <w:sz w:val="32"/>
          <w:szCs w:val="32"/>
        </w:rPr>
        <w:t>评价认为，</w:t>
      </w:r>
      <w:r>
        <w:rPr>
          <w:rFonts w:hint="eastAsia" w:ascii="仿宋_GB2312" w:hAnsi="仿宋" w:eastAsia="仿宋_GB2312" w:cs="方正仿宋_GBK"/>
          <w:sz w:val="32"/>
          <w:szCs w:val="32"/>
          <w:lang w:eastAsia="zh-CN"/>
        </w:rPr>
        <w:t>此</w:t>
      </w:r>
      <w:r>
        <w:rPr>
          <w:rFonts w:hint="eastAsia" w:ascii="仿宋_GB2312" w:hAnsi="仿宋" w:eastAsia="仿宋_GB2312" w:cs="方正仿宋_GBK"/>
          <w:sz w:val="32"/>
          <w:szCs w:val="32"/>
        </w:rPr>
        <w:t>项目建设分项绩效目标、指标圆满实现。</w:t>
      </w:r>
    </w:p>
    <w:p w14:paraId="6ABA7469">
      <w:pPr>
        <w:numPr>
          <w:ilvl w:val="0"/>
          <w:numId w:val="4"/>
        </w:numPr>
        <w:spacing w:line="588" w:lineRule="exact"/>
        <w:ind w:firstLine="640" w:firstLineChars="200"/>
        <w:rPr>
          <w:rFonts w:hint="eastAsia" w:ascii="仿宋_GB2312" w:hAnsi="仿宋" w:eastAsia="仿宋_GB2312" w:cs="方正仿宋_GBK"/>
          <w:sz w:val="32"/>
          <w:szCs w:val="32"/>
        </w:rPr>
      </w:pPr>
      <w:r>
        <w:rPr>
          <w:rFonts w:hint="eastAsia" w:ascii="仿宋_GB2312" w:hAnsi="仿宋" w:eastAsia="仿宋_GB2312" w:cs="方正仿宋_GBK"/>
          <w:sz w:val="32"/>
          <w:szCs w:val="32"/>
          <w:lang w:val="en-US" w:eastAsia="zh-CN"/>
        </w:rPr>
        <w:t>进一步提升“花儿艺术团”“老年妇女合唱团”等亮点工程</w:t>
      </w:r>
      <w:r>
        <w:rPr>
          <w:rFonts w:hint="eastAsia" w:ascii="仿宋_GB2312" w:hAnsi="仿宋" w:eastAsia="仿宋_GB2312" w:cs="方正仿宋_GBK"/>
          <w:sz w:val="32"/>
          <w:szCs w:val="32"/>
        </w:rPr>
        <w:t>分项绩效目标、指标实现情况。</w:t>
      </w:r>
    </w:p>
    <w:p w14:paraId="15D79D80">
      <w:pPr>
        <w:snapToGrid w:val="0"/>
        <w:spacing w:line="560" w:lineRule="exact"/>
        <w:ind w:firstLine="640" w:firstLineChars="200"/>
        <w:rPr>
          <w:rFonts w:hint="eastAsia" w:ascii="仿宋" w:hAnsi="仿宋" w:eastAsia="仿宋"/>
          <w:sz w:val="32"/>
        </w:rPr>
      </w:pPr>
      <w:r>
        <w:rPr>
          <w:rFonts w:hint="eastAsia" w:ascii="仿宋" w:hAnsi="仿宋" w:eastAsia="仿宋"/>
          <w:sz w:val="32"/>
        </w:rPr>
        <w:t>举办家庭教育公益课堂8期、沙盘活动2期、OH卡牌活动2期、家庭教育沙龙3期、心理绘画1期。选择“如何让孩子爱上学习”、“用‘心’沟通，高效陪伴”、“情绪管理”、“如何引导孩子爱上学习”等广受家庭关注的热点主题，开展家庭教育咨询活动。</w:t>
      </w:r>
    </w:p>
    <w:p w14:paraId="3CDCB496">
      <w:pPr>
        <w:snapToGrid w:val="0"/>
        <w:spacing w:line="560" w:lineRule="exact"/>
        <w:ind w:firstLine="640" w:firstLineChars="200"/>
        <w:rPr>
          <w:rFonts w:hint="eastAsia" w:ascii="仿宋" w:hAnsi="仿宋" w:eastAsia="仿宋"/>
          <w:sz w:val="32"/>
        </w:rPr>
      </w:pPr>
      <w:r>
        <w:rPr>
          <w:rFonts w:hint="eastAsia" w:ascii="仿宋" w:hAnsi="仿宋" w:eastAsia="仿宋"/>
          <w:sz w:val="32"/>
        </w:rPr>
        <w:t>评价认为，</w:t>
      </w:r>
      <w:r>
        <w:rPr>
          <w:rFonts w:hint="eastAsia" w:ascii="仿宋" w:hAnsi="仿宋" w:eastAsia="仿宋"/>
          <w:sz w:val="32"/>
          <w:lang w:eastAsia="zh-CN"/>
        </w:rPr>
        <w:t>此</w:t>
      </w:r>
      <w:r>
        <w:rPr>
          <w:rFonts w:hint="eastAsia" w:ascii="仿宋" w:hAnsi="仿宋" w:eastAsia="仿宋"/>
          <w:sz w:val="32"/>
        </w:rPr>
        <w:t>项目建设分项绩效目标、指标圆满实现。</w:t>
      </w:r>
    </w:p>
    <w:p w14:paraId="21EB9201">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D7633F0">
      <w:pPr>
        <w:keepNext w:val="0"/>
        <w:keepLines w:val="0"/>
        <w:pageBreakBefore w:val="0"/>
        <w:kinsoku/>
        <w:wordWrap/>
        <w:overflowPunct/>
        <w:topLinePunct w:val="0"/>
        <w:autoSpaceDE/>
        <w:autoSpaceDN/>
        <w:bidi w:val="0"/>
        <w:spacing w:after="0" w:line="560" w:lineRule="exact"/>
        <w:ind w:firstLine="640" w:firstLineChars="200"/>
        <w:jc w:val="both"/>
        <w:textAlignment w:val="auto"/>
        <w:rPr>
          <w:rFonts w:hint="eastAsia" w:ascii="仿宋" w:hAnsi="仿宋" w:eastAsia="仿宋" w:cs="仿宋"/>
          <w:color w:val="000000"/>
          <w:sz w:val="32"/>
          <w:szCs w:val="32"/>
          <w:highlight w:val="none"/>
          <w:lang w:eastAsia="zh-CN"/>
        </w:rPr>
      </w:pPr>
      <w:r>
        <w:rPr>
          <w:rFonts w:hint="eastAsia" w:ascii="仿宋" w:hAnsi="仿宋" w:eastAsia="仿宋" w:cs="仿宋"/>
          <w:sz w:val="32"/>
          <w:szCs w:val="32"/>
          <w:lang w:val="en-US" w:eastAsia="zh-CN"/>
        </w:rPr>
        <w:t>2024年</w:t>
      </w:r>
      <w:r>
        <w:rPr>
          <w:rFonts w:hint="eastAsia" w:ascii="仿宋" w:hAnsi="仿宋" w:eastAsia="仿宋" w:cs="仿宋"/>
          <w:sz w:val="32"/>
          <w:szCs w:val="32"/>
        </w:rPr>
        <w:t>，市</w:t>
      </w:r>
      <w:r>
        <w:rPr>
          <w:rFonts w:hint="eastAsia" w:ascii="仿宋" w:hAnsi="仿宋" w:eastAsia="仿宋"/>
          <w:color w:val="2D2D2D"/>
          <w:sz w:val="32"/>
          <w:szCs w:val="32"/>
        </w:rPr>
        <w:t>妇联深入贯彻落实习近平总书记关于妇女儿童工作有关要求，紧紧围绕党政中心，继续开创妇儿工作新局面。</w:t>
      </w:r>
      <w:r>
        <w:rPr>
          <w:rFonts w:hint="eastAsia" w:ascii="仿宋" w:hAnsi="仿宋" w:eastAsia="仿宋" w:cs="仿宋"/>
          <w:color w:val="000000"/>
          <w:sz w:val="32"/>
          <w:szCs w:val="32"/>
          <w:highlight w:val="none"/>
          <w:lang w:eastAsia="zh-CN"/>
        </w:rPr>
        <w:t>圆满完成广泛开展妇女之家，深化寻找“最美家庭”活动，美丽庭院创建，维权解困以及婚姻家庭纠纷调解工作，</w:t>
      </w:r>
      <w:r>
        <w:rPr>
          <w:rFonts w:hint="eastAsia" w:ascii="仿宋_GB2312" w:hAnsi="仿宋" w:eastAsia="仿宋_GB2312" w:cs="方正仿宋_GBK"/>
          <w:sz w:val="32"/>
          <w:szCs w:val="32"/>
          <w:lang w:val="en-US" w:eastAsia="zh-CN"/>
        </w:rPr>
        <w:t>全面推进儿童友好城市建设，推进校外教育、妇女家庭教育及家政培训工作，</w:t>
      </w:r>
      <w:r>
        <w:rPr>
          <w:rFonts w:hint="eastAsia" w:ascii="仿宋" w:hAnsi="仿宋" w:eastAsia="仿宋" w:cs="仿宋"/>
          <w:sz w:val="32"/>
          <w:szCs w:val="32"/>
          <w:highlight w:val="none"/>
        </w:rPr>
        <w:t>提升“花儿艺术团”“老年妇女合唱团”等亮点工程</w:t>
      </w:r>
      <w:r>
        <w:rPr>
          <w:rFonts w:hint="eastAsia" w:ascii="仿宋" w:hAnsi="仿宋" w:eastAsia="仿宋" w:cs="仿宋"/>
          <w:color w:val="000000"/>
          <w:sz w:val="32"/>
          <w:szCs w:val="32"/>
          <w:highlight w:val="none"/>
          <w:lang w:eastAsia="zh-CN"/>
        </w:rPr>
        <w:t>等项目。</w:t>
      </w:r>
      <w:r>
        <w:rPr>
          <w:rFonts w:hint="eastAsia" w:ascii="仿宋" w:hAnsi="仿宋" w:eastAsia="仿宋"/>
          <w:color w:val="2D2D2D"/>
          <w:sz w:val="32"/>
          <w:szCs w:val="32"/>
        </w:rPr>
        <w:t>我市成功入围全国第三批儿童友好城市创建名单。全国妇联党组书记、副主席、书记处第一书记黄晓薇视察指导我市妇联工作，省委、省政府主要领导视察巾帼家政和爱心爸妈工作，市委、市政府领导多次出席市妇联活动，均给予充分肯定和高度评价。</w:t>
      </w:r>
      <w:r>
        <w:rPr>
          <w:rFonts w:hint="eastAsia" w:ascii="仿宋" w:hAnsi="仿宋" w:eastAsia="仿宋" w:cs="仿宋"/>
          <w:color w:val="000000"/>
          <w:sz w:val="32"/>
          <w:szCs w:val="32"/>
          <w:highlight w:val="none"/>
        </w:rPr>
        <w:t>总体绩效目标圆满实现</w:t>
      </w:r>
      <w:r>
        <w:rPr>
          <w:rFonts w:hint="eastAsia" w:ascii="仿宋" w:hAnsi="仿宋" w:eastAsia="仿宋" w:cs="仿宋"/>
          <w:color w:val="000000"/>
          <w:sz w:val="32"/>
          <w:szCs w:val="32"/>
          <w:highlight w:val="none"/>
          <w:lang w:eastAsia="zh-CN"/>
        </w:rPr>
        <w:t>。</w:t>
      </w:r>
    </w:p>
    <w:p w14:paraId="0F317256">
      <w:pPr>
        <w:keepNext w:val="0"/>
        <w:keepLines w:val="0"/>
        <w:pageBreakBefore w:val="0"/>
        <w:widowControl/>
        <w:kinsoku/>
        <w:wordWrap/>
        <w:overflowPunct/>
        <w:topLinePunct w:val="0"/>
        <w:autoSpaceDE/>
        <w:autoSpaceDN/>
        <w:bidi w:val="0"/>
        <w:spacing w:line="560" w:lineRule="exact"/>
        <w:ind w:firstLine="640" w:firstLineChars="200"/>
        <w:jc w:val="left"/>
        <w:textAlignment w:val="auto"/>
        <w:rPr>
          <w:rFonts w:ascii="仿宋" w:hAnsi="仿宋" w:eastAsia="仿宋"/>
          <w:sz w:val="32"/>
          <w:szCs w:val="32"/>
        </w:rPr>
      </w:pPr>
      <w:r>
        <w:rPr>
          <w:rFonts w:hint="eastAsia" w:ascii="仿宋" w:hAnsi="仿宋" w:eastAsia="仿宋" w:cs="仿宋"/>
          <w:sz w:val="32"/>
          <w:szCs w:val="32"/>
          <w:lang w:val="en-US" w:eastAsia="zh-CN"/>
        </w:rPr>
        <w:t>根据部门职责定位和各项工作履职情况进行综合评价，2024年度市妇联整体支出绩效评价得分100分，综合绩效评价等级为优秀。</w:t>
      </w:r>
    </w:p>
    <w:p w14:paraId="5DD20CA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8E5D6A1">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bCs/>
          <w:sz w:val="32"/>
          <w:szCs w:val="32"/>
        </w:rPr>
      </w:pPr>
      <w:r>
        <w:rPr>
          <w:rFonts w:hint="eastAsia" w:ascii="楷体_GB2312" w:hAnsi="楷体_GB2312" w:eastAsia="楷体_GB2312"/>
          <w:bCs/>
          <w:sz w:val="32"/>
          <w:szCs w:val="32"/>
        </w:rPr>
        <w:t>（一）项目存在的主要问题。</w:t>
      </w:r>
    </w:p>
    <w:p w14:paraId="75861D51">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 w:hAnsi="仿宋" w:eastAsia="仿宋" w:cs="仿宋"/>
          <w:sz w:val="32"/>
          <w:szCs w:val="32"/>
        </w:rPr>
        <w:t>通过实施预算项目绩效评价发现，预算项目绩效目标设定还需进一步详尽，进一步改进完善项目绩效指标设定，进一步探索更具科学性和可操作性的绩效分析、绩效考核指标体系。</w:t>
      </w:r>
    </w:p>
    <w:p w14:paraId="3912C687">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bCs/>
          <w:sz w:val="32"/>
          <w:szCs w:val="32"/>
        </w:rPr>
      </w:pPr>
      <w:r>
        <w:rPr>
          <w:rFonts w:hint="eastAsia" w:ascii="楷体_GB2312" w:hAnsi="楷体_GB2312" w:eastAsia="楷体_GB2312"/>
          <w:bCs/>
          <w:sz w:val="32"/>
          <w:szCs w:val="32"/>
        </w:rPr>
        <w:t>（二）针对问题提出具体的改进措施或建议。</w:t>
      </w:r>
    </w:p>
    <w:p w14:paraId="77816F37">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下一步我部门将从以下方面予以改进，一是加强组织领导。加强对项目工作的全面领导，便于及时发现项目运行过程中出现的问题并加以改进。二是加强监督。对日常工作加强规范和监督，防止在项目执行过程中出现偏差。三是加强预算编制。确保预算编制更加科学精准。</w:t>
      </w:r>
    </w:p>
    <w:p w14:paraId="5E0B4CC9">
      <w:pPr>
        <w:spacing w:line="560" w:lineRule="exact"/>
        <w:rPr>
          <w:rFonts w:ascii="仿宋" w:hAnsi="仿宋" w:eastAsia="仿宋"/>
        </w:rPr>
      </w:pPr>
    </w:p>
    <w:p w14:paraId="5F01DEB6">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lang w:val="en-US" w:eastAsia="zh-CN"/>
        </w:rPr>
      </w:pPr>
    </w:p>
    <w:p w14:paraId="00846477">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石家庄市妇女联合会</w:t>
      </w:r>
    </w:p>
    <w:p w14:paraId="5E722EDB">
      <w:pPr>
        <w:keepNext w:val="0"/>
        <w:keepLines w:val="0"/>
        <w:pageBreakBefore w:val="0"/>
        <w:kinsoku/>
        <w:wordWrap/>
        <w:overflowPunct/>
        <w:topLinePunct w:val="0"/>
        <w:autoSpaceDE/>
        <w:autoSpaceDN/>
        <w:bidi w:val="0"/>
        <w:spacing w:line="560" w:lineRule="exact"/>
        <w:ind w:firstLine="640" w:firstLineChars="200"/>
        <w:textAlignment w:val="auto"/>
        <w:rPr>
          <w:rFonts w:hint="eastAsia"/>
          <w:lang w:val="en-US" w:eastAsia="zh-CN"/>
        </w:rPr>
      </w:pPr>
      <w:r>
        <w:rPr>
          <w:rFonts w:hint="eastAsia" w:ascii="仿宋" w:hAnsi="仿宋" w:eastAsia="仿宋" w:cs="仿宋"/>
          <w:sz w:val="32"/>
          <w:szCs w:val="32"/>
          <w:lang w:val="en-US" w:eastAsia="zh-CN"/>
        </w:rPr>
        <w:t xml:space="preserve">                               2025年3月28日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书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E-BX">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933438">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FE8C09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1">
    <w:nsid w:val="67C5142D"/>
    <w:multiLevelType w:val="singleLevel"/>
    <w:tmpl w:val="67C5142D"/>
    <w:lvl w:ilvl="0" w:tentative="0">
      <w:start w:val="2"/>
      <w:numFmt w:val="chineseCounting"/>
      <w:suff w:val="nothing"/>
      <w:lvlText w:val="(%1)"/>
      <w:lvlJc w:val="left"/>
    </w:lvl>
  </w:abstractNum>
  <w:abstractNum w:abstractNumId="2">
    <w:nsid w:val="67C51EE9"/>
    <w:multiLevelType w:val="singleLevel"/>
    <w:tmpl w:val="67C51EE9"/>
    <w:lvl w:ilvl="0" w:tentative="0">
      <w:start w:val="2"/>
      <w:numFmt w:val="decimal"/>
      <w:suff w:val="nothing"/>
      <w:lvlText w:val="(%1)"/>
      <w:lvlJc w:val="left"/>
    </w:lvl>
  </w:abstractNum>
  <w:abstractNum w:abstractNumId="3">
    <w:nsid w:val="67C52238"/>
    <w:multiLevelType w:val="singleLevel"/>
    <w:tmpl w:val="67C52238"/>
    <w:lvl w:ilvl="0" w:tentative="0">
      <w:start w:val="5"/>
      <w:numFmt w:val="decimal"/>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290777"/>
    <w:rsid w:val="007E6C1F"/>
    <w:rsid w:val="00956A93"/>
    <w:rsid w:val="009E575C"/>
    <w:rsid w:val="00AF167E"/>
    <w:rsid w:val="00AF566A"/>
    <w:rsid w:val="00B478EA"/>
    <w:rsid w:val="00B6553A"/>
    <w:rsid w:val="00BC6576"/>
    <w:rsid w:val="00CE06BA"/>
    <w:rsid w:val="00F441CC"/>
    <w:rsid w:val="01B104CA"/>
    <w:rsid w:val="02106AB0"/>
    <w:rsid w:val="02B43A28"/>
    <w:rsid w:val="03CD4797"/>
    <w:rsid w:val="046F331E"/>
    <w:rsid w:val="06972238"/>
    <w:rsid w:val="07956271"/>
    <w:rsid w:val="09721397"/>
    <w:rsid w:val="0BB63BED"/>
    <w:rsid w:val="0EB97A43"/>
    <w:rsid w:val="0EBD2122"/>
    <w:rsid w:val="0F214EAE"/>
    <w:rsid w:val="11B71E6A"/>
    <w:rsid w:val="11D11ADA"/>
    <w:rsid w:val="1AAF0063"/>
    <w:rsid w:val="1BE140DE"/>
    <w:rsid w:val="1CDC6C29"/>
    <w:rsid w:val="1E542E40"/>
    <w:rsid w:val="206B30C2"/>
    <w:rsid w:val="248C197D"/>
    <w:rsid w:val="252959AF"/>
    <w:rsid w:val="277A6671"/>
    <w:rsid w:val="292D35B7"/>
    <w:rsid w:val="339B2306"/>
    <w:rsid w:val="33EB6CFF"/>
    <w:rsid w:val="35A12947"/>
    <w:rsid w:val="37387040"/>
    <w:rsid w:val="3B625C0A"/>
    <w:rsid w:val="3BFA0B41"/>
    <w:rsid w:val="3CEE1963"/>
    <w:rsid w:val="415B4091"/>
    <w:rsid w:val="436B78D3"/>
    <w:rsid w:val="445B6C7C"/>
    <w:rsid w:val="4B0D405E"/>
    <w:rsid w:val="4C9C27FE"/>
    <w:rsid w:val="4F0339BB"/>
    <w:rsid w:val="512260B4"/>
    <w:rsid w:val="52BD6ACB"/>
    <w:rsid w:val="55537534"/>
    <w:rsid w:val="561A74F1"/>
    <w:rsid w:val="58B17416"/>
    <w:rsid w:val="597244E8"/>
    <w:rsid w:val="5EB71C30"/>
    <w:rsid w:val="66AF0CE5"/>
    <w:rsid w:val="68AC2130"/>
    <w:rsid w:val="6AC537CF"/>
    <w:rsid w:val="6E5B14A6"/>
    <w:rsid w:val="6E614488"/>
    <w:rsid w:val="711B255E"/>
    <w:rsid w:val="7BB51E06"/>
    <w:rsid w:val="7C387F7C"/>
    <w:rsid w:val="7C7F7E94"/>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itle"/>
    <w:basedOn w:val="1"/>
    <w:next w:val="1"/>
    <w:qFormat/>
    <w:uiPriority w:val="0"/>
    <w:pPr>
      <w:jc w:val="center"/>
      <w:outlineLvl w:val="0"/>
    </w:pPr>
    <w:rPr>
      <w:rFonts w:ascii="Cambria" w:hAnsi="Cambria"/>
      <w:b/>
      <w:bCs/>
      <w:sz w:val="32"/>
      <w:szCs w:val="32"/>
    </w:r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Normal Indent"/>
    <w:basedOn w:val="1"/>
    <w:qFormat/>
    <w:uiPriority w:val="0"/>
    <w:pPr>
      <w:ind w:firstLine="420" w:firstLineChars="200"/>
    </w:pPr>
  </w:style>
  <w:style w:type="paragraph" w:customStyle="1" w:styleId="1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5546</Words>
  <Characters>5814</Characters>
  <Lines>4</Lines>
  <Paragraphs>1</Paragraphs>
  <TotalTime>0</TotalTime>
  <ScaleCrop>false</ScaleCrop>
  <LinksUpToDate>false</LinksUpToDate>
  <CharactersWithSpaces>5923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2025-03-27T03:40:00Z</cp:lastPrinted>
  <dcterms:modified xsi:type="dcterms:W3CDTF">2025-05-22T06:17:15Z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96934721B1514D3FBAA28020338CE855_12</vt:lpwstr>
  </property>
  <property fmtid="{D5CDD505-2E9C-101B-9397-08002B2CF9AE}" pid="4" name="KSOTemplateDocerSaveRecord">
    <vt:lpwstr>eyJoZGlkIjoiZWFiZDA5ODMyMjczYmM0MDUyYjk1NDhmMzg4ZjdmODkiLCJ1c2VySWQiOiIxNTUwMjQwMDk2In0=</vt:lpwstr>
  </property>
</Properties>
</file>