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行唐县人民法院部门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行唐县人民法院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1.主要职能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依法审判法律规定由县级人民法院管辖的刑事、民事、行政等一审案件，依法办理发生法律效力的判决、其他法律文书的执行工作、案件审判管理工作。妥善审理经济转型过程中引发的各类矛盾纠纷，维护国家利益，积极推进我县平安建设，营造良好环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2.机构人员情况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行唐县人民法院为行政机关单位，为全额拨款单位，单位现有在职职工71人。其中行政干部67人，行政工人2人，事业在职2人。退休人员51人。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3.资产情况：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截至2024年12月31日，我单位资产总额（账面净值，下同）684.59万元，较上年减少63.75%。负债总额30.74万元,较上年减少67.5%。净资产653.85万元 ,较上年减少63.55%。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部门2024年度一般公共预算财政拨款收入2193.12万元，完成年初预算的83.24%，比年初预算增加减少441.58万元。决算数小于预算数的主要原因是有项目结转至2025年支出。本年支出2193.12万元，完成年初预算的83.24%，比年初预算减少441.58万元，主要原因是有项目结转至2025年支出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2024年，我院通过经费的使用，促进了各项法院工作的顺利进行，提升办案质量，为维护全县和谐稳定社会环境做出努力。 数量指标：2024年受理案件数7114件，完成年度预期指标；质量指标：案件结案6828件，案件结案率高达95.98%，完成年度预期指标；时效指标：法定正常审限内结案率98%，完成年度预期指标；社会效益指标：保障了法院审判业务正常运转；可持续影响指标：保障了法院执行业务正常运转；服务对象满意度指标：办案人员满意度97%，完成了年度预期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根据市财政局《关于开展2025年绩效自评工作的通知》（石财绩</w:t>
      </w:r>
      <w:r>
        <w:rPr>
          <w:rFonts w:hint="eastAsia" w:ascii="仿宋" w:hAnsi="仿宋" w:eastAsia="仿宋"/>
          <w:sz w:val="32"/>
          <w:szCs w:val="32"/>
        </w:rPr>
        <w:t>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/>
          <w:sz w:val="32"/>
          <w:szCs w:val="32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2号）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绩效评价相关工作要求，本次评价采用内业集中、外业选点的评价方式进行，通过审查提供的资料、座谈等方式，综合考虑我院整体支出结果和现场调研评价结果，对我院部门整体支出进行了评价，并对相关资料进行汇总，做出最终评价，撰写绩效评价报告。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收集项目资料，全面了解项目管理制度和流程，资金使用情况、受益群体的反馈情况，在收集和审核项目资料的基础上，指定了绩效评价指标体系，并进一步修改和完善，最好根据评价标准和资料依据，进行了分析，得出评价结论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eastAsia="zh-CN"/>
        </w:rPr>
        <w:t>202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年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行唐县人民法院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受理各类案件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7144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件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结案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/>
        </w:rPr>
        <w:t>6828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>件，</w:t>
      </w:r>
      <w:r>
        <w:rPr>
          <w:rFonts w:hint="eastAsia" w:ascii="仿宋" w:hAnsi="仿宋" w:eastAsia="仿宋" w:cs="仿宋"/>
          <w:sz w:val="32"/>
          <w:szCs w:val="32"/>
        </w:rPr>
        <w:t>审限内结案率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 w:cs="Times New Roman"/>
          <w:kern w:val="2"/>
          <w:sz w:val="32"/>
          <w:szCs w:val="32"/>
        </w:rPr>
        <w:t xml:space="preserve">面对案件大幅度增加带来的挑战，全院干警勠力同心，充分发挥主观能动性，不断提升审判执行质效，各项关键质效指标稳中趋优。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val="en-US" w:eastAsia="zh-CN"/>
        </w:rPr>
        <w:t>县内发展环境逐步优化，社会公众的法制意识得到加强，社会的安定团结得到保障，社会公众的满意度得到了提高。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案件审判管理和执行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（40分），得分40分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绩效目标：妥善审理经济转型过程中引发的各类矛盾纠纷，依法维护国家安全和社会稳定，严惩各类严重刑事犯罪，积极推进平安行唐建设，营造良好的法治环境。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绩效指标：受理案件的数量2000件以上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实际完成值7144件</w:t>
      </w:r>
      <w:r>
        <w:rPr>
          <w:rFonts w:hint="eastAsia" w:ascii="仿宋" w:hAnsi="仿宋" w:eastAsia="仿宋" w:cs="仿宋"/>
          <w:sz w:val="32"/>
          <w:szCs w:val="32"/>
        </w:rPr>
        <w:t>；案件结案率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95.98%</w:t>
      </w:r>
      <w:r>
        <w:rPr>
          <w:rFonts w:hint="eastAsia" w:ascii="仿宋" w:hAnsi="仿宋" w:eastAsia="仿宋" w:cs="仿宋"/>
          <w:sz w:val="32"/>
          <w:szCs w:val="32"/>
        </w:rPr>
        <w:t>，案件判决数占审判案件总数的比例在85%及以上；在法定审判时限内办结案件与实际办结案件率90%以上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实际完成值98%</w:t>
      </w:r>
      <w:r>
        <w:rPr>
          <w:rFonts w:hint="eastAsia" w:ascii="仿宋" w:hAnsi="仿宋" w:eastAsia="仿宋" w:cs="仿宋"/>
          <w:sz w:val="32"/>
          <w:szCs w:val="32"/>
        </w:rPr>
        <w:t>；成本控制不能超过项目资金数额；保障相关业务,工作开展等情况，逐步提高，有效控制；办案人员满意度，调查中满意和较满意的人数占总调查人数的比率不低于90%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实际完成值97%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司法救助和国家赔偿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得分20分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绩效目标：改革涉诉信访工作，推动涉诉信访问题在法治轨道内解决；落实司法为民措施，保护被侵权人合法利益，促进国家机关依法行使职权。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2024年，国家赔偿1人次；赔偿金拨付及时完成情况率100%；按计划完成了此项目；有效控制项目资金成本；持续维护社会稳定；调查中满意和较满意的人数占调总人数的比率100%。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法院事物管理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得分40分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绩效目标：提高队伍素质和执法能力，高质高效完成各项工作。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绩效指标：受理案件的数量2000件以上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实际完成7114件</w:t>
      </w:r>
      <w:r>
        <w:rPr>
          <w:rFonts w:hint="eastAsia" w:ascii="仿宋" w:hAnsi="仿宋" w:eastAsia="仿宋" w:cs="仿宋"/>
          <w:sz w:val="32"/>
          <w:szCs w:val="32"/>
        </w:rPr>
        <w:t>；案件判决数占审判案件总数的比例85%及以上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实际完成95.98%</w:t>
      </w:r>
      <w:r>
        <w:rPr>
          <w:rFonts w:hint="eastAsia" w:ascii="仿宋" w:hAnsi="仿宋" w:eastAsia="仿宋" w:cs="仿宋"/>
          <w:sz w:val="32"/>
          <w:szCs w:val="32"/>
        </w:rPr>
        <w:t>；在法定审判时限内办结案件与实际办结案件率90%以上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实际完成98%</w:t>
      </w:r>
      <w:r>
        <w:rPr>
          <w:rFonts w:hint="eastAsia" w:ascii="仿宋" w:hAnsi="仿宋" w:eastAsia="仿宋" w:cs="仿宋"/>
          <w:sz w:val="32"/>
          <w:szCs w:val="32"/>
        </w:rPr>
        <w:t>；有效控制各项目资金成本；纳入审判管理流程与全部案件的比例85%及以上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实际完成90%</w:t>
      </w:r>
      <w:r>
        <w:rPr>
          <w:rFonts w:hint="eastAsia" w:ascii="仿宋" w:hAnsi="仿宋" w:eastAsia="仿宋" w:cs="仿宋"/>
          <w:sz w:val="32"/>
          <w:szCs w:val="32"/>
        </w:rPr>
        <w:t>；调查中满意和较满意的人数占调查总人数的比率90%及以上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实际完成97%</w:t>
      </w:r>
      <w:r>
        <w:rPr>
          <w:rFonts w:hint="eastAsia" w:ascii="仿宋" w:hAnsi="仿宋" w:eastAsia="仿宋" w:cs="仿宋"/>
          <w:sz w:val="32"/>
          <w:szCs w:val="32"/>
        </w:rPr>
        <w:t>。安保、卫生保洁人员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不少于11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实际人数13人</w:t>
      </w:r>
      <w:r>
        <w:rPr>
          <w:rFonts w:hint="eastAsia" w:ascii="仿宋" w:hAnsi="仿宋" w:eastAsia="仿宋" w:cs="仿宋"/>
          <w:sz w:val="32"/>
          <w:szCs w:val="32"/>
        </w:rPr>
        <w:t>；按时间节点进行支付年底完成；工作开展等情况，逐步提高，有效控制。实际支付进度与年度预算比例95%以上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实际完成100%</w:t>
      </w:r>
      <w:r>
        <w:rPr>
          <w:rFonts w:hint="eastAsia" w:ascii="仿宋" w:hAnsi="仿宋" w:eastAsia="仿宋" w:cs="仿宋"/>
          <w:sz w:val="32"/>
          <w:szCs w:val="32"/>
        </w:rPr>
        <w:t>；逐步提高公民安全感。司法辅助人员及书记员总人数不超94人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实际人数92人</w:t>
      </w:r>
      <w:r>
        <w:rPr>
          <w:rFonts w:hint="eastAsia" w:ascii="仿宋" w:hAnsi="仿宋" w:eastAsia="仿宋" w:cs="仿宋"/>
          <w:sz w:val="32"/>
          <w:szCs w:val="32"/>
        </w:rPr>
        <w:t>；拨付经费占全部拨付资金的比例85%以上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实际拨付资金比率97.72%</w:t>
      </w:r>
      <w:r>
        <w:rPr>
          <w:rFonts w:hint="eastAsia" w:ascii="仿宋" w:hAnsi="仿宋" w:eastAsia="仿宋" w:cs="仿宋"/>
          <w:sz w:val="32"/>
          <w:szCs w:val="32"/>
        </w:rPr>
        <w:t>；逐月推进年底完成；不断提升保障法院审判执行能力；纸质卷宗归档占全部档案的比例85%及以上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实际归档比例95%</w:t>
      </w:r>
      <w:r>
        <w:rPr>
          <w:rFonts w:hint="eastAsia" w:ascii="仿宋" w:hAnsi="仿宋" w:eastAsia="仿宋" w:cs="仿宋"/>
          <w:sz w:val="32"/>
          <w:szCs w:val="32"/>
        </w:rPr>
        <w:t>；有效协助案件审理。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综合以上评价结论和存在问题分析，我院在2024年度整体支出绩效方面表现良好，但仍存在一定的改进空间。因为我们将本次自评的评价等级定为“良好”，并建议法院在今后工作中继续加强预算管理、资金使用效益评估和部门间协调沟通等方面的工作，进一步提高整体支出绩效水平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绩效评价指标体系还不够完善、合理。财政支出的评级对象涉及行业多，项目之间差异大，真正能体现项目的个性指标在设计上存在难度，导致评价内容不够全面，评价数据缺少充分的调查分析和严密的逻辑关系，难以满足不同层面和不同性质的绩效评价需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对绩效评价工作的认识不够，单位对财务绩效不够重视，认为绩效评价只是财务部门的事情，相关项目职责部门配合不够，往往只对能提供有限的财经资料或简单的工作计划、工作总结，绩效评价工作资料非常有限，内容粗浅。大多时候只能借助工作计划，工作总结等作为绩效评价报告的主要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三是人员素质有待进一步提升。由于预算管理工作开展时间短，涉及面广，专业性强，加上缺乏系统的培训，单位对预算管理理解不够充分，对预算管理业务不精通，在一定程度上影响了绩效评价工作质量。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科学编制预算。一是进一步加强全院预算意识，严格按照预算编制的相关制度和要求以及下一年度的工作计划，细化编制部门预算，提高预算的科学性、合理性、严谨性。二是加强预算收支核算，内部机构相关庭室按照项目建设进度合理编制项目经费预算，并严格按照项目进度执行预算，增强预算的约束力和严肃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二是严格执行各项规章制度，加强财务管理，严禁不合规经费开支。严格按照《会计法》、《行政单位会计制度》、单位内部财务制度等规定，结合实际情况，加强单位经费支出管理。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三是定期开展财务分析。每年定期做好支出预算财务分析和部门整体绩效评价工作，及时对费用预算执行情况进行通报和预警，这样有利于我们强化支出责任，提高财政资金使用效率，更好地促进我们履行职责。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1D34D45"/>
    <w:multiLevelType w:val="singleLevel"/>
    <w:tmpl w:val="11D34D4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9936696"/>
    <w:rsid w:val="1AAF0063"/>
    <w:rsid w:val="1BE140DE"/>
    <w:rsid w:val="1E542E40"/>
    <w:rsid w:val="248C197D"/>
    <w:rsid w:val="252959AF"/>
    <w:rsid w:val="277A6671"/>
    <w:rsid w:val="292D35B7"/>
    <w:rsid w:val="2F956732"/>
    <w:rsid w:val="33EB6CFF"/>
    <w:rsid w:val="35A12947"/>
    <w:rsid w:val="37387040"/>
    <w:rsid w:val="3B625C0A"/>
    <w:rsid w:val="3CEE1963"/>
    <w:rsid w:val="436B78D3"/>
    <w:rsid w:val="4C9C27FE"/>
    <w:rsid w:val="512260B4"/>
    <w:rsid w:val="52BD6ACB"/>
    <w:rsid w:val="5327060E"/>
    <w:rsid w:val="55206405"/>
    <w:rsid w:val="55537534"/>
    <w:rsid w:val="561A74F1"/>
    <w:rsid w:val="58B17416"/>
    <w:rsid w:val="597244E8"/>
    <w:rsid w:val="5A46234C"/>
    <w:rsid w:val="5EB71C30"/>
    <w:rsid w:val="66AF0CE5"/>
    <w:rsid w:val="68AC2130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573</Words>
  <Characters>590</Characters>
  <Lines>4</Lines>
  <Paragraphs>1</Paragraphs>
  <TotalTime>6</TotalTime>
  <ScaleCrop>false</ScaleCrop>
  <LinksUpToDate>false</LinksUpToDate>
  <CharactersWithSpaces>612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消寞</cp:lastModifiedBy>
  <cp:lastPrinted>2024-03-06T07:40:00Z</cp:lastPrinted>
  <dcterms:modified xsi:type="dcterms:W3CDTF">2025-03-26T06:32:54Z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