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bookmarkStart w:id="0" w:name="_GoBack"/>
      <w:bookmarkEnd w:id="0"/>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石家庄市人民政府外事办公室</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石家庄市人民政府外事办公室</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_GB2312" w:eastAsia="仿宋_GB2312"/>
          <w:bCs/>
          <w:sz w:val="32"/>
          <w:szCs w:val="32"/>
          <w:lang w:eastAsia="zh-CN"/>
        </w:rPr>
      </w:pPr>
      <w:r>
        <w:rPr>
          <w:rFonts w:hint="eastAsia" w:ascii="仿宋_GB2312" w:eastAsia="仿宋_GB2312"/>
          <w:bCs/>
          <w:sz w:val="32"/>
          <w:szCs w:val="32"/>
          <w:lang w:val="en-US" w:eastAsia="zh-CN"/>
        </w:rPr>
        <w:t>1、</w:t>
      </w:r>
      <w:r>
        <w:rPr>
          <w:rFonts w:hint="eastAsia" w:ascii="仿宋_GB2312" w:eastAsia="仿宋_GB2312"/>
          <w:bCs/>
          <w:sz w:val="32"/>
          <w:szCs w:val="32"/>
          <w:lang w:eastAsia="zh-CN"/>
        </w:rPr>
        <w:t>主要职责：</w:t>
      </w:r>
    </w:p>
    <w:p>
      <w:pPr>
        <w:numPr>
          <w:ilvl w:val="0"/>
          <w:numId w:val="0"/>
        </w:numPr>
        <w:snapToGrid w:val="0"/>
        <w:spacing w:line="520" w:lineRule="exact"/>
        <w:rPr>
          <w:rFonts w:hint="eastAsia" w:ascii="仿宋_GB2312" w:eastAsia="仿宋_GB2312"/>
          <w:bCs/>
          <w:sz w:val="32"/>
          <w:szCs w:val="32"/>
        </w:rPr>
      </w:pPr>
      <w:r>
        <w:rPr>
          <w:rFonts w:hint="eastAsia" w:ascii="仿宋_GB2312" w:eastAsia="仿宋_GB2312"/>
          <w:bCs/>
          <w:sz w:val="32"/>
          <w:szCs w:val="32"/>
          <w:lang w:val="en-US" w:eastAsia="zh-CN"/>
        </w:rPr>
        <w:t xml:space="preserve">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1</w:t>
      </w:r>
      <w:r>
        <w:rPr>
          <w:rFonts w:hint="eastAsia" w:ascii="仿宋_GB2312" w:eastAsia="仿宋_GB2312"/>
          <w:bCs/>
          <w:sz w:val="32"/>
          <w:szCs w:val="32"/>
          <w:lang w:eastAsia="zh-CN"/>
        </w:rPr>
        <w:t>）</w:t>
      </w:r>
      <w:r>
        <w:rPr>
          <w:rFonts w:hint="eastAsia" w:ascii="仿宋_GB2312" w:eastAsia="仿宋_GB2312"/>
          <w:bCs/>
          <w:sz w:val="32"/>
          <w:szCs w:val="32"/>
        </w:rPr>
        <w:t>贯彻执行党和国家对外方针政策、涉港澳方针政策和法律法规。贯彻执行市委市政府外事、港澳工作的决策部署,拟定全市性外事、港澳工作规定。</w:t>
      </w:r>
    </w:p>
    <w:p>
      <w:pPr>
        <w:numPr>
          <w:ilvl w:val="0"/>
          <w:numId w:val="0"/>
        </w:numPr>
        <w:snapToGrid w:val="0"/>
        <w:spacing w:line="520" w:lineRule="exact"/>
        <w:ind w:firstLine="640"/>
        <w:rPr>
          <w:rFonts w:hint="eastAsia" w:ascii="仿宋_GB2312" w:eastAsia="仿宋_GB2312"/>
          <w:bCs/>
          <w:sz w:val="32"/>
          <w:szCs w:val="32"/>
        </w:rPr>
      </w:pPr>
      <w:r>
        <w:rPr>
          <w:rFonts w:hint="eastAsia" w:ascii="仿宋_GB2312" w:eastAsia="仿宋_GB2312"/>
          <w:bCs/>
          <w:sz w:val="32"/>
          <w:szCs w:val="32"/>
          <w:lang w:eastAsia="zh-CN"/>
        </w:rPr>
        <w:t>（</w:t>
      </w:r>
      <w:r>
        <w:rPr>
          <w:rFonts w:hint="eastAsia" w:ascii="仿宋_GB2312" w:eastAsia="仿宋_GB2312"/>
          <w:bCs/>
          <w:sz w:val="32"/>
          <w:szCs w:val="32"/>
          <w:lang w:val="en-US" w:eastAsia="zh-CN"/>
        </w:rPr>
        <w:t>2</w:t>
      </w:r>
      <w:r>
        <w:rPr>
          <w:rFonts w:hint="eastAsia" w:ascii="仿宋_GB2312" w:eastAsia="仿宋_GB2312"/>
          <w:bCs/>
          <w:sz w:val="32"/>
          <w:szCs w:val="32"/>
          <w:lang w:eastAsia="zh-CN"/>
        </w:rPr>
        <w:t>）</w:t>
      </w:r>
      <w:r>
        <w:rPr>
          <w:rFonts w:hint="eastAsia" w:ascii="仿宋_GB2312" w:eastAsia="仿宋_GB2312"/>
          <w:bCs/>
          <w:sz w:val="32"/>
          <w:szCs w:val="32"/>
        </w:rPr>
        <w:t>贯彻执行和协调推进全市对外交流合作规划和部署,对全市外事工作履行综合归口管理职能。</w:t>
      </w:r>
    </w:p>
    <w:p>
      <w:pPr>
        <w:numPr>
          <w:ilvl w:val="0"/>
          <w:numId w:val="0"/>
        </w:numPr>
        <w:snapToGrid w:val="0"/>
        <w:spacing w:line="520" w:lineRule="exact"/>
        <w:ind w:firstLine="640"/>
        <w:rPr>
          <w:rFonts w:hint="eastAsia" w:ascii="仿宋_GB2312" w:eastAsia="仿宋_GB2312"/>
          <w:bCs/>
          <w:sz w:val="32"/>
          <w:szCs w:val="32"/>
        </w:rPr>
      </w:pPr>
      <w:r>
        <w:rPr>
          <w:rFonts w:hint="eastAsia" w:ascii="仿宋_GB2312" w:eastAsia="仿宋_GB2312"/>
          <w:bCs/>
          <w:sz w:val="32"/>
          <w:szCs w:val="32"/>
          <w:lang w:eastAsia="zh-CN"/>
        </w:rPr>
        <w:t>（</w:t>
      </w:r>
      <w:r>
        <w:rPr>
          <w:rFonts w:hint="eastAsia" w:ascii="仿宋_GB2312" w:eastAsia="仿宋_GB2312"/>
          <w:bCs/>
          <w:sz w:val="32"/>
          <w:szCs w:val="32"/>
          <w:lang w:val="en-US" w:eastAsia="zh-CN"/>
        </w:rPr>
        <w:t>3</w:t>
      </w:r>
      <w:r>
        <w:rPr>
          <w:rFonts w:hint="eastAsia" w:ascii="仿宋_GB2312" w:eastAsia="仿宋_GB2312"/>
          <w:bCs/>
          <w:sz w:val="32"/>
          <w:szCs w:val="32"/>
          <w:lang w:eastAsia="zh-CN"/>
        </w:rPr>
        <w:t>）</w:t>
      </w:r>
      <w:r>
        <w:rPr>
          <w:rFonts w:hint="eastAsia" w:ascii="仿宋_GB2312" w:eastAsia="仿宋_GB2312"/>
          <w:bCs/>
          <w:sz w:val="32"/>
          <w:szCs w:val="32"/>
        </w:rPr>
        <w:t>承担我市涉港澳事务综合性工作,负责我市与港澳的交往。</w:t>
      </w:r>
    </w:p>
    <w:p>
      <w:pPr>
        <w:numPr>
          <w:ilvl w:val="0"/>
          <w:numId w:val="0"/>
        </w:numPr>
        <w:snapToGrid w:val="0"/>
        <w:spacing w:line="520" w:lineRule="exact"/>
        <w:ind w:firstLine="640"/>
        <w:rPr>
          <w:rFonts w:hint="eastAsia" w:ascii="仿宋_GB2312" w:eastAsia="仿宋_GB2312"/>
          <w:bCs/>
          <w:sz w:val="32"/>
          <w:szCs w:val="32"/>
        </w:rPr>
      </w:pPr>
      <w:r>
        <w:rPr>
          <w:rFonts w:hint="eastAsia" w:ascii="仿宋_GB2312" w:eastAsia="仿宋_GB2312"/>
          <w:bCs/>
          <w:sz w:val="32"/>
          <w:szCs w:val="32"/>
          <w:lang w:eastAsia="zh-CN"/>
        </w:rPr>
        <w:t>（</w:t>
      </w:r>
      <w:r>
        <w:rPr>
          <w:rFonts w:hint="eastAsia" w:ascii="仿宋_GB2312" w:eastAsia="仿宋_GB2312"/>
          <w:bCs/>
          <w:sz w:val="32"/>
          <w:szCs w:val="32"/>
          <w:lang w:val="en-US" w:eastAsia="zh-CN"/>
        </w:rPr>
        <w:t>4</w:t>
      </w:r>
      <w:r>
        <w:rPr>
          <w:rFonts w:hint="eastAsia" w:ascii="仿宋_GB2312" w:eastAsia="仿宋_GB2312"/>
          <w:bCs/>
          <w:sz w:val="32"/>
          <w:szCs w:val="32"/>
          <w:lang w:eastAsia="zh-CN"/>
        </w:rPr>
        <w:t>）</w:t>
      </w:r>
      <w:r>
        <w:rPr>
          <w:rFonts w:hint="eastAsia" w:ascii="仿宋_GB2312" w:eastAsia="仿宋_GB2312"/>
          <w:bCs/>
          <w:sz w:val="32"/>
          <w:szCs w:val="32"/>
        </w:rPr>
        <w:t>承办市领导对外交往事宜,会同有关部门推动全市各领域对外交往。</w:t>
      </w:r>
    </w:p>
    <w:p>
      <w:pPr>
        <w:numPr>
          <w:ilvl w:val="0"/>
          <w:numId w:val="0"/>
        </w:numPr>
        <w:snapToGrid w:val="0"/>
        <w:spacing w:line="520" w:lineRule="exact"/>
        <w:ind w:firstLine="640"/>
        <w:rPr>
          <w:rFonts w:hint="eastAsia" w:ascii="仿宋_GB2312" w:eastAsia="仿宋_GB2312"/>
          <w:bCs/>
          <w:sz w:val="32"/>
          <w:szCs w:val="32"/>
        </w:rPr>
      </w:pPr>
      <w:r>
        <w:rPr>
          <w:rFonts w:hint="eastAsia" w:ascii="仿宋_GB2312" w:eastAsia="仿宋_GB2312"/>
          <w:bCs/>
          <w:sz w:val="32"/>
          <w:szCs w:val="32"/>
          <w:lang w:eastAsia="zh-CN"/>
        </w:rPr>
        <w:t>（</w:t>
      </w:r>
      <w:r>
        <w:rPr>
          <w:rFonts w:hint="eastAsia" w:ascii="仿宋_GB2312" w:eastAsia="仿宋_GB2312"/>
          <w:bCs/>
          <w:sz w:val="32"/>
          <w:szCs w:val="32"/>
          <w:lang w:val="en-US" w:eastAsia="zh-CN"/>
        </w:rPr>
        <w:t>5</w:t>
      </w:r>
      <w:r>
        <w:rPr>
          <w:rFonts w:hint="eastAsia" w:ascii="仿宋_GB2312" w:eastAsia="仿宋_GB2312"/>
          <w:bCs/>
          <w:sz w:val="32"/>
          <w:szCs w:val="32"/>
          <w:lang w:eastAsia="zh-CN"/>
        </w:rPr>
        <w:t>）</w:t>
      </w:r>
      <w:r>
        <w:rPr>
          <w:rFonts w:hint="eastAsia" w:ascii="仿宋_GB2312" w:eastAsia="仿宋_GB2312"/>
          <w:bCs/>
          <w:sz w:val="32"/>
          <w:szCs w:val="32"/>
        </w:rPr>
        <w:t>负责指导和管理全市因公出国、赴港澳工作。</w:t>
      </w:r>
    </w:p>
    <w:p>
      <w:pPr>
        <w:numPr>
          <w:ilvl w:val="0"/>
          <w:numId w:val="0"/>
        </w:numPr>
        <w:snapToGrid w:val="0"/>
        <w:spacing w:line="520" w:lineRule="exact"/>
        <w:ind w:firstLine="640"/>
        <w:rPr>
          <w:rFonts w:hint="eastAsia" w:ascii="仿宋_GB2312" w:eastAsia="仿宋_GB2312"/>
          <w:bCs/>
          <w:sz w:val="32"/>
          <w:szCs w:val="32"/>
        </w:rPr>
      </w:pPr>
      <w:r>
        <w:rPr>
          <w:rFonts w:hint="eastAsia" w:ascii="仿宋_GB2312" w:eastAsia="仿宋_GB2312"/>
          <w:bCs/>
          <w:sz w:val="32"/>
          <w:szCs w:val="32"/>
          <w:lang w:eastAsia="zh-CN"/>
        </w:rPr>
        <w:t>（</w:t>
      </w:r>
      <w:r>
        <w:rPr>
          <w:rFonts w:hint="eastAsia" w:ascii="仿宋_GB2312" w:eastAsia="仿宋_GB2312"/>
          <w:bCs/>
          <w:sz w:val="32"/>
          <w:szCs w:val="32"/>
          <w:lang w:val="en-US" w:eastAsia="zh-CN"/>
        </w:rPr>
        <w:t>6</w:t>
      </w:r>
      <w:r>
        <w:rPr>
          <w:rFonts w:hint="eastAsia" w:ascii="仿宋_GB2312" w:eastAsia="仿宋_GB2312"/>
          <w:bCs/>
          <w:sz w:val="32"/>
          <w:szCs w:val="32"/>
          <w:lang w:eastAsia="zh-CN"/>
        </w:rPr>
        <w:t>）</w:t>
      </w:r>
      <w:r>
        <w:rPr>
          <w:rFonts w:hint="eastAsia" w:ascii="仿宋_GB2312" w:eastAsia="仿宋_GB2312"/>
          <w:bCs/>
          <w:sz w:val="32"/>
          <w:szCs w:val="32"/>
        </w:rPr>
        <w:t>负责重要外宾邀请、报批工作,组织接待来访的党宾、国宾、政要等重要外宾及外国驻华外交人员。</w:t>
      </w:r>
    </w:p>
    <w:p>
      <w:pPr>
        <w:numPr>
          <w:ilvl w:val="0"/>
          <w:numId w:val="0"/>
        </w:numPr>
        <w:snapToGrid w:val="0"/>
        <w:spacing w:line="520" w:lineRule="exact"/>
        <w:ind w:firstLine="640"/>
        <w:rPr>
          <w:rFonts w:hint="eastAsia" w:ascii="仿宋_GB2312" w:eastAsia="仿宋_GB2312"/>
          <w:bCs/>
          <w:sz w:val="32"/>
          <w:szCs w:val="32"/>
        </w:rPr>
      </w:pPr>
      <w:r>
        <w:rPr>
          <w:rFonts w:hint="eastAsia" w:ascii="仿宋_GB2312" w:eastAsia="仿宋_GB2312"/>
          <w:bCs/>
          <w:sz w:val="32"/>
          <w:szCs w:val="32"/>
          <w:lang w:eastAsia="zh-CN"/>
        </w:rPr>
        <w:t>（</w:t>
      </w:r>
      <w:r>
        <w:rPr>
          <w:rFonts w:hint="eastAsia" w:ascii="仿宋_GB2312" w:eastAsia="仿宋_GB2312"/>
          <w:bCs/>
          <w:sz w:val="32"/>
          <w:szCs w:val="32"/>
          <w:lang w:val="en-US" w:eastAsia="zh-CN"/>
        </w:rPr>
        <w:t>7</w:t>
      </w:r>
      <w:r>
        <w:rPr>
          <w:rFonts w:hint="eastAsia" w:ascii="仿宋_GB2312" w:eastAsia="仿宋_GB2312"/>
          <w:bCs/>
          <w:sz w:val="32"/>
          <w:szCs w:val="32"/>
          <w:lang w:eastAsia="zh-CN"/>
        </w:rPr>
        <w:t>）</w:t>
      </w:r>
      <w:r>
        <w:rPr>
          <w:rFonts w:hint="eastAsia" w:ascii="仿宋_GB2312" w:eastAsia="仿宋_GB2312"/>
          <w:bCs/>
          <w:sz w:val="32"/>
          <w:szCs w:val="32"/>
        </w:rPr>
        <w:t>负责我市境外机构和公民领事保护协调工作,统筹管理我市邀请外国人来华签证工作,会同或配合有关部门处理我市的涉外事务。</w:t>
      </w:r>
    </w:p>
    <w:p>
      <w:pPr>
        <w:numPr>
          <w:ilvl w:val="0"/>
          <w:numId w:val="0"/>
        </w:numPr>
        <w:snapToGrid w:val="0"/>
        <w:spacing w:line="520" w:lineRule="exact"/>
        <w:ind w:firstLine="640"/>
        <w:rPr>
          <w:rFonts w:hint="eastAsia" w:ascii="仿宋_GB2312" w:eastAsia="仿宋_GB2312"/>
          <w:bCs/>
          <w:sz w:val="32"/>
          <w:szCs w:val="32"/>
        </w:rPr>
      </w:pPr>
      <w:r>
        <w:rPr>
          <w:rFonts w:hint="eastAsia" w:ascii="仿宋_GB2312" w:eastAsia="仿宋_GB2312"/>
          <w:bCs/>
          <w:sz w:val="32"/>
          <w:szCs w:val="32"/>
          <w:lang w:eastAsia="zh-CN"/>
        </w:rPr>
        <w:t>（</w:t>
      </w:r>
      <w:r>
        <w:rPr>
          <w:rFonts w:hint="eastAsia" w:ascii="仿宋_GB2312" w:eastAsia="仿宋_GB2312"/>
          <w:bCs/>
          <w:sz w:val="32"/>
          <w:szCs w:val="32"/>
          <w:lang w:val="en-US" w:eastAsia="zh-CN"/>
        </w:rPr>
        <w:t>8</w:t>
      </w:r>
      <w:r>
        <w:rPr>
          <w:rFonts w:hint="eastAsia" w:ascii="仿宋_GB2312" w:eastAsia="仿宋_GB2312"/>
          <w:bCs/>
          <w:sz w:val="32"/>
          <w:szCs w:val="32"/>
          <w:lang w:eastAsia="zh-CN"/>
        </w:rPr>
        <w:t>）</w:t>
      </w:r>
      <w:r>
        <w:rPr>
          <w:rFonts w:hint="eastAsia" w:ascii="仿宋_GB2312" w:eastAsia="仿宋_GB2312"/>
          <w:bCs/>
          <w:sz w:val="32"/>
          <w:szCs w:val="32"/>
        </w:rPr>
        <w:t>办理来我市采访的外国记者相关事务,会同有关部门办理港澳记者来我市采访的有关事宜,会同有关部门开展对外宣传工作。</w:t>
      </w:r>
    </w:p>
    <w:p>
      <w:pPr>
        <w:numPr>
          <w:ilvl w:val="0"/>
          <w:numId w:val="0"/>
        </w:numPr>
        <w:snapToGrid w:val="0"/>
        <w:spacing w:line="520" w:lineRule="exact"/>
        <w:ind w:firstLine="640"/>
        <w:rPr>
          <w:rFonts w:hint="eastAsia" w:ascii="仿宋_GB2312" w:eastAsia="仿宋_GB2312"/>
          <w:bCs/>
          <w:sz w:val="32"/>
          <w:szCs w:val="32"/>
        </w:rPr>
      </w:pPr>
      <w:r>
        <w:rPr>
          <w:rFonts w:hint="eastAsia" w:ascii="仿宋_GB2312" w:eastAsia="仿宋_GB2312"/>
          <w:bCs/>
          <w:sz w:val="32"/>
          <w:szCs w:val="32"/>
          <w:lang w:eastAsia="zh-CN"/>
        </w:rPr>
        <w:t>（</w:t>
      </w:r>
      <w:r>
        <w:rPr>
          <w:rFonts w:hint="eastAsia" w:ascii="仿宋_GB2312" w:eastAsia="仿宋_GB2312"/>
          <w:bCs/>
          <w:sz w:val="32"/>
          <w:szCs w:val="32"/>
          <w:lang w:val="en-US" w:eastAsia="zh-CN"/>
        </w:rPr>
        <w:t>9</w:t>
      </w:r>
      <w:r>
        <w:rPr>
          <w:rFonts w:hint="eastAsia" w:ascii="仿宋_GB2312" w:eastAsia="仿宋_GB2312"/>
          <w:bCs/>
          <w:sz w:val="32"/>
          <w:szCs w:val="32"/>
          <w:lang w:eastAsia="zh-CN"/>
        </w:rPr>
        <w:t>）</w:t>
      </w:r>
      <w:r>
        <w:rPr>
          <w:rFonts w:hint="eastAsia" w:ascii="仿宋_GB2312" w:eastAsia="仿宋_GB2312"/>
          <w:bCs/>
          <w:sz w:val="32"/>
          <w:szCs w:val="32"/>
        </w:rPr>
        <w:t>统筹协调全市友好城市工作,指导石家庄市人民对外友好协会的工作。</w:t>
      </w:r>
    </w:p>
    <w:p>
      <w:pPr>
        <w:numPr>
          <w:ilvl w:val="0"/>
          <w:numId w:val="0"/>
        </w:numPr>
        <w:snapToGrid w:val="0"/>
        <w:spacing w:line="520" w:lineRule="exact"/>
        <w:ind w:firstLine="640"/>
        <w:rPr>
          <w:rFonts w:hint="eastAsia" w:ascii="仿宋_GB2312" w:hAnsi="仿宋" w:eastAsia="仿宋_GB2312"/>
          <w:sz w:val="32"/>
          <w:szCs w:val="32"/>
        </w:rPr>
      </w:pPr>
      <w:r>
        <w:rPr>
          <w:rFonts w:hint="eastAsia" w:ascii="仿宋_GB2312" w:eastAsia="仿宋_GB2312"/>
          <w:bCs/>
          <w:sz w:val="32"/>
          <w:szCs w:val="32"/>
          <w:lang w:eastAsia="zh-CN"/>
        </w:rPr>
        <w:t>（</w:t>
      </w:r>
      <w:r>
        <w:rPr>
          <w:rFonts w:hint="eastAsia" w:ascii="仿宋_GB2312" w:eastAsia="仿宋_GB2312"/>
          <w:bCs/>
          <w:sz w:val="32"/>
          <w:szCs w:val="32"/>
          <w:lang w:val="en-US" w:eastAsia="zh-CN"/>
        </w:rPr>
        <w:t>10</w:t>
      </w:r>
      <w:r>
        <w:rPr>
          <w:rFonts w:hint="eastAsia" w:ascii="仿宋_GB2312" w:eastAsia="仿宋_GB2312"/>
          <w:bCs/>
          <w:sz w:val="32"/>
          <w:szCs w:val="32"/>
          <w:lang w:eastAsia="zh-CN"/>
        </w:rPr>
        <w:t>）</w:t>
      </w:r>
      <w:r>
        <w:rPr>
          <w:rFonts w:hint="eastAsia" w:ascii="仿宋_GB2312" w:eastAsia="仿宋_GB2312"/>
          <w:bCs/>
          <w:sz w:val="32"/>
          <w:szCs w:val="32"/>
        </w:rPr>
        <w:t>完成省委外事工作委员会办公室、省外办和市委市政府交办的其他任务。</w:t>
      </w:r>
    </w:p>
    <w:p>
      <w:pPr>
        <w:snapToGrid w:val="0"/>
        <w:spacing w:line="520" w:lineRule="exact"/>
        <w:ind w:firstLine="640" w:firstLineChars="200"/>
        <w:rPr>
          <w:rFonts w:hint="eastAsia" w:ascii="仿宋_GB2312" w:eastAsia="仿宋_GB2312"/>
          <w:bCs/>
          <w:sz w:val="32"/>
          <w:szCs w:val="32"/>
        </w:rPr>
      </w:pPr>
      <w:r>
        <w:rPr>
          <w:rFonts w:hint="eastAsia" w:ascii="仿宋_GB2312" w:eastAsia="仿宋_GB2312"/>
          <w:bCs/>
          <w:sz w:val="32"/>
          <w:szCs w:val="32"/>
          <w:lang w:val="en-US" w:eastAsia="zh-CN"/>
        </w:rPr>
        <w:t>2、</w:t>
      </w:r>
      <w:r>
        <w:rPr>
          <w:rFonts w:hint="eastAsia" w:ascii="仿宋_GB2312" w:eastAsia="仿宋_GB2312"/>
          <w:bCs/>
          <w:sz w:val="32"/>
          <w:szCs w:val="32"/>
        </w:rPr>
        <w:t>机构</w:t>
      </w:r>
      <w:r>
        <w:rPr>
          <w:rFonts w:hint="eastAsia" w:ascii="仿宋_GB2312" w:eastAsia="仿宋_GB2312"/>
          <w:bCs/>
          <w:sz w:val="32"/>
          <w:szCs w:val="32"/>
          <w:lang w:eastAsia="zh-CN"/>
        </w:rPr>
        <w:t>以及人员</w:t>
      </w:r>
      <w:r>
        <w:rPr>
          <w:rFonts w:hint="eastAsia" w:ascii="仿宋_GB2312" w:eastAsia="仿宋_GB2312"/>
          <w:bCs/>
          <w:sz w:val="32"/>
          <w:szCs w:val="32"/>
        </w:rPr>
        <w:t>情况</w:t>
      </w:r>
      <w:r>
        <w:rPr>
          <w:rFonts w:hint="eastAsia" w:ascii="仿宋_GB2312" w:eastAsia="仿宋_GB2312"/>
          <w:bCs/>
          <w:sz w:val="32"/>
          <w:szCs w:val="32"/>
          <w:lang w:eastAsia="zh-CN"/>
        </w:rPr>
        <w:t>：</w:t>
      </w:r>
      <w:r>
        <w:rPr>
          <w:rFonts w:hint="eastAsia" w:ascii="仿宋_GB2312" w:eastAsia="仿宋_GB2312"/>
          <w:bCs/>
          <w:sz w:val="32"/>
          <w:szCs w:val="32"/>
          <w:lang w:val="en-US" w:eastAsia="zh-CN"/>
        </w:rPr>
        <w:t>石家庄市人民政府外事办公室共3个下属事业单位，分别为：石家庄市人民对外友好协会、石家庄市对外交流合作中心、石家庄市国际事务服务中心。</w:t>
      </w:r>
      <w:r>
        <w:rPr>
          <w:rFonts w:hint="eastAsia" w:ascii="仿宋" w:hAnsi="仿宋" w:eastAsia="仿宋" w:cs="仿宋"/>
          <w:sz w:val="32"/>
          <w:szCs w:val="32"/>
          <w:lang w:val="en-US" w:eastAsia="zh-CN"/>
        </w:rPr>
        <w:t>2023年末部门在职人数63人，退休39人。</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3、</w:t>
      </w:r>
      <w:r>
        <w:rPr>
          <w:rFonts w:hint="eastAsia" w:ascii="仿宋" w:hAnsi="仿宋" w:eastAsia="仿宋"/>
          <w:sz w:val="32"/>
          <w:szCs w:val="32"/>
          <w:lang w:eastAsia="zh-CN"/>
        </w:rPr>
        <w:t>资产</w:t>
      </w:r>
      <w:r>
        <w:rPr>
          <w:rFonts w:hint="eastAsia" w:ascii="仿宋" w:hAnsi="仿宋" w:eastAsia="仿宋"/>
          <w:sz w:val="32"/>
          <w:szCs w:val="32"/>
        </w:rPr>
        <w:t>基本情况</w:t>
      </w:r>
      <w:r>
        <w:rPr>
          <w:rFonts w:hint="eastAsia" w:ascii="仿宋" w:hAnsi="仿宋" w:eastAsia="仿宋"/>
          <w:sz w:val="32"/>
          <w:szCs w:val="32"/>
          <w:lang w:eastAsia="zh-CN"/>
        </w:rPr>
        <w:t>：</w:t>
      </w:r>
      <w:r>
        <w:rPr>
          <w:rFonts w:hint="eastAsia" w:ascii="仿宋" w:hAnsi="仿宋" w:eastAsia="仿宋" w:cs="仿宋"/>
          <w:color w:val="auto"/>
          <w:sz w:val="32"/>
          <w:szCs w:val="32"/>
          <w:lang w:val="en-US" w:eastAsia="zh-CN"/>
        </w:rPr>
        <w:t>2023年资产构成主要有固定资产、银行存款；负债主要有应缴纳的保险等。</w:t>
      </w:r>
    </w:p>
    <w:p>
      <w:pPr>
        <w:widowControl w:val="0"/>
        <w:numPr>
          <w:ilvl w:val="0"/>
          <w:numId w:val="0"/>
        </w:numPr>
        <w:wordWrap/>
        <w:adjustRightInd w:val="0"/>
        <w:snapToGrid w:val="0"/>
        <w:spacing w:line="560" w:lineRule="exact"/>
        <w:ind w:left="630" w:leftChars="0" w:right="0" w:rightChars="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（二）部门收支预决算情况</w:t>
      </w:r>
    </w:p>
    <w:p>
      <w:pPr>
        <w:snapToGrid w:val="0"/>
        <w:spacing w:line="520" w:lineRule="exact"/>
        <w:ind w:firstLine="640" w:firstLineChars="200"/>
        <w:rPr>
          <w:rFonts w:hint="eastAsia" w:ascii="仿宋_GB2312" w:eastAsia="仿宋_GB2312"/>
          <w:bCs/>
          <w:sz w:val="32"/>
          <w:szCs w:val="32"/>
          <w:highlight w:val="none"/>
          <w:lang w:eastAsia="zh-CN"/>
        </w:rPr>
      </w:pPr>
      <w:r>
        <w:rPr>
          <w:rFonts w:hint="eastAsia" w:ascii="仿宋_GB2312" w:eastAsia="仿宋_GB2312"/>
          <w:bCs/>
          <w:sz w:val="32"/>
          <w:szCs w:val="32"/>
          <w:highlight w:val="none"/>
          <w:lang w:val="en-US" w:eastAsia="zh-CN"/>
        </w:rPr>
        <w:t>石家庄市人民政府外事办公室2023年度预算收入总计1774.46万元，基中，一般公共预算收入1774.46万元，2023年度支出1774.46万元，结转结余0万元。其中，人员经费支出 1469.51万元，正常公用经费114.03万元，项目支出190.92万元。</w:t>
      </w:r>
    </w:p>
    <w:p>
      <w:pPr>
        <w:widowControl w:val="0"/>
        <w:numPr>
          <w:ilvl w:val="0"/>
          <w:numId w:val="0"/>
        </w:numPr>
        <w:wordWrap/>
        <w:adjustRightInd w:val="0"/>
        <w:snapToGrid w:val="0"/>
        <w:spacing w:line="560" w:lineRule="exact"/>
        <w:ind w:left="630" w:leftChars="0" w:right="0" w:rightChars="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val="en-US" w:eastAsia="zh-CN"/>
        </w:rPr>
        <w:t>(三)</w:t>
      </w:r>
      <w:r>
        <w:rPr>
          <w:rFonts w:hint="eastAsia" w:ascii="仿宋" w:hAnsi="仿宋" w:eastAsia="仿宋" w:cs="楷体_GB2312"/>
          <w:b/>
          <w:bCs/>
          <w:sz w:val="32"/>
          <w:szCs w:val="32"/>
          <w:lang w:eastAsia="zh-CN"/>
        </w:rPr>
        <w:t>部门整体支出绩效目标、指标</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1"/>
        <w:rPr>
          <w:rFonts w:hint="eastAsia" w:ascii="仿宋_GB2312" w:hAnsi="Times New Roman" w:eastAsia="仿宋_GB2312" w:cs="Times New Roman"/>
          <w:sz w:val="32"/>
          <w:szCs w:val="32"/>
          <w:lang w:val="en-US" w:eastAsia="uk-UA" w:bidi="ar-SA"/>
        </w:rPr>
      </w:pPr>
      <w:r>
        <w:rPr>
          <w:rFonts w:hint="eastAsia" w:ascii="仿宋_GB2312" w:hAnsi="Times New Roman" w:eastAsia="仿宋_GB2312" w:cs="Times New Roman"/>
          <w:sz w:val="32"/>
          <w:szCs w:val="32"/>
          <w:lang w:val="en-US" w:eastAsia="uk-UA" w:bidi="ar-SA"/>
        </w:rPr>
        <w:t>2023年是全面贯彻落实党的二十大精神的开局之年，也是疫情防控进入新阶段的重要一年，全办将坚持以习近平新时代中国特色社会主义思想和习近平外交思想为指导，全面深入学习宣传贯彻党的二十大精神，认真落实省委十届三次全会、市委十一届四次全会各项决策部署，坚持聚焦服务好国际化省会城市建设这个中心，科学统筹好常态化涉外疫情防控和外事工作高质量发展，以奋发有为的精神状态和精益求精的工作标准，努力为建设现代化、国际化美丽省会城市贡献外事力量。</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1"/>
        <w:rPr>
          <w:rFonts w:hint="eastAsia"/>
          <w:sz w:val="32"/>
          <w:szCs w:val="32"/>
          <w:lang w:eastAsia="zh-CN"/>
        </w:rPr>
      </w:pPr>
      <w:r>
        <w:rPr>
          <w:rFonts w:hint="eastAsia" w:ascii="仿宋_GB2312" w:hAnsi="Times New Roman" w:eastAsia="仿宋_GB2312" w:cs="Times New Roman"/>
          <w:sz w:val="32"/>
          <w:szCs w:val="32"/>
          <w:lang w:val="en-US" w:eastAsia="uk-UA" w:bidi="ar-SA"/>
        </w:rPr>
        <w:t>202</w:t>
      </w:r>
      <w:r>
        <w:rPr>
          <w:rFonts w:hint="eastAsia" w:ascii="仿宋_GB2312" w:eastAsia="仿宋_GB2312" w:cs="Times New Roman"/>
          <w:sz w:val="32"/>
          <w:szCs w:val="32"/>
          <w:lang w:val="en-US" w:eastAsia="zh-CN" w:bidi="ar-SA"/>
        </w:rPr>
        <w:t>3</w:t>
      </w:r>
      <w:r>
        <w:rPr>
          <w:rFonts w:hint="eastAsia" w:ascii="仿宋_GB2312" w:hAnsi="Times New Roman" w:eastAsia="仿宋_GB2312" w:cs="Times New Roman"/>
          <w:sz w:val="32"/>
          <w:szCs w:val="32"/>
          <w:lang w:val="en-US" w:eastAsia="uk-UA" w:bidi="ar-SA"/>
        </w:rPr>
        <w:t>年，计划领事保护培训、APEC商务旅行卡培训等</w:t>
      </w:r>
      <w:r>
        <w:rPr>
          <w:rFonts w:hint="eastAsia" w:ascii="仿宋_GB2312" w:eastAsia="仿宋_GB2312" w:cs="Times New Roman"/>
          <w:sz w:val="32"/>
          <w:szCs w:val="32"/>
          <w:lang w:val="en-US" w:eastAsia="zh-CN" w:bidi="ar-SA"/>
        </w:rPr>
        <w:t>450</w:t>
      </w:r>
      <w:r>
        <w:rPr>
          <w:rFonts w:hint="eastAsia" w:ascii="仿宋_GB2312" w:hAnsi="Times New Roman" w:eastAsia="仿宋_GB2312" w:cs="Times New Roman"/>
          <w:sz w:val="32"/>
          <w:szCs w:val="32"/>
          <w:lang w:val="en-US" w:eastAsia="uk-UA" w:bidi="ar-SA"/>
        </w:rPr>
        <w:t>人次左右；接待外国友好组织和团体、民间友好人士来访不少于9次，组织我市友好代表团出访不少于6次。</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firstLine="640" w:firstLineChars="200"/>
        <w:textAlignment w:val="auto"/>
        <w:rPr>
          <w:rFonts w:ascii="仿宋" w:hAnsi="仿宋" w:eastAsia="仿宋"/>
          <w:sz w:val="32"/>
          <w:szCs w:val="32"/>
        </w:rPr>
      </w:pPr>
      <w:r>
        <w:rPr>
          <w:rFonts w:hint="eastAsia" w:ascii="仿宋_GB2312" w:hAnsi="仿宋" w:eastAsia="仿宋_GB2312"/>
          <w:sz w:val="32"/>
          <w:szCs w:val="32"/>
          <w:lang w:val="en-US" w:eastAsia="zh-CN"/>
        </w:rPr>
        <w:t>构建“部门职责—工作活动—预算项目”三个层级的绩效预算管理结构，成立预算绩效领导小组，建立了预算项目全周期管理机制。通过实施以结果为导向、以绩效提高为目标的一系列管理措施，有效提高了财政资金的使用效益。</w:t>
      </w:r>
    </w:p>
    <w:p>
      <w:pPr>
        <w:widowControl w:val="0"/>
        <w:numPr>
          <w:ilvl w:val="0"/>
          <w:numId w:val="1"/>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snapToGrid w:val="0"/>
        <w:spacing w:line="520" w:lineRule="exact"/>
        <w:ind w:firstLine="640" w:firstLineChars="200"/>
        <w:rPr>
          <w:rFonts w:ascii="楷体" w:hAnsi="楷体" w:eastAsia="楷体" w:cs="楷体_GB2312"/>
          <w:bCs/>
          <w:sz w:val="32"/>
          <w:szCs w:val="32"/>
        </w:rPr>
      </w:pPr>
      <w:r>
        <w:rPr>
          <w:rFonts w:hint="eastAsia" w:ascii="仿宋_GB2312" w:eastAsia="仿宋_GB2312"/>
          <w:bCs/>
          <w:sz w:val="32"/>
          <w:szCs w:val="32"/>
          <w:lang w:val="en-US" w:eastAsia="zh-CN"/>
        </w:rPr>
        <w:t>按照绩效预算管理要求，遵循先绩效后预算的原则，我办认真梳理部门职责，修订工作活动目录，按照部门职责、工作活动绩效目标、绩效指标进行梳理，根据项目与工作活动相对应的要求，按照部门职责工作活动目录，我部门认真编制本年项目预算，按照财政局开展项目绩效自评工作的安排，开展了项目标绩效自评工作。</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总体绩效目标实现情况</w:t>
      </w:r>
    </w:p>
    <w:p>
      <w:pPr>
        <w:pStyle w:val="8"/>
        <w:widowControl w:val="0"/>
        <w:spacing w:line="600" w:lineRule="exact"/>
        <w:ind w:firstLineChars="200"/>
        <w:rPr>
          <w:rFonts w:ascii="仿宋_GB2312" w:eastAsia="仿宋_GB2312"/>
          <w:sz w:val="32"/>
          <w:szCs w:val="32"/>
        </w:rPr>
      </w:pPr>
      <w:r>
        <w:rPr>
          <w:rFonts w:hint="eastAsia" w:ascii="仿宋_GB2312" w:eastAsia="仿宋_GB2312"/>
          <w:sz w:val="32"/>
          <w:szCs w:val="32"/>
        </w:rPr>
        <w:t>绩效目标：</w:t>
      </w:r>
      <w:r>
        <w:rPr>
          <w:rFonts w:hint="eastAsia" w:ascii="仿宋_GB2312" w:eastAsia="仿宋_GB2312"/>
          <w:sz w:val="32"/>
          <w:szCs w:val="32"/>
          <w:lang w:val="en-US" w:eastAsia="zh-CN"/>
        </w:rPr>
        <w:t>围绕推进“一带一路”建设和我市重点打造的五大千亿产业集群，统筹全市2023年度因公临时出访计划，优化市领导出访路线和出访任务，全力保障全市重要商务团组顺利出访。</w:t>
      </w:r>
      <w:r>
        <w:rPr>
          <w:rFonts w:hint="eastAsia" w:ascii="仿宋_GB2312" w:eastAsia="仿宋_GB2312"/>
          <w:sz w:val="32"/>
          <w:szCs w:val="32"/>
        </w:rPr>
        <w:t>组织市直相关部门，各县（市、区）外事工作人员，院校、医院外事工作负责人，有关企业代表开展业务培训会，进一步强化在因公出国、领事保护、APEC卡办理使用等方面的政策法规宣传力度。</w:t>
      </w:r>
    </w:p>
    <w:p>
      <w:pPr>
        <w:pStyle w:val="8"/>
        <w:widowControl w:val="0"/>
        <w:spacing w:line="600" w:lineRule="exact"/>
        <w:ind w:firstLineChars="200"/>
        <w:rPr>
          <w:rFonts w:ascii="仿宋_GB2312" w:eastAsia="仿宋_GB2312"/>
          <w:sz w:val="32"/>
          <w:szCs w:val="32"/>
        </w:rPr>
      </w:pPr>
      <w:r>
        <w:rPr>
          <w:rFonts w:hint="eastAsia" w:ascii="仿宋_GB2312" w:eastAsia="仿宋_GB2312"/>
          <w:sz w:val="32"/>
          <w:szCs w:val="32"/>
        </w:rPr>
        <w:t>绩效指标：计划领事保护培训、APEC商务旅行卡培训等</w:t>
      </w:r>
      <w:r>
        <w:rPr>
          <w:rFonts w:hint="eastAsia" w:ascii="仿宋_GB2312" w:eastAsia="仿宋_GB2312"/>
          <w:sz w:val="32"/>
          <w:szCs w:val="32"/>
          <w:lang w:val="en-US" w:eastAsia="zh-CN"/>
        </w:rPr>
        <w:t>450</w:t>
      </w:r>
      <w:r>
        <w:rPr>
          <w:rFonts w:hint="eastAsia" w:ascii="仿宋_GB2312" w:eastAsia="仿宋_GB2312"/>
          <w:sz w:val="32"/>
          <w:szCs w:val="32"/>
        </w:rPr>
        <w:t>人次左右，培训对象满意度≥90%。</w:t>
      </w:r>
    </w:p>
    <w:p>
      <w:pPr>
        <w:pStyle w:val="8"/>
        <w:widowControl w:val="0"/>
        <w:spacing w:line="600" w:lineRule="exact"/>
        <w:ind w:firstLineChars="200"/>
        <w:rPr>
          <w:rFonts w:ascii="仿宋_GB2312" w:eastAsia="仿宋_GB2312"/>
          <w:sz w:val="32"/>
          <w:szCs w:val="32"/>
        </w:rPr>
      </w:pPr>
      <w:r>
        <w:rPr>
          <w:rFonts w:hint="eastAsia" w:ascii="仿宋_GB2312" w:eastAsia="仿宋_GB2312"/>
          <w:sz w:val="32"/>
          <w:szCs w:val="32"/>
        </w:rPr>
        <w:t>（二）增强重大涉外活动服务保障能力</w:t>
      </w:r>
    </w:p>
    <w:p>
      <w:pPr>
        <w:pStyle w:val="8"/>
        <w:widowControl w:val="0"/>
        <w:spacing w:line="600" w:lineRule="exact"/>
        <w:ind w:firstLineChars="200"/>
        <w:rPr>
          <w:rFonts w:hint="eastAsia" w:ascii="仿宋_GB2312" w:eastAsia="仿宋_GB2312"/>
          <w:sz w:val="32"/>
          <w:szCs w:val="32"/>
          <w:lang w:val="en-US" w:eastAsia="zh-CN"/>
        </w:rPr>
      </w:pPr>
      <w:r>
        <w:rPr>
          <w:rFonts w:hint="eastAsia" w:ascii="仿宋_GB2312" w:eastAsia="仿宋_GB2312"/>
          <w:sz w:val="32"/>
          <w:szCs w:val="32"/>
        </w:rPr>
        <w:t>绩效目标：</w:t>
      </w:r>
      <w:r>
        <w:rPr>
          <w:rFonts w:hint="eastAsia" w:ascii="仿宋_GB2312" w:eastAsia="仿宋_GB2312"/>
          <w:sz w:val="32"/>
          <w:szCs w:val="32"/>
          <w:lang w:val="en-US" w:eastAsia="zh-CN"/>
        </w:rPr>
        <w:t>结合国际、国内疫情形势发展，深化与美国得梅因市、日本长野市、韩国天安市等老友城开展多领域多层次合作，推动老友城交流合作再上新台阶。在积极谋划、细致沟通的基础上，深入探索我市与新建友城的合作前景和资源匹配。</w:t>
      </w:r>
      <w:r>
        <w:rPr>
          <w:rFonts w:hint="eastAsia" w:ascii="仿宋_GB2312" w:eastAsia="仿宋_GB2312"/>
          <w:sz w:val="32"/>
          <w:szCs w:val="32"/>
        </w:rPr>
        <w:t>认真梳理我市202</w:t>
      </w:r>
      <w:r>
        <w:rPr>
          <w:rFonts w:hint="eastAsia" w:ascii="仿宋_GB2312" w:eastAsia="仿宋_GB2312"/>
          <w:sz w:val="32"/>
          <w:szCs w:val="32"/>
          <w:lang w:val="en-US" w:eastAsia="zh-CN"/>
        </w:rPr>
        <w:t>3</w:t>
      </w:r>
      <w:r>
        <w:rPr>
          <w:rFonts w:hint="eastAsia" w:ascii="仿宋_GB2312" w:eastAsia="仿宋_GB2312"/>
          <w:sz w:val="32"/>
          <w:szCs w:val="32"/>
        </w:rPr>
        <w:t>年拟举办</w:t>
      </w:r>
      <w:r>
        <w:rPr>
          <w:rFonts w:hint="eastAsia" w:ascii="仿宋_GB2312" w:eastAsia="仿宋_GB2312"/>
          <w:sz w:val="32"/>
          <w:szCs w:val="32"/>
          <w:lang w:eastAsia="zh-CN"/>
        </w:rPr>
        <w:t>的</w:t>
      </w:r>
      <w:r>
        <w:rPr>
          <w:rFonts w:hint="eastAsia" w:ascii="仿宋_GB2312" w:eastAsia="仿宋_GB2312"/>
          <w:sz w:val="32"/>
          <w:szCs w:val="32"/>
        </w:rPr>
        <w:t>数字经济博览会、国际通用航空博览会、旅发大会等重大活动，及时向“一带一路”沿线国家和已结友城、目标友城、国际组织和</w:t>
      </w:r>
      <w:r>
        <w:rPr>
          <w:rFonts w:hint="eastAsia" w:ascii="仿宋_GB2312" w:eastAsia="仿宋_GB2312"/>
          <w:sz w:val="32"/>
          <w:szCs w:val="32"/>
          <w:lang w:eastAsia="zh-CN"/>
        </w:rPr>
        <w:t>国际</w:t>
      </w:r>
      <w:r>
        <w:rPr>
          <w:rFonts w:hint="eastAsia" w:ascii="仿宋_GB2312" w:eastAsia="仿宋_GB2312"/>
          <w:sz w:val="32"/>
          <w:szCs w:val="32"/>
        </w:rPr>
        <w:t>友人发出邀请，并做好重大活动外事服务保障工作</w:t>
      </w:r>
      <w:r>
        <w:rPr>
          <w:rFonts w:hint="eastAsia" w:ascii="仿宋_GB2312" w:eastAsia="仿宋_GB2312"/>
          <w:sz w:val="32"/>
          <w:szCs w:val="32"/>
          <w:lang w:val="en-US" w:eastAsia="zh-CN"/>
        </w:rPr>
        <w:t>。</w:t>
      </w:r>
    </w:p>
    <w:p>
      <w:pPr>
        <w:pStyle w:val="8"/>
        <w:widowControl w:val="0"/>
        <w:spacing w:line="600" w:lineRule="exact"/>
        <w:ind w:firstLineChars="200"/>
        <w:rPr>
          <w:rFonts w:ascii="仿宋_GB2312" w:eastAsia="仿宋_GB2312"/>
          <w:sz w:val="32"/>
          <w:szCs w:val="32"/>
        </w:rPr>
      </w:pPr>
      <w:r>
        <w:rPr>
          <w:rFonts w:hint="eastAsia" w:ascii="仿宋_GB2312" w:eastAsia="仿宋_GB2312"/>
          <w:sz w:val="32"/>
          <w:szCs w:val="32"/>
        </w:rPr>
        <w:t>绩效指标：接待外国友好组织和团体、民间友好人士来访不少于9次，组织我市友好代表团出访不少于6次。</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right="0" w:firstLine="640" w:firstLineChars="200"/>
        <w:textAlignment w:val="auto"/>
        <w:outlineLvl w:val="9"/>
        <w:rPr>
          <w:rFonts w:hint="eastAsia" w:ascii="仿宋_GB2312" w:hAnsi="仿宋_GB2312" w:eastAsia="仿宋_GB2312"/>
          <w:color w:val="000000"/>
          <w:sz w:val="32"/>
        </w:rPr>
      </w:pPr>
      <w:r>
        <w:rPr>
          <w:rFonts w:hint="eastAsia" w:ascii="仿宋_GB2312" w:hAnsi="仿宋_GB2312" w:eastAsia="仿宋_GB2312"/>
          <w:color w:val="000000"/>
          <w:sz w:val="32"/>
        </w:rPr>
        <w:t>根据部门职责定位和各项工作履职情况进行综合评价，给出总得分9</w:t>
      </w:r>
      <w:r>
        <w:rPr>
          <w:rFonts w:hint="eastAsia" w:ascii="仿宋_GB2312" w:hAnsi="仿宋_GB2312" w:eastAsia="仿宋_GB2312"/>
          <w:color w:val="000000"/>
          <w:sz w:val="32"/>
          <w:lang w:val="en-US" w:eastAsia="zh-CN"/>
        </w:rPr>
        <w:t>5</w:t>
      </w:r>
      <w:r>
        <w:rPr>
          <w:rFonts w:hint="eastAsia" w:ascii="仿宋_GB2312" w:hAnsi="仿宋_GB2312" w:eastAsia="仿宋_GB2312"/>
          <w:color w:val="000000"/>
          <w:sz w:val="32"/>
        </w:rPr>
        <w:t>分，综合绩效评价等级为优秀。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2"/>
          <w:sz w:val="32"/>
          <w:szCs w:val="32"/>
        </w:rPr>
      </w:pPr>
      <w:r>
        <w:rPr>
          <w:rFonts w:hint="eastAsia" w:ascii="仿宋" w:hAnsi="仿宋" w:eastAsia="仿宋" w:cs="仿宋"/>
          <w:kern w:val="2"/>
          <w:sz w:val="32"/>
          <w:szCs w:val="32"/>
        </w:rPr>
        <w:t>一是提高认识。我单位部分人员对绩效管理认识不足，下一</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textAlignment w:val="auto"/>
        <w:rPr>
          <w:rFonts w:hint="eastAsia" w:ascii="仿宋" w:hAnsi="仿宋" w:eastAsia="仿宋" w:cs="仿宋"/>
          <w:kern w:val="2"/>
          <w:sz w:val="32"/>
          <w:szCs w:val="32"/>
        </w:rPr>
      </w:pPr>
      <w:r>
        <w:rPr>
          <w:rFonts w:hint="eastAsia" w:ascii="仿宋" w:hAnsi="仿宋" w:eastAsia="仿宋" w:cs="仿宋"/>
          <w:kern w:val="2"/>
          <w:sz w:val="32"/>
          <w:szCs w:val="32"/>
          <w:lang w:eastAsia="zh-CN"/>
        </w:rPr>
        <w:t>步</w:t>
      </w:r>
      <w:r>
        <w:rPr>
          <w:rFonts w:hint="eastAsia" w:ascii="仿宋" w:hAnsi="仿宋" w:eastAsia="仿宋" w:cs="仿宋"/>
          <w:kern w:val="2"/>
          <w:sz w:val="32"/>
          <w:szCs w:val="32"/>
        </w:rPr>
        <w:t>提高大家对绩效自评的认识。</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2"/>
          <w:sz w:val="32"/>
          <w:szCs w:val="32"/>
        </w:rPr>
      </w:pPr>
      <w:r>
        <w:rPr>
          <w:rFonts w:hint="eastAsia" w:ascii="仿宋" w:hAnsi="仿宋" w:eastAsia="仿宋" w:cs="仿宋"/>
          <w:kern w:val="2"/>
          <w:sz w:val="32"/>
          <w:szCs w:val="32"/>
        </w:rPr>
        <w:t>二是科学设置绩效指标。克服运用一些共性指标，针对不同项目设置个性化、实效化指标，使绩效管理更加合理化。</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2"/>
          <w:sz w:val="32"/>
          <w:szCs w:val="32"/>
          <w:lang w:eastAsia="zh-CN"/>
        </w:rPr>
      </w:pPr>
      <w:r>
        <w:rPr>
          <w:rFonts w:hint="eastAsia" w:ascii="仿宋" w:hAnsi="仿宋" w:eastAsia="仿宋" w:cs="仿宋"/>
          <w:kern w:val="2"/>
          <w:sz w:val="32"/>
          <w:szCs w:val="32"/>
          <w:lang w:eastAsia="zh-CN"/>
        </w:rPr>
        <w:t>三是充分运用绩效评价结果。通过自评，认真梳理全年工作，合理安排资金及完成时限，使预算更加趋于合理。</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2"/>
          <w:sz w:val="32"/>
          <w:szCs w:val="32"/>
          <w:lang w:eastAsia="zh-CN"/>
        </w:rPr>
      </w:pPr>
      <w:r>
        <w:rPr>
          <w:rFonts w:hint="eastAsia" w:ascii="仿宋" w:hAnsi="仿宋" w:eastAsia="仿宋" w:cs="仿宋"/>
          <w:kern w:val="2"/>
          <w:sz w:val="32"/>
          <w:szCs w:val="32"/>
          <w:lang w:eastAsia="zh-CN"/>
        </w:rPr>
        <w:t>四是通过绩效评价，促进工作计划、预算编制的制度化，科学化建设，促进实现绩效目标的积极性。</w:t>
      </w:r>
    </w:p>
    <w:p>
      <w:pPr>
        <w:keepNext w:val="0"/>
        <w:keepLines w:val="0"/>
        <w:pageBreakBefore w:val="0"/>
        <w:widowControl w:val="0"/>
        <w:numPr>
          <w:ilvl w:val="0"/>
          <w:numId w:val="3"/>
        </w:numPr>
        <w:pBdr>
          <w:bottom w:val="single" w:color="FFFFFF" w:sz="4" w:space="31"/>
        </w:pBd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rPr>
        <w:t>评价工作组人员名单及签字</w:t>
      </w:r>
    </w:p>
    <w:tbl>
      <w:tblPr>
        <w:tblStyle w:val="6"/>
        <w:tblW w:w="67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9"/>
        <w:gridCol w:w="3657"/>
        <w:gridCol w:w="20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99" w:type="dxa"/>
            <w:vAlign w:val="top"/>
          </w:tcPr>
          <w:p>
            <w:pPr>
              <w:autoSpaceDE w:val="0"/>
              <w:spacing w:line="360" w:lineRule="auto"/>
              <w:jc w:val="center"/>
              <w:rPr>
                <w:vertAlign w:val="baseline"/>
              </w:rPr>
            </w:pPr>
            <w:r>
              <w:rPr>
                <w:rFonts w:hint="eastAsia" w:ascii="仿宋_GB2312" w:hAnsi="仿宋" w:eastAsia="仿宋_GB2312"/>
                <w:b/>
                <w:bCs/>
                <w:sz w:val="32"/>
                <w:szCs w:val="32"/>
                <w:vertAlign w:val="baseline"/>
                <w:lang w:eastAsia="zh-CN"/>
              </w:rPr>
              <w:t>姓名</w:t>
            </w:r>
          </w:p>
        </w:tc>
        <w:tc>
          <w:tcPr>
            <w:tcW w:w="3657" w:type="dxa"/>
            <w:vAlign w:val="top"/>
          </w:tcPr>
          <w:p>
            <w:pPr>
              <w:autoSpaceDE w:val="0"/>
              <w:spacing w:line="360" w:lineRule="auto"/>
              <w:jc w:val="center"/>
              <w:rPr>
                <w:vertAlign w:val="baseline"/>
              </w:rPr>
            </w:pPr>
            <w:r>
              <w:rPr>
                <w:rFonts w:hint="eastAsia" w:ascii="仿宋_GB2312" w:hAnsi="仿宋" w:eastAsia="仿宋_GB2312"/>
                <w:b/>
                <w:bCs/>
                <w:sz w:val="32"/>
                <w:szCs w:val="32"/>
                <w:vertAlign w:val="baseline"/>
                <w:lang w:eastAsia="zh-CN"/>
              </w:rPr>
              <w:t>工作单位</w:t>
            </w:r>
          </w:p>
        </w:tc>
        <w:tc>
          <w:tcPr>
            <w:tcW w:w="2062" w:type="dxa"/>
            <w:vAlign w:val="top"/>
          </w:tcPr>
          <w:p>
            <w:pPr>
              <w:autoSpaceDE w:val="0"/>
              <w:spacing w:line="360" w:lineRule="auto"/>
              <w:jc w:val="center"/>
              <w:rPr>
                <w:vertAlign w:val="baseline"/>
              </w:rPr>
            </w:pPr>
            <w:r>
              <w:rPr>
                <w:rFonts w:hint="eastAsia" w:ascii="仿宋_GB2312" w:hAnsi="仿宋" w:eastAsia="仿宋_GB2312"/>
                <w:b/>
                <w:bCs/>
                <w:sz w:val="32"/>
                <w:szCs w:val="32"/>
                <w:vertAlign w:val="baseline"/>
                <w:lang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999"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textAlignment w:val="auto"/>
              <w:rPr>
                <w:rFonts w:hint="eastAsia" w:ascii="仿宋_GB2312" w:hAnsi="仿宋" w:eastAsia="仿宋_GB2312"/>
                <w:sz w:val="24"/>
                <w:szCs w:val="24"/>
                <w:vertAlign w:val="baseline"/>
                <w:lang w:eastAsia="zh-CN"/>
              </w:rPr>
            </w:pPr>
            <w:r>
              <w:rPr>
                <w:rFonts w:hint="eastAsia" w:ascii="仿宋_GB2312" w:hAnsi="仿宋" w:eastAsia="仿宋_GB2312"/>
                <w:sz w:val="24"/>
                <w:szCs w:val="24"/>
                <w:vertAlign w:val="baseline"/>
                <w:lang w:eastAsia="zh-CN"/>
              </w:rPr>
              <w:t>孟</w:t>
            </w:r>
            <w:r>
              <w:rPr>
                <w:rFonts w:hint="eastAsia" w:ascii="仿宋_GB2312" w:hAnsi="仿宋" w:eastAsia="仿宋_GB2312"/>
                <w:sz w:val="24"/>
                <w:szCs w:val="24"/>
                <w:vertAlign w:val="baseline"/>
                <w:lang w:val="en-US" w:eastAsia="zh-CN"/>
              </w:rPr>
              <w:t xml:space="preserve">  </w:t>
            </w:r>
            <w:r>
              <w:rPr>
                <w:rFonts w:hint="eastAsia" w:ascii="仿宋_GB2312" w:hAnsi="仿宋" w:eastAsia="仿宋_GB2312"/>
                <w:sz w:val="24"/>
                <w:szCs w:val="24"/>
                <w:vertAlign w:val="baseline"/>
                <w:lang w:eastAsia="zh-CN"/>
              </w:rPr>
              <w:t>硕</w:t>
            </w:r>
          </w:p>
        </w:tc>
        <w:tc>
          <w:tcPr>
            <w:tcW w:w="3657"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textAlignment w:val="auto"/>
              <w:rPr>
                <w:vertAlign w:val="baseline"/>
              </w:rPr>
            </w:pPr>
            <w:r>
              <w:rPr>
                <w:rFonts w:hint="eastAsia" w:ascii="仿宋_GB2312" w:hAnsi="仿宋" w:eastAsia="仿宋_GB2312"/>
                <w:sz w:val="24"/>
                <w:szCs w:val="24"/>
                <w:vertAlign w:val="baseline"/>
                <w:lang w:eastAsia="zh-CN"/>
              </w:rPr>
              <w:t>石家庄市人民政府外事办公室</w:t>
            </w:r>
          </w:p>
        </w:tc>
        <w:tc>
          <w:tcPr>
            <w:tcW w:w="2062"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textAlignment w:val="auto"/>
              <w:rPr>
                <w:rFonts w:hint="eastAsia" w:ascii="仿宋_GB2312" w:hAnsi="仿宋" w:eastAsia="仿宋_GB2312"/>
                <w:sz w:val="24"/>
                <w:szCs w:val="24"/>
                <w:vertAlign w:val="baseline"/>
                <w:lang w:eastAsia="zh-CN"/>
              </w:rPr>
            </w:pPr>
            <w:r>
              <w:rPr>
                <w:rFonts w:hint="eastAsia" w:ascii="仿宋_GB2312" w:hAnsi="仿宋" w:eastAsia="仿宋_GB2312"/>
                <w:sz w:val="24"/>
                <w:szCs w:val="24"/>
                <w:vertAlign w:val="baseline"/>
                <w:lang w:eastAsia="zh-CN"/>
              </w:rPr>
              <w:t>副主任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999"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textAlignment w:val="auto"/>
              <w:rPr>
                <w:rFonts w:hint="eastAsia" w:ascii="仿宋_GB2312" w:hAnsi="仿宋" w:eastAsia="仿宋_GB2312"/>
                <w:sz w:val="24"/>
                <w:szCs w:val="24"/>
                <w:vertAlign w:val="baseline"/>
                <w:lang w:eastAsia="zh-CN"/>
              </w:rPr>
            </w:pPr>
            <w:r>
              <w:rPr>
                <w:rFonts w:hint="eastAsia" w:ascii="仿宋_GB2312" w:hAnsi="仿宋" w:eastAsia="仿宋_GB2312"/>
                <w:sz w:val="24"/>
                <w:szCs w:val="24"/>
                <w:vertAlign w:val="baseline"/>
                <w:lang w:eastAsia="zh-CN"/>
              </w:rPr>
              <w:t>齐军平</w:t>
            </w:r>
          </w:p>
        </w:tc>
        <w:tc>
          <w:tcPr>
            <w:tcW w:w="3657"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textAlignment w:val="auto"/>
              <w:rPr>
                <w:vertAlign w:val="baseline"/>
              </w:rPr>
            </w:pPr>
            <w:r>
              <w:rPr>
                <w:rFonts w:hint="eastAsia" w:ascii="仿宋_GB2312" w:hAnsi="仿宋" w:eastAsia="仿宋_GB2312"/>
                <w:sz w:val="24"/>
                <w:szCs w:val="24"/>
                <w:vertAlign w:val="baseline"/>
                <w:lang w:eastAsia="zh-CN"/>
              </w:rPr>
              <w:t>石家庄市人民政府外事办公室</w:t>
            </w:r>
          </w:p>
        </w:tc>
        <w:tc>
          <w:tcPr>
            <w:tcW w:w="2062"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textAlignment w:val="auto"/>
              <w:rPr>
                <w:rFonts w:hint="eastAsia" w:ascii="仿宋_GB2312" w:hAnsi="仿宋" w:eastAsia="仿宋_GB2312"/>
                <w:sz w:val="24"/>
                <w:szCs w:val="24"/>
                <w:vertAlign w:val="baseline"/>
                <w:lang w:val="en-US" w:eastAsia="zh-CN"/>
              </w:rPr>
            </w:pPr>
            <w:r>
              <w:rPr>
                <w:rFonts w:hint="eastAsia" w:ascii="仿宋_GB2312" w:hAnsi="仿宋" w:eastAsia="仿宋_GB2312"/>
                <w:sz w:val="24"/>
                <w:szCs w:val="24"/>
                <w:vertAlign w:val="baseline"/>
                <w:lang w:eastAsia="zh-CN"/>
              </w:rPr>
              <w:t>综合科科长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999"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textAlignment w:val="auto"/>
              <w:rPr>
                <w:rFonts w:hint="eastAsia" w:ascii="仿宋_GB2312" w:hAnsi="仿宋" w:eastAsia="仿宋_GB2312"/>
                <w:sz w:val="24"/>
                <w:szCs w:val="24"/>
                <w:vertAlign w:val="baseline"/>
                <w:lang w:eastAsia="zh-CN"/>
              </w:rPr>
            </w:pPr>
            <w:r>
              <w:rPr>
                <w:rFonts w:hint="eastAsia" w:ascii="仿宋_GB2312" w:hAnsi="仿宋" w:eastAsia="仿宋_GB2312"/>
                <w:sz w:val="24"/>
                <w:szCs w:val="24"/>
                <w:vertAlign w:val="baseline"/>
                <w:lang w:eastAsia="zh-CN"/>
              </w:rPr>
              <w:t>梁</w:t>
            </w:r>
            <w:r>
              <w:rPr>
                <w:rFonts w:hint="eastAsia" w:ascii="仿宋_GB2312" w:hAnsi="仿宋" w:eastAsia="仿宋_GB2312"/>
                <w:sz w:val="24"/>
                <w:szCs w:val="24"/>
                <w:vertAlign w:val="baseline"/>
                <w:lang w:val="en-US" w:eastAsia="zh-CN"/>
              </w:rPr>
              <w:t xml:space="preserve">  </w:t>
            </w:r>
            <w:r>
              <w:rPr>
                <w:rFonts w:hint="eastAsia" w:ascii="仿宋_GB2312" w:hAnsi="仿宋" w:eastAsia="仿宋_GB2312"/>
                <w:sz w:val="24"/>
                <w:szCs w:val="24"/>
                <w:vertAlign w:val="baseline"/>
                <w:lang w:eastAsia="zh-CN"/>
              </w:rPr>
              <w:t>永</w:t>
            </w:r>
          </w:p>
        </w:tc>
        <w:tc>
          <w:tcPr>
            <w:tcW w:w="3657"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textAlignment w:val="auto"/>
              <w:rPr>
                <w:rFonts w:hint="eastAsia" w:eastAsia="宋体"/>
                <w:vertAlign w:val="baseline"/>
                <w:lang w:eastAsia="zh-CN"/>
              </w:rPr>
            </w:pPr>
            <w:r>
              <w:rPr>
                <w:rFonts w:hint="eastAsia" w:ascii="仿宋" w:hAnsi="仿宋" w:eastAsia="仿宋" w:cs="仿宋"/>
                <w:vertAlign w:val="baseline"/>
                <w:lang w:eastAsia="zh-CN"/>
              </w:rPr>
              <w:t>石家庄市人民政府外事办公室</w:t>
            </w:r>
          </w:p>
        </w:tc>
        <w:tc>
          <w:tcPr>
            <w:tcW w:w="2062"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textAlignment w:val="auto"/>
              <w:rPr>
                <w:rFonts w:hint="eastAsia" w:ascii="仿宋_GB2312" w:hAnsi="仿宋" w:eastAsia="仿宋_GB2312"/>
                <w:sz w:val="24"/>
                <w:szCs w:val="24"/>
                <w:vertAlign w:val="baseline"/>
                <w:lang w:eastAsia="zh-CN"/>
              </w:rPr>
            </w:pPr>
            <w:r>
              <w:rPr>
                <w:rFonts w:hint="eastAsia" w:ascii="仿宋_GB2312" w:hAnsi="仿宋" w:eastAsia="仿宋_GB2312"/>
                <w:sz w:val="24"/>
                <w:szCs w:val="24"/>
                <w:vertAlign w:val="baseline"/>
                <w:lang w:eastAsia="zh-CN"/>
              </w:rPr>
              <w:t>纪检专职副书记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999"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textAlignment w:val="auto"/>
              <w:rPr>
                <w:rFonts w:hint="eastAsia" w:ascii="仿宋_GB2312" w:hAnsi="仿宋" w:eastAsia="仿宋_GB2312"/>
                <w:sz w:val="24"/>
                <w:szCs w:val="24"/>
                <w:vertAlign w:val="baseline"/>
                <w:lang w:eastAsia="zh-CN"/>
              </w:rPr>
            </w:pPr>
            <w:r>
              <w:rPr>
                <w:rFonts w:hint="eastAsia" w:ascii="仿宋_GB2312" w:hAnsi="仿宋" w:eastAsia="仿宋_GB2312"/>
                <w:sz w:val="24"/>
                <w:szCs w:val="24"/>
                <w:vertAlign w:val="baseline"/>
                <w:lang w:eastAsia="zh-CN"/>
              </w:rPr>
              <w:t>王文红</w:t>
            </w:r>
          </w:p>
        </w:tc>
        <w:tc>
          <w:tcPr>
            <w:tcW w:w="3657"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textAlignment w:val="auto"/>
              <w:rPr>
                <w:rFonts w:hint="eastAsia" w:ascii="仿宋_GB2312" w:hAnsi="仿宋" w:eastAsia="仿宋_GB2312"/>
                <w:sz w:val="24"/>
                <w:szCs w:val="24"/>
                <w:vertAlign w:val="baseline"/>
                <w:lang w:eastAsia="zh-CN"/>
              </w:rPr>
            </w:pPr>
            <w:r>
              <w:rPr>
                <w:rFonts w:hint="eastAsia" w:ascii="仿宋_GB2312" w:hAnsi="仿宋" w:eastAsia="仿宋_GB2312"/>
                <w:sz w:val="24"/>
                <w:szCs w:val="24"/>
                <w:vertAlign w:val="baseline"/>
                <w:lang w:eastAsia="zh-CN"/>
              </w:rPr>
              <w:t>石家庄市人民政府外事办公室</w:t>
            </w:r>
          </w:p>
        </w:tc>
        <w:tc>
          <w:tcPr>
            <w:tcW w:w="2062"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textAlignment w:val="auto"/>
              <w:rPr>
                <w:rFonts w:hint="eastAsia" w:ascii="仿宋_GB2312" w:hAnsi="仿宋" w:eastAsia="仿宋_GB2312"/>
                <w:sz w:val="24"/>
                <w:szCs w:val="24"/>
                <w:vertAlign w:val="baseline"/>
                <w:lang w:eastAsia="zh-CN"/>
              </w:rPr>
            </w:pPr>
            <w:r>
              <w:rPr>
                <w:rFonts w:hint="eastAsia" w:ascii="仿宋_GB2312" w:hAnsi="仿宋" w:eastAsia="仿宋_GB2312"/>
                <w:sz w:val="24"/>
                <w:szCs w:val="24"/>
                <w:vertAlign w:val="baseline"/>
                <w:lang w:eastAsia="zh-CN"/>
              </w:rPr>
              <w:t>科员</w:t>
            </w:r>
          </w:p>
        </w:tc>
      </w:tr>
    </w:tbl>
    <w:p>
      <w:pPr>
        <w:pStyle w:val="2"/>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楷体_GB2312">
    <w:altName w:val="楷体"/>
    <w:panose1 w:val="00000000000000000000"/>
    <w:charset w:val="86"/>
    <w:family w:val="auto"/>
    <w:pitch w:val="default"/>
    <w:sig w:usb0="00000000" w:usb1="00000000" w:usb2="00000000" w:usb3="00000000" w:csb0="00040000" w:csb1="00000000"/>
  </w:font>
  <w:font w:name="方正仿宋_GBK">
    <w:altName w:val="微软雅黑"/>
    <w:panose1 w:val="00000000000000000000"/>
    <w:charset w:val="00"/>
    <w:family w:val="auto"/>
    <w:pitch w:val="default"/>
    <w:sig w:usb0="00000000" w:usb1="00000000" w:usb2="00000000"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2451369"/>
    <w:multiLevelType w:val="singleLevel"/>
    <w:tmpl w:val="62451369"/>
    <w:lvl w:ilvl="0" w:tentative="0">
      <w:start w:val="6"/>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2U1M2RjMjU5MWQ1NjY0N2E5Njg0OGE3MTM5YzMyMWQ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66177A4"/>
    <w:rsid w:val="1AAF0063"/>
    <w:rsid w:val="1BE140DE"/>
    <w:rsid w:val="248C197D"/>
    <w:rsid w:val="252959AF"/>
    <w:rsid w:val="277A6671"/>
    <w:rsid w:val="292D35B7"/>
    <w:rsid w:val="33EB6CFF"/>
    <w:rsid w:val="35A12947"/>
    <w:rsid w:val="37387040"/>
    <w:rsid w:val="39584F9F"/>
    <w:rsid w:val="3B296A79"/>
    <w:rsid w:val="3B625C0A"/>
    <w:rsid w:val="3CEE1963"/>
    <w:rsid w:val="4BB47013"/>
    <w:rsid w:val="4C9C27FE"/>
    <w:rsid w:val="4D7C737D"/>
    <w:rsid w:val="512260B4"/>
    <w:rsid w:val="52BD6ACB"/>
    <w:rsid w:val="55537534"/>
    <w:rsid w:val="561A74F1"/>
    <w:rsid w:val="597244E8"/>
    <w:rsid w:val="5DFB54B1"/>
    <w:rsid w:val="5EB71C30"/>
    <w:rsid w:val="62F229CC"/>
    <w:rsid w:val="66AF0CE5"/>
    <w:rsid w:val="6AC537CF"/>
    <w:rsid w:val="6E5B14A6"/>
    <w:rsid w:val="711B255E"/>
    <w:rsid w:val="761F023A"/>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autoRedefine/>
    <w:unhideWhenUsed/>
    <w:qFormat/>
    <w:uiPriority w:val="0"/>
    <w:pPr>
      <w:keepNext/>
      <w:keepLines/>
      <w:spacing w:before="260" w:after="260" w:line="416" w:lineRule="auto"/>
      <w:outlineLvl w:val="1"/>
    </w:pPr>
    <w:rPr>
      <w:rFonts w:ascii="Cambria" w:hAnsi="Cambria" w:eastAsia="楷体_GB2312"/>
      <w:b/>
      <w:bCs/>
      <w:sz w:val="32"/>
      <w:szCs w:val="32"/>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6">
    <w:name w:val="Table Grid"/>
    <w:basedOn w:val="5"/>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2362</Words>
  <Characters>2451</Characters>
  <Lines>4</Lines>
  <Paragraphs>1</Paragraphs>
  <TotalTime>195</TotalTime>
  <ScaleCrop>false</ScaleCrop>
  <LinksUpToDate>false</LinksUpToDate>
  <CharactersWithSpaces>2476</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2024-05-14T08:23:53Z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4811400A1AFA478CAC04F8E1E27C9E0B</vt:lpwstr>
  </property>
</Properties>
</file>