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sz w:val="44"/>
          <w:szCs w:val="44"/>
        </w:rPr>
      </w:pPr>
      <w:r>
        <w:rPr>
          <w:rFonts w:hint="eastAsia" w:ascii="黑体" w:eastAsia="黑体"/>
          <w:sz w:val="44"/>
          <w:szCs w:val="44"/>
        </w:rPr>
        <w:t>石家庄市工业和信息化局2018年部门预算信息公开</w:t>
      </w:r>
    </w:p>
    <w:p>
      <w:pPr>
        <w:spacing w:line="400" w:lineRule="exact"/>
        <w:jc w:val="left"/>
        <w:rPr>
          <w:rFonts w:ascii="仿宋_GB2312" w:eastAsia="仿宋_GB2312"/>
          <w:sz w:val="32"/>
          <w:szCs w:val="32"/>
        </w:rPr>
      </w:pPr>
      <w:r>
        <w:rPr>
          <w:rFonts w:hint="eastAsia" w:ascii="仿宋_GB2312" w:eastAsia="仿宋_GB2312"/>
          <w:sz w:val="32"/>
          <w:szCs w:val="32"/>
        </w:rPr>
        <w:t xml:space="preserve">   </w:t>
      </w:r>
    </w:p>
    <w:p>
      <w:pPr>
        <w:spacing w:line="540" w:lineRule="exact"/>
        <w:ind w:firstLine="645"/>
        <w:jc w:val="left"/>
        <w:rPr>
          <w:rFonts w:ascii="仿宋_GB2312" w:eastAsia="仿宋_GB2312"/>
          <w:sz w:val="32"/>
          <w:szCs w:val="32"/>
        </w:rPr>
      </w:pPr>
      <w:r>
        <w:rPr>
          <w:rFonts w:hint="eastAsia" w:ascii="仿宋_GB2312" w:eastAsia="仿宋_GB2312"/>
          <w:sz w:val="32"/>
          <w:szCs w:val="32"/>
        </w:rPr>
        <w:t>按照《</w:t>
      </w:r>
      <w:r>
        <w:rPr>
          <w:rFonts w:hint="default" w:ascii="仿宋_GB2312" w:eastAsia="仿宋_GB2312"/>
          <w:sz w:val="32"/>
          <w:szCs w:val="32"/>
        </w:rPr>
        <w:t>中华人民共和国</w:t>
      </w:r>
      <w:r>
        <w:rPr>
          <w:rFonts w:hint="eastAsia" w:ascii="仿宋_GB2312" w:eastAsia="仿宋_GB2312"/>
          <w:sz w:val="32"/>
          <w:szCs w:val="32"/>
        </w:rPr>
        <w:t>预算法》、《地方预决算公开操作规程》和《河北省省级预算公开办法》规定，现将石家庄市工业和信息化局2018年部门预算公开如下：</w:t>
      </w:r>
    </w:p>
    <w:p>
      <w:pPr>
        <w:pStyle w:val="6"/>
        <w:spacing w:line="540" w:lineRule="exact"/>
        <w:ind w:firstLine="0" w:firstLineChars="0"/>
        <w:jc w:val="left"/>
        <w:rPr>
          <w:rFonts w:ascii="仿宋_GB2312" w:eastAsia="仿宋_GB2312"/>
          <w:sz w:val="32"/>
          <w:szCs w:val="32"/>
        </w:rPr>
      </w:pPr>
      <w:r>
        <w:rPr>
          <w:rFonts w:hint="eastAsia" w:ascii="仿宋_GB2312" w:eastAsia="仿宋_GB2312"/>
          <w:sz w:val="32"/>
          <w:szCs w:val="32"/>
        </w:rPr>
        <w:t xml:space="preserve">    </w:t>
      </w:r>
      <w:r>
        <w:rPr>
          <w:rFonts w:hint="eastAsia" w:ascii="黑体" w:hAnsi="黑体" w:eastAsia="黑体" w:cs="黑体"/>
          <w:sz w:val="32"/>
          <w:szCs w:val="32"/>
        </w:rPr>
        <w:t>一、部门职责及机构设置情况</w:t>
      </w:r>
    </w:p>
    <w:p>
      <w:pPr>
        <w:spacing w:line="540" w:lineRule="exact"/>
        <w:ind w:left="645"/>
        <w:jc w:val="left"/>
        <w:rPr>
          <w:rFonts w:ascii="仿宋_GB2312" w:eastAsia="仿宋_GB2312"/>
          <w:sz w:val="32"/>
          <w:szCs w:val="32"/>
        </w:rPr>
      </w:pPr>
      <w:r>
        <w:rPr>
          <w:rFonts w:hint="eastAsia" w:ascii="仿宋_GB2312" w:eastAsia="仿宋_GB2312"/>
          <w:sz w:val="32"/>
          <w:szCs w:val="32"/>
        </w:rPr>
        <w:t>部门职责：</w:t>
      </w:r>
    </w:p>
    <w:p>
      <w:pPr>
        <w:widowControl/>
        <w:spacing w:line="540" w:lineRule="exact"/>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 xml:space="preserve">    （一）提出全市新型工业化发展战略和政策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协调解决新型工业化进程中的重大问题</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推进产业结构战略性调整和优化升级，推进信息化和工业化融合，促进民营经济发展。</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（二）制订并组织实施全市工业行业和信息化规划、计划和产业政策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提出优化产业布局、结构的政策建议</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推进现代产业体系建设</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起草地方性法规、规章草案</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组织实施行业技术规范和标准</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指导行业质量管理工作；协调推进工业系统名牌战略工作。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（三）监测、分析全市工业运行态势</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统计并发布相关信息</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进行预测预警和信息引导</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协调解决行业运行发展中的有关问题并提出政策建议</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负责工业应急管理、产业安全和国防动员有关工作；负责市医药储备管理的有关工作。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四）负责提出全市工业和信息化固定资产投资规模和方向（含利用外资和境外投资）、国家和省、市财政性建设资金安排的意见；按市政府规定权限审批、核准、审核、申报国家和省、市规划内及年度计划规模内固定资产投资项目。</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五）负责对全市中小企业和民营经济的宏观指导、综合协调，会同有关部门拟订全市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六）拟订和组织实施中小企业发展专项资金年度计划和固定资产投资计划，提出市级中小企业发展专项资金年度预算建议，实施对专项企业专项资金使用的监督检查；指导县（市）、区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系，引导各类中介组织为中小企业提供服务。</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（七）贯彻国家政策和标准</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拟订高技术产业中涉及生物医药、新材料、信息产业的规划和标准并组织实施</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指导行业技术创新和技术进步</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以先进适用技术改造提升传统产业</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组织实施有关国家、省、市科技重大专项</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推进相关科研成果产业化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推动全市软件业、信息服务业和新兴产业发展。</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（八）承担全市振兴装备制造业、原材料工业、消费品工业、电子信息产业等行业的组织协调责任</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贯彻执行国家、省、市重大技术装备发展和自主创新规划、政策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依托国家、省、市重点工程建设，协调有关重大专项的实施</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推进重大技术装备国产化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指导引进重大技术装备的消化创新。</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九）根据国家和省有关政策，会同有关部门做好煤、电、油、气及交通运输调度工作；负责煤炭经营资格、黄金开采和生产资格的审核、申报工作。负责全市电力行业管理和行政执法；负责电力年度供需平衡、资源配置和电力需求侧管理工作；承担市政府“三电”办公室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（十）拟订并组织实施全市工业能源节约和资源综合利用、清洁生产促进政策</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参与拟订能源节约和资源综合利用、清洁生产促进规划</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组织协调相关重大示范工程和新产品、新技术、新设备、新材料的推广应用。</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（十一）推进全市工业体制改革和管理创新</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提高行业综合素质和核心竞争力</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指导相关行业加强安全生产管理。</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（十二）统筹推进全市信息化工作</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组织拟订相关政策并协调信息化建设中的重大问题</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促进电信、广播电视和计算机网络融合</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指导协调电子政务发展</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推动跨行业、跨部门的互联互通和重要信息资源的开发利用、共享；协调通信机构，按照上级有关规定依法实施监管，维护公平竞争，保障普遍服务，保障国家和用户利益。</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（十三）负责协调维护全市信息安全和信息安全保障体系建设</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指导监督政府部门、重点行业重要信息系统与基础信息网络的安全保障工作</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参与协调处理信息安全重大事件</w:t>
      </w:r>
      <w:r>
        <w:rPr>
          <w:rFonts w:hint="eastAsia" w:ascii="仿宋_GB2312" w:hAnsi="宋体" w:eastAsia="仿宋_GB2312" w:cs="宋体"/>
          <w:color w:val="000000"/>
          <w:kern w:val="0"/>
          <w:sz w:val="32"/>
          <w:szCs w:val="32"/>
        </w:rPr>
        <w:t>,</w:t>
      </w:r>
      <w:r>
        <w:rPr>
          <w:rFonts w:hint="eastAsia" w:ascii="仿宋_GB2312" w:hAnsi="Calibri" w:eastAsia="仿宋_GB2312" w:cs="宋体"/>
          <w:color w:val="000000"/>
          <w:kern w:val="0"/>
          <w:sz w:val="32"/>
          <w:szCs w:val="32"/>
        </w:rPr>
        <w:t>承担跨部门、跨地区和重要时期的信息安全应急协调工作；承担国防信息动员方面的工作。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（十四）组织开展工业、信息化的对外合作与交流，会同有关部门组织开展工业和信息化利用外资工作。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（十五）承担履行《禁止化学武器公约》的组织协调工作；民爆器材行业生产流通的监督管理和安全生产工作；协调军工企业有关工作。</w:t>
      </w:r>
    </w:p>
    <w:p>
      <w:pPr>
        <w:widowControl/>
        <w:spacing w:line="540" w:lineRule="exact"/>
        <w:ind w:firstLine="640" w:firstLineChars="200"/>
        <w:jc w:val="left"/>
        <w:rPr>
          <w:rFonts w:ascii="仿宋_GB2312" w:hAnsi="Calibri" w:eastAsia="仿宋_GB2312" w:cs="Times New Roman"/>
          <w:sz w:val="32"/>
          <w:szCs w:val="32"/>
        </w:rPr>
      </w:pPr>
      <w:r>
        <w:rPr>
          <w:rFonts w:hint="eastAsia" w:ascii="仿宋_GB2312" w:hAnsi="Calibri" w:eastAsia="仿宋_GB2312" w:cs="宋体"/>
          <w:color w:val="000000"/>
          <w:kern w:val="0"/>
          <w:sz w:val="32"/>
          <w:szCs w:val="32"/>
        </w:rPr>
        <w:t>（十六）负责二轻集体联社资产的经营和管理。</w:t>
      </w:r>
    </w:p>
    <w:p>
      <w:pPr>
        <w:widowControl/>
        <w:spacing w:line="540" w:lineRule="exact"/>
        <w:ind w:firstLine="640" w:firstLineChars="200"/>
        <w:jc w:val="left"/>
        <w:rPr>
          <w:rFonts w:ascii="仿宋_GB2312" w:hAnsi="Calibri" w:eastAsia="仿宋_GB2312" w:cs="宋体"/>
          <w:color w:val="000000"/>
          <w:kern w:val="0"/>
          <w:sz w:val="32"/>
          <w:szCs w:val="32"/>
        </w:rPr>
      </w:pPr>
      <w:r>
        <w:rPr>
          <w:rFonts w:hint="eastAsia" w:ascii="仿宋_GB2312" w:hAnsi="Calibri" w:eastAsia="仿宋_GB2312" w:cs="宋体"/>
          <w:color w:val="000000"/>
          <w:kern w:val="0"/>
          <w:sz w:val="32"/>
          <w:szCs w:val="32"/>
        </w:rPr>
        <w:t>（十七）承办市政府交办的其他事项。</w:t>
      </w:r>
    </w:p>
    <w:p>
      <w:pPr>
        <w:widowControl/>
        <w:spacing w:line="540" w:lineRule="exact"/>
        <w:ind w:firstLine="640" w:firstLineChars="200"/>
        <w:jc w:val="left"/>
        <w:rPr>
          <w:rFonts w:ascii="仿宋_GB2312" w:hAnsi="Calibri" w:eastAsia="仿宋_GB2312" w:cs="宋体"/>
          <w:color w:val="000000"/>
          <w:kern w:val="0"/>
          <w:sz w:val="32"/>
          <w:szCs w:val="32"/>
        </w:rPr>
      </w:pPr>
      <w:r>
        <w:rPr>
          <w:rFonts w:hint="eastAsia" w:ascii="仿宋_GB2312" w:hAnsi="Calibri" w:eastAsia="仿宋_GB2312" w:cs="宋体"/>
          <w:color w:val="000000"/>
          <w:kern w:val="0"/>
          <w:sz w:val="32"/>
          <w:szCs w:val="32"/>
        </w:rPr>
        <w:t>石家庄市工业和信息化局根据工作需要，设有办公室、政策法规处、规划发展处、科技与节能综合利用处、运行监测协调处、原材料工业处、装备与电子工业处、消费品工业处、两化融合处、资金协调服务处、中小企业处、集体企业管理办公室、对外经济技术协作处、安全生产管理处、人事处、直属单位党委、老干部处、中小企业服务中心等内设机构。</w:t>
      </w:r>
    </w:p>
    <w:p>
      <w:pPr>
        <w:spacing w:line="540" w:lineRule="exact"/>
        <w:ind w:left="645"/>
        <w:jc w:val="left"/>
        <w:rPr>
          <w:rFonts w:ascii="仿宋_GB2312" w:eastAsia="仿宋_GB2312"/>
          <w:b/>
          <w:sz w:val="32"/>
          <w:szCs w:val="32"/>
        </w:rPr>
      </w:pPr>
      <w:r>
        <w:rPr>
          <w:rFonts w:hint="eastAsia" w:ascii="仿宋_GB2312" w:eastAsia="仿宋_GB2312"/>
          <w:b/>
          <w:sz w:val="32"/>
          <w:szCs w:val="32"/>
        </w:rPr>
        <w:t>机构设置：</w:t>
      </w:r>
    </w:p>
    <w:p>
      <w:pPr>
        <w:widowControl/>
        <w:tabs>
          <w:tab w:val="left" w:pos="9704"/>
        </w:tabs>
        <w:spacing w:line="540" w:lineRule="exact"/>
        <w:ind w:firstLine="640" w:firstLineChars="200"/>
        <w:jc w:val="left"/>
        <w:rPr>
          <w:rFonts w:ascii="仿宋_GB2312" w:hAnsi="Calibri" w:eastAsia="仿宋_GB2312" w:cs="宋体"/>
          <w:color w:val="000000"/>
          <w:kern w:val="0"/>
          <w:sz w:val="32"/>
          <w:szCs w:val="32"/>
        </w:rPr>
      </w:pPr>
      <w:r>
        <w:rPr>
          <w:rFonts w:hint="eastAsia" w:ascii="仿宋_GB2312" w:hAnsi="Calibri" w:eastAsia="仿宋_GB2312" w:cs="宋体"/>
          <w:color w:val="000000"/>
          <w:kern w:val="0"/>
          <w:sz w:val="32"/>
          <w:szCs w:val="32"/>
        </w:rPr>
        <w:t>石家庄市工业和信息化局为一级预算单位，没有下属单位。</w:t>
      </w:r>
      <w:r>
        <w:rPr>
          <w:rFonts w:ascii="仿宋_GB2312" w:hAnsi="Calibri" w:eastAsia="仿宋_GB2312" w:cs="宋体"/>
          <w:color w:val="000000"/>
          <w:kern w:val="0"/>
          <w:sz w:val="32"/>
          <w:szCs w:val="32"/>
        </w:rPr>
        <w:tab/>
      </w:r>
    </w:p>
    <w:p>
      <w:pPr>
        <w:jc w:val="center"/>
        <w:outlineLvl w:val="0"/>
        <w:rPr>
          <w:rFonts w:ascii="方正小标宋_GBK" w:hAnsi="Calibri" w:eastAsia="方正小标宋_GBK" w:cs="Times New Roman"/>
          <w:sz w:val="32"/>
        </w:rPr>
      </w:pPr>
      <w:r>
        <w:rPr>
          <w:rFonts w:hint="eastAsia" w:ascii="方正小标宋_GBK" w:hAnsi="Calibri" w:eastAsia="方正小标宋_GBK" w:cs="Times New Roman"/>
          <w:sz w:val="32"/>
        </w:rPr>
        <w:t>部门基本情况表</w:t>
      </w:r>
    </w:p>
    <w:tbl>
      <w:tblPr>
        <w:tblStyle w:val="4"/>
        <w:tblW w:w="111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89"/>
        <w:gridCol w:w="1432"/>
        <w:gridCol w:w="1845"/>
        <w:gridCol w:w="385"/>
        <w:gridCol w:w="2990"/>
        <w:gridCol w:w="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17" w:type="dxa"/>
          <w:trHeight w:val="227" w:hRule="atLeast"/>
          <w:tblHeader/>
          <w:jc w:val="center"/>
        </w:trPr>
        <w:tc>
          <w:tcPr>
            <w:tcW w:w="7351" w:type="dxa"/>
            <w:gridSpan w:val="4"/>
            <w:tcBorders>
              <w:top w:val="single" w:color="FFFFFF" w:sz="6" w:space="0"/>
              <w:left w:val="single" w:color="FFFFFF" w:sz="6" w:space="0"/>
              <w:right w:val="single" w:color="FFFFFF" w:sz="6" w:space="0"/>
            </w:tcBorders>
            <w:vAlign w:val="center"/>
          </w:tcPr>
          <w:p>
            <w:pPr>
              <w:spacing w:line="300" w:lineRule="exact"/>
              <w:jc w:val="left"/>
              <w:rPr>
                <w:rFonts w:ascii="方正小标宋_GBK" w:hAnsi="Calibri" w:eastAsia="方正小标宋_GBK" w:cs="Times New Roman"/>
                <w:sz w:val="24"/>
              </w:rPr>
            </w:pPr>
          </w:p>
        </w:tc>
        <w:tc>
          <w:tcPr>
            <w:tcW w:w="2990" w:type="dxa"/>
            <w:tcBorders>
              <w:top w:val="single" w:color="FFFFFF" w:sz="6" w:space="0"/>
              <w:left w:val="single" w:color="FFFFFF" w:sz="6" w:space="0"/>
              <w:right w:val="single" w:color="FFFFFF" w:sz="6" w:space="0"/>
            </w:tcBorders>
            <w:vAlign w:val="center"/>
          </w:tcPr>
          <w:p>
            <w:pPr>
              <w:spacing w:line="300" w:lineRule="exact"/>
              <w:jc w:val="right"/>
              <w:rPr>
                <w:rFonts w:ascii="方正小标宋_GBK" w:hAnsi="Calibri" w:eastAsia="方正小标宋_GBK" w:cs="Times New Roman"/>
                <w:sz w:val="24"/>
              </w:rPr>
            </w:pPr>
            <w:r>
              <w:rPr>
                <w:rFonts w:hint="eastAsia" w:ascii="方正小标宋_GBK" w:hAnsi="Calibri" w:eastAsia="方正小标宋_GBK" w:cs="Times New Roman"/>
                <w:sz w:val="24"/>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689" w:type="dxa"/>
            <w:vMerge w:val="restart"/>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单位名称</w:t>
            </w:r>
          </w:p>
        </w:tc>
        <w:tc>
          <w:tcPr>
            <w:tcW w:w="1432" w:type="dxa"/>
            <w:vMerge w:val="restart"/>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单位性质</w:t>
            </w:r>
          </w:p>
        </w:tc>
        <w:tc>
          <w:tcPr>
            <w:tcW w:w="1845" w:type="dxa"/>
            <w:vMerge w:val="restart"/>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单位规格</w:t>
            </w:r>
          </w:p>
        </w:tc>
        <w:tc>
          <w:tcPr>
            <w:tcW w:w="4192" w:type="dxa"/>
            <w:gridSpan w:val="3"/>
            <w:vMerge w:val="restart"/>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689" w:type="dxa"/>
            <w:vMerge w:val="continue"/>
            <w:vAlign w:val="center"/>
          </w:tcPr>
          <w:p>
            <w:pPr>
              <w:spacing w:line="300" w:lineRule="exact"/>
              <w:jc w:val="left"/>
              <w:outlineLvl w:val="0"/>
              <w:rPr>
                <w:rFonts w:ascii="Calibri" w:hAnsi="Calibri" w:eastAsia="宋体" w:cs="Times New Roman"/>
              </w:rPr>
            </w:pPr>
          </w:p>
        </w:tc>
        <w:tc>
          <w:tcPr>
            <w:tcW w:w="1432" w:type="dxa"/>
            <w:vMerge w:val="continue"/>
            <w:vAlign w:val="center"/>
          </w:tcPr>
          <w:p>
            <w:pPr>
              <w:spacing w:line="300" w:lineRule="exact"/>
              <w:jc w:val="left"/>
              <w:outlineLvl w:val="0"/>
              <w:rPr>
                <w:rFonts w:ascii="Calibri" w:hAnsi="Calibri" w:eastAsia="宋体" w:cs="Times New Roman"/>
              </w:rPr>
            </w:pPr>
          </w:p>
        </w:tc>
        <w:tc>
          <w:tcPr>
            <w:tcW w:w="1845" w:type="dxa"/>
            <w:vMerge w:val="continue"/>
            <w:vAlign w:val="center"/>
          </w:tcPr>
          <w:p>
            <w:pPr>
              <w:spacing w:line="300" w:lineRule="exact"/>
              <w:jc w:val="left"/>
              <w:outlineLvl w:val="0"/>
              <w:rPr>
                <w:rFonts w:ascii="Calibri" w:hAnsi="Calibri" w:eastAsia="宋体" w:cs="Times New Roman"/>
              </w:rPr>
            </w:pPr>
          </w:p>
        </w:tc>
        <w:tc>
          <w:tcPr>
            <w:tcW w:w="4192" w:type="dxa"/>
            <w:gridSpan w:val="3"/>
            <w:vMerge w:val="continue"/>
            <w:vAlign w:val="center"/>
          </w:tcPr>
          <w:p>
            <w:pPr>
              <w:spacing w:line="300" w:lineRule="exact"/>
              <w:jc w:val="left"/>
              <w:outlineLvl w:val="0"/>
              <w:rPr>
                <w:rFonts w:ascii="Calibri" w:hAnsi="Calibri" w:eastAsia="宋体"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3689" w:type="dxa"/>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石家庄市工信局</w:t>
            </w:r>
          </w:p>
        </w:tc>
        <w:tc>
          <w:tcPr>
            <w:tcW w:w="1432" w:type="dxa"/>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行政</w:t>
            </w:r>
          </w:p>
        </w:tc>
        <w:tc>
          <w:tcPr>
            <w:tcW w:w="1845" w:type="dxa"/>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正处级</w:t>
            </w:r>
          </w:p>
        </w:tc>
        <w:tc>
          <w:tcPr>
            <w:tcW w:w="4192" w:type="dxa"/>
            <w:gridSpan w:val="3"/>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财政拨款</w:t>
            </w:r>
          </w:p>
        </w:tc>
      </w:tr>
    </w:tbl>
    <w:p>
      <w:pPr>
        <w:pStyle w:val="6"/>
        <w:spacing w:line="560" w:lineRule="exact"/>
        <w:ind w:left="710" w:firstLine="0" w:firstLineChars="0"/>
        <w:jc w:val="left"/>
        <w:rPr>
          <w:rFonts w:ascii="仿宋_GB2312" w:eastAsia="仿宋_GB2312"/>
          <w:sz w:val="32"/>
          <w:szCs w:val="32"/>
        </w:rPr>
      </w:pPr>
      <w:r>
        <w:rPr>
          <w:rFonts w:hint="eastAsia" w:ascii="黑体" w:hAnsi="黑体" w:eastAsia="黑体" w:cs="黑体"/>
          <w:sz w:val="32"/>
          <w:szCs w:val="32"/>
        </w:rPr>
        <w:t>二、部门预算安排的总体情况</w:t>
      </w:r>
    </w:p>
    <w:p>
      <w:pPr>
        <w:spacing w:line="560" w:lineRule="exact"/>
        <w:ind w:firstLine="643" w:firstLineChars="201"/>
        <w:jc w:val="left"/>
        <w:rPr>
          <w:rFonts w:ascii="仿宋_GB2312" w:eastAsia="仿宋_GB2312"/>
          <w:sz w:val="32"/>
          <w:szCs w:val="32"/>
        </w:rPr>
      </w:pPr>
      <w:r>
        <w:rPr>
          <w:rFonts w:hint="eastAsia" w:ascii="仿宋_GB2312" w:eastAsia="仿宋_GB2312"/>
          <w:sz w:val="32"/>
          <w:szCs w:val="32"/>
        </w:rPr>
        <w:t>按照预算管理有关规定，目前我市部门预算的编制实行综合预算制度，即全部收入和支出都反映在预算中。石家庄市工业和信息化局机关的收支包含在部门预算中。</w:t>
      </w:r>
    </w:p>
    <w:p>
      <w:pPr>
        <w:pStyle w:val="6"/>
        <w:spacing w:line="560" w:lineRule="exact"/>
        <w:ind w:firstLine="0" w:firstLineChars="0"/>
        <w:jc w:val="left"/>
        <w:rPr>
          <w:rFonts w:ascii="仿宋_GB2312" w:eastAsia="仿宋_GB2312"/>
          <w:sz w:val="32"/>
          <w:szCs w:val="32"/>
        </w:rPr>
      </w:pPr>
      <w:r>
        <w:rPr>
          <w:rFonts w:hint="eastAsia" w:ascii="仿宋_GB2312" w:eastAsia="仿宋_GB2312"/>
          <w:sz w:val="32"/>
          <w:szCs w:val="32"/>
        </w:rPr>
        <w:t xml:space="preserve">    1.收入说明</w:t>
      </w:r>
    </w:p>
    <w:p>
      <w:pPr>
        <w:spacing w:line="560" w:lineRule="exact"/>
        <w:ind w:firstLine="566" w:firstLineChars="177"/>
        <w:jc w:val="left"/>
        <w:rPr>
          <w:rFonts w:ascii="仿宋_GB2312" w:eastAsia="仿宋_GB2312"/>
          <w:sz w:val="32"/>
          <w:szCs w:val="32"/>
        </w:rPr>
      </w:pPr>
      <w:r>
        <w:rPr>
          <w:rFonts w:hint="eastAsia" w:ascii="仿宋_GB2312" w:eastAsia="仿宋_GB2312"/>
          <w:sz w:val="32"/>
          <w:szCs w:val="32"/>
        </w:rPr>
        <w:t>反映本部门当年全部收入。2018年预算收入5001.08万元，其中，一般公共预算收入5001.08万元，基金预算收入0万元，财政专户核拨收入0万元，其他来源收入 0万元。</w:t>
      </w:r>
    </w:p>
    <w:p>
      <w:pPr>
        <w:pStyle w:val="6"/>
        <w:spacing w:line="560" w:lineRule="exact"/>
        <w:ind w:left="643" w:firstLine="0" w:firstLineChars="0"/>
        <w:jc w:val="left"/>
        <w:rPr>
          <w:rFonts w:ascii="仿宋_GB2312" w:eastAsia="仿宋_GB2312"/>
          <w:sz w:val="32"/>
          <w:szCs w:val="32"/>
        </w:rPr>
      </w:pPr>
      <w:r>
        <w:rPr>
          <w:rFonts w:hint="eastAsia" w:ascii="仿宋_GB2312" w:eastAsia="仿宋_GB2312"/>
          <w:sz w:val="32"/>
          <w:szCs w:val="32"/>
        </w:rPr>
        <w:t>2.支出说明</w:t>
      </w:r>
    </w:p>
    <w:p>
      <w:pPr>
        <w:spacing w:line="560" w:lineRule="exact"/>
        <w:ind w:firstLine="640" w:firstLineChars="200"/>
        <w:jc w:val="left"/>
        <w:rPr>
          <w:rFonts w:ascii="仿宋_GB2312" w:eastAsia="仿宋_GB2312"/>
          <w:sz w:val="32"/>
          <w:szCs w:val="32"/>
        </w:rPr>
      </w:pPr>
      <w:r>
        <w:rPr>
          <w:rFonts w:hint="eastAsia" w:ascii="仿宋_GB2312" w:eastAsia="仿宋_GB2312"/>
          <w:sz w:val="32"/>
          <w:szCs w:val="32"/>
        </w:rPr>
        <w:t>收支预算总表支出栏、基本支出表、项目支出表按经济分类和支出功能分类科目编制，反映石家庄市工业和信息化局年度部门预算中支出预算的总体情况。2018年支出预算5001.08万元，其中基本支出3270.58万元，包括人员经费2931.56万元和日常公用经费339.02万元；项目支出1730.50万元，包括本级支出585.50万元和对下补助支出1145万元，主要为市主城区公共场所免费wifi检测费、新增规下转规上企业奖励资金、中小企业名牌产品奖励资金、研发机构认定工作经费、国家级小微企业创业创新示范基地奖励、市级小微企业创业创新示范基地奖励等。</w:t>
      </w:r>
    </w:p>
    <w:p>
      <w:pPr>
        <w:pStyle w:val="6"/>
        <w:spacing w:line="560" w:lineRule="exact"/>
        <w:ind w:left="643" w:firstLine="0" w:firstLineChars="0"/>
        <w:jc w:val="left"/>
        <w:rPr>
          <w:rFonts w:ascii="仿宋_GB2312" w:eastAsia="仿宋_GB2312"/>
          <w:sz w:val="32"/>
          <w:szCs w:val="32"/>
        </w:rPr>
      </w:pPr>
      <w:r>
        <w:rPr>
          <w:rFonts w:hint="eastAsia" w:ascii="仿宋_GB2312" w:eastAsia="仿宋_GB2312"/>
          <w:sz w:val="32"/>
          <w:szCs w:val="32"/>
        </w:rPr>
        <w:t>3.比上年增减情况</w:t>
      </w:r>
    </w:p>
    <w:p>
      <w:pPr>
        <w:spacing w:line="560" w:lineRule="exact"/>
        <w:ind w:firstLine="707" w:firstLineChars="221"/>
        <w:jc w:val="left"/>
        <w:rPr>
          <w:rFonts w:ascii="仿宋_GB2312" w:eastAsia="仿宋_GB2312"/>
          <w:sz w:val="32"/>
          <w:szCs w:val="32"/>
        </w:rPr>
      </w:pPr>
      <w:r>
        <w:rPr>
          <w:rFonts w:hint="eastAsia" w:ascii="仿宋_GB2312" w:eastAsia="仿宋_GB2312"/>
          <w:sz w:val="32"/>
          <w:szCs w:val="32"/>
        </w:rPr>
        <w:t>2018年预算收支安排5001.08万元，较2017年预算减少4599.34万元，其中：基本支出减少505.62万元，主要为减少人员经费支出，原因是退休人员工资由社保局发放，我局不再做预算。项目支出减少4093.72万元，其中本级支出减少1132.50万元，主要为虹桥基金不再做预算。对下补助资金减少2961.22万元，主要为中央财政提前通知转移支付资金的减少。</w:t>
      </w:r>
    </w:p>
    <w:p>
      <w:pPr>
        <w:pStyle w:val="6"/>
        <w:spacing w:line="560" w:lineRule="exact"/>
        <w:ind w:left="710" w:firstLine="0" w:firstLineChars="0"/>
        <w:jc w:val="left"/>
        <w:rPr>
          <w:rFonts w:ascii="黑体" w:hAnsi="黑体" w:eastAsia="黑体" w:cs="黑体"/>
          <w:sz w:val="32"/>
          <w:szCs w:val="32"/>
        </w:rPr>
      </w:pPr>
      <w:r>
        <w:rPr>
          <w:rFonts w:hint="eastAsia" w:ascii="黑体" w:hAnsi="黑体" w:eastAsia="黑体" w:cs="黑体"/>
          <w:sz w:val="32"/>
          <w:szCs w:val="32"/>
        </w:rPr>
        <w:t>三、机关运行经费安排情况</w:t>
      </w:r>
    </w:p>
    <w:p>
      <w:pPr>
        <w:autoSpaceDE w:val="0"/>
        <w:autoSpaceDN w:val="0"/>
        <w:adjustRightInd w:val="0"/>
        <w:spacing w:line="560" w:lineRule="exact"/>
        <w:ind w:left="198" w:firstLine="640" w:firstLineChars="200"/>
        <w:jc w:val="left"/>
        <w:rPr>
          <w:rFonts w:ascii="仿宋_GB2312" w:hAnsi="Times New Roman" w:eastAsia="仿宋_GB2312" w:cs="Times New Roman"/>
          <w:sz w:val="32"/>
          <w:szCs w:val="32"/>
        </w:rPr>
      </w:pPr>
      <w:r>
        <w:rPr>
          <w:rFonts w:hint="eastAsia" w:ascii="仿宋_GB2312" w:eastAsia="仿宋_GB2312"/>
          <w:sz w:val="32"/>
          <w:szCs w:val="32"/>
        </w:rPr>
        <w:t>2018年，我局机关运行经费共计安排101.01万元。</w:t>
      </w:r>
      <w:r>
        <w:rPr>
          <w:rFonts w:hint="eastAsia" w:ascii="仿宋_GB2312" w:hAnsi="Times New Roman" w:eastAsia="仿宋_GB2312" w:cs="Times New Roman"/>
          <w:sz w:val="32"/>
          <w:szCs w:val="32"/>
        </w:rPr>
        <w:t>主要用于办公及印刷费、邮电费、差旅费、会议费、福利费、日常维修费、一般设备购置费、公务用车运行维护费以及其他费用等日常运行支出。</w:t>
      </w:r>
    </w:p>
    <w:p>
      <w:pPr>
        <w:pStyle w:val="6"/>
        <w:autoSpaceDE w:val="0"/>
        <w:autoSpaceDN w:val="0"/>
        <w:adjustRightInd w:val="0"/>
        <w:spacing w:line="560" w:lineRule="exact"/>
        <w:ind w:left="710" w:firstLine="0" w:firstLineChars="0"/>
        <w:jc w:val="left"/>
        <w:rPr>
          <w:rFonts w:ascii="黑体" w:hAnsi="黑体" w:eastAsia="黑体" w:cs="黑体"/>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spacing w:line="560" w:lineRule="exact"/>
        <w:ind w:left="141" w:leftChars="67" w:firstLine="707" w:firstLineChars="221"/>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2018年我局财政拨款“三公”经费预算安排29.39万元，其中因公出国（境）费0万元；公务用车购置及运维费27万元（其中：公务用车购置费为0万元，公务用车运维费27万元）；公务接待费2.39万元。与2017年相比减少了22.80万元，主要原因是公务用车购置及运维费预算减少（其中：公务用车购置费为0，与去年持平，无增减变化。公务用车运维费减少22.80万元）。因公出国（境）费和公务接待费与去年相比持平，无增减变化。</w:t>
      </w:r>
    </w:p>
    <w:p>
      <w:pPr>
        <w:pStyle w:val="6"/>
        <w:autoSpaceDE w:val="0"/>
        <w:autoSpaceDN w:val="0"/>
        <w:adjustRightInd w:val="0"/>
        <w:spacing w:line="560" w:lineRule="exact"/>
        <w:ind w:left="710" w:firstLine="0" w:firstLineChars="0"/>
        <w:jc w:val="left"/>
        <w:rPr>
          <w:rFonts w:ascii="黑体" w:hAnsi="黑体" w:eastAsia="黑体" w:cs="黑体"/>
          <w:sz w:val="32"/>
          <w:szCs w:val="32"/>
        </w:rPr>
      </w:pPr>
      <w:r>
        <w:rPr>
          <w:rFonts w:hint="eastAsia" w:ascii="黑体" w:hAnsi="黑体" w:eastAsia="黑体" w:cs="黑体"/>
          <w:sz w:val="32"/>
          <w:szCs w:val="32"/>
        </w:rPr>
        <w:t>五、绩效预算信息</w:t>
      </w:r>
    </w:p>
    <w:p>
      <w:pPr>
        <w:autoSpaceDE w:val="0"/>
        <w:autoSpaceDN w:val="0"/>
        <w:adjustRightInd w:val="0"/>
        <w:spacing w:line="560" w:lineRule="exact"/>
        <w:ind w:left="71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总体绩效目标：</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2018年，以</w:t>
      </w:r>
      <w:r>
        <w:rPr>
          <w:rFonts w:hint="default" w:ascii="仿宋_GB2312" w:eastAsia="仿宋_GB2312"/>
          <w:sz w:val="32"/>
          <w:szCs w:val="32"/>
        </w:rPr>
        <w:t>党的</w:t>
      </w:r>
      <w:r>
        <w:rPr>
          <w:rFonts w:hint="eastAsia" w:ascii="仿宋_GB2312" w:eastAsia="仿宋_GB2312"/>
          <w:sz w:val="32"/>
          <w:szCs w:val="32"/>
        </w:rPr>
        <w:t>十九大精神为统领，按照市委十届四次全会部署和要求，以供给侧结构性改革为主线，坚持高质量发展，围绕构建“4+4”产业发展格局，推进工业转型升级、结构优化，大力培育战略性新兴产业，优化提升传统产业，推动互联网、大数据、人工智能和工业实体经济深度融合，推进工业向智能、绿色、低碳发展。</w:t>
      </w:r>
    </w:p>
    <w:p>
      <w:pPr>
        <w:spacing w:line="560" w:lineRule="exact"/>
        <w:ind w:firstLine="642" w:firstLineChars="200"/>
        <w:rPr>
          <w:rFonts w:hint="eastAsia" w:ascii="仿宋_GB2312" w:hAnsi="楷体" w:eastAsia="仿宋_GB2312" w:cs="楷体"/>
          <w:b/>
          <w:sz w:val="32"/>
          <w:szCs w:val="32"/>
        </w:rPr>
      </w:pPr>
      <w:r>
        <w:rPr>
          <w:rFonts w:hint="eastAsia" w:ascii="仿宋_GB2312" w:hAnsi="楷体" w:eastAsia="仿宋_GB2312" w:cs="楷体"/>
          <w:b/>
          <w:sz w:val="32"/>
          <w:szCs w:val="32"/>
        </w:rPr>
        <w:t>职责分类绩效目标：</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（一）抓运行和帮扶，稳增长促发展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抓好工业运行监测分析和协调调度。适当配套激励措施，建立有效机制，结合省工信厅“统计监测和信息管理平台”建设，推动建立工信系统重点企业监测平台。做好年度目标的年初任务分解、日常协调调度、季度指标通报、重点座谈调研等工作，有针对性地适时组织召开县市区调度会、重点企业座谈会，全力推动年度主要工业目标任务的完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2.积极培育新增规上企业。分解任务，明确目标，落实责任，建立台账，按季度做好摸底，加强对年主营业务收入1000万元以上重点企业的监测和培育，确保全年完成新增100家规上企业的目标任务。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3.深化重点企业联系帮扶。创新工作机制，推动“河北企业精准服务系统”在我市上线运行，加强对重点优势企业的帮扶和培育，促进企业健康持续发展。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努力减轻企业负担。按照全省开展优化营商环境集中整治行动要求，进一步加大减负工作力度，加强涉企收费检查督导，严格规范收费行为，深入治理各项不合理保证金。加强企业负担监督员的指导和培训，增强减负队伍人员素质。</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（二）推进结构调整，加快增长动能转变</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积极争列省重点技改项目，争取省技改专项资金支持。技改投资力争完成1000亿元以上，滚动实施重点技改项目100项以上，围绕构建“4+4”产业发展格局，通过抓工业企业技术改造，努力提升传统产业改造升级，不断提高我市工业发展的质量和后劲，加快工业企业转型升级步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2.积极创建省级工业转型升级示范县市区，问计省厅，大力支持推荐经开区申报国家级新型工业化产业示范基地。</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协调推进高端生物医药产业集聚区建设。支持一批创新药品器械研发、成果转化和产业化、创新平台、医药物流等重点项目。围绕智慧健康养老、康复辅具器具、高性能医疗器械、养生健康食品等重点产业（板块），推进养老及康复辅助器具产业发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深入贯彻落实产业政策，促进电子信息产业稳定增长。以加快工业转型升级、调整优化产业结构为主线，抓好产业链建设，利用我市良好产业基础和布局优势，促进产业发展，西部以石家庄（鹿泉）信息产业基地为依托，东部以高新技术产业开发区为核心，培育壮大卫星导航、电力电子、集成电路等新的增长点，做大做强通信、半导体照明、电子材料等产业，培育特色优势产品，完善延伸产业链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用足用好国家、省有关促进企业发展政策，推动装备制造业向高端化迈进。加快我市新能源汽车产业发展，强力推进中博汽车产业园、奇瑞石家庄新能源汽车、中车石家庄新能源汽车产业基地、精进电动年产50万台新能源汽车驱动总成及储能系统、德澳科技新能源汽车电机基地等重点项目建设，促进项目早建成、早投产、早达效。</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6.深入推进“增品种、提品质、创品牌”战略。支持服装纺织品、轻工等重点行业，推动传统产业优化升级，大力发展时尚产品，建设一批消费品工业个性化定制和创新示范服务平台，帮助企业搭建品牌推广和技术交流平台。协调推进高邑县承接雄安新区新三台鞋业小镇（产业基地）等重点项目建设，培育一批时尚、特色、环保加工基地。</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7.发挥优势，强化服务，推进国防科技工业军民融合深度发展。充分发挥我市军民结合产业发展的优势，大力发展导航通信、通用航空、轨道交通、专用装备等优势产业，着力提高产业化能力和水平，培育形成新的经济增长点。大力提升民企参军能力，引导企业进入军工科研和生产领域，积极参与武器装备预研、承制任务。鼓励先进军工技术成果转化，扩大军工技术成果在高新技术和战略性新兴产业方面的推广应用。</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（三）扶助中小企业，壮大民营经济</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持续推动民营经济发展。推动民营经济政策落地，促进民营经济上规模上水平，力争2018年民营经济增加值保持在7%增长。定期完成民营经济统计报表和运行分析报告，加强对中小企业的运行监测，及时掌握动态信息。</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2.做好中小企业专精特新培育工作。在前两期培育专精特新中小企业的基础上，继续加大培育力度，并积极向省厅推荐我市专精特新企业，最大限度争取对我市“专精特新”企业的支持。</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3.继续培育中小企业公共服务平台。大力推进中小企业公共服务平台发展，完善其功能，发挥其作用。通过线上线下为中小企业提供找得着、用得起、有保障、公益性的服务。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促进我市融资担保行业规范发展。发展政府支持的融资担保公司，鼓励有条件的县（市、区）政府出资设立融资担保机构，在2017年已经设立2家的基础上，争取2018年再设立1家；同时本着减量增质、做精做强的原则，淘汰未开展融资担保业务的机构,撤销违法经营的机构。</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推进政府出资的融资担保机构在银行的入围工作。推动建立政府、银行业金融机构、融资担保公司合作机制，探索建立风险分担机制，对主要为小微企业和“三农”服务的融资担保公司提供财政支持。推动工业稳定发展基金的运行。</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6.做好银企对接工作。与北京银行石家庄分行开展战略合作，在未来三年内，为我市工业企业和中小微企业及重点项目提供50亿元的意向性综合融资额度；举办针对高精新特类企业的银企对接；分行业类别举办1-2次银企对接活动；分区域举办1-2次银企对接活动。</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（四）推进两化深度融合，助推企业转型升级</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1.强化两化融合培训工作。积极组织规上企业参加“互联网+”制造业、先进制造业等两化融合专题培训会议，逐步提升企业对互联网、大数据、人工智能与实体经济深度融合的认知水平。</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做好国家智能制造标准化及新模式应用、智能制造试点示范、省智能工厂、数字化车间和智能制造示范（园）区认定、首台（套）重大技术装备保险等政策的落实，最大限度地争取国家、省政策资金的支持，促进企业更好更快发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争列国家、省试点示范。积极培育我市工业云与工业大数据、制造业与互联网融合发展等两化融合方面重点项目，引导基础好的企业在个性化定制、集成化应用、网络化协同等方面做出示范做出表率，带动提升全市工业企业数字化、网络化、智能化应用水平。</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继续开展两化融合贯标和整体性评估。引导行业重点企业积极申报工信部两化融合贯标试点企业，推动贯标试点企业有序开展本质贯标；持续组织规上工业企业开展两化融合整体性评估，引导企业查找不足、对标先进，提升企业核心竞争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5.提升规上企业网络安全防护能力。加大《防护指南》和《应急工作指南》宣传培训力度，提高规上企业的网络安全认识水平，积极推动企业开展工业控制系统信息安全防护工作。</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（五）深化创新驱动，增强竞争能力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1.积极推进研发机构建设。将省有关协会认定的企业研发机构统一纳入省级研发机构名单，优化认定流程，加快申报和认定速度，积极申请研发机构建设工作经费，委托第三方机构开展研发机构认定。</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积极推进企业技术创新工作。不断提高新产品新技术开发数量和水平，积极争列2018年河北省工业新产品新技术开发指导计划。抓好技术创新示范企业培育，组织企业申报国家技术创新示范企业和河北省技术创新示范企业。做好省制造业创新中心培育、建设推荐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3.积极推动工业质量品牌建设工作。 组织各县市区做好工业质量品牌建设工作，引导企业实施品牌战略，开展品牌培育工作，提高产品质量，总结管理经验，积极向省工信厅推荐省中小企业名牌产品和质量标杆管理经验。</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培育认定一批“双创”基地。举办一期基地创业辅导师培训班，培育一批“市级小型微型企业创业创新示范基地”，拟认定能够起到示范引领作用基地4-5家。按照省厅要求，配合市财政局认真做好“双创”示范城市的最终考核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全面开展工业设计工作。推进《石家庄市促进工业设计产业发展的政策措施》的出台，大力引进国内外工业设计机构，支持企业建设工业设计中心，鼓励企业购买工业设计服务。开展对接活动，评选石家庄市十大优秀工业设计产品。</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（六）坚持内引外联，推动开放发展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1.继续依照“推进京津冀协同发展”国家战略，利用雄安新区建设的重大机遇，积极争取省工信厅的指导和支持，做好京津产业转移平台搭建工作。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2.组织好以“5·18”为主的各类展会活动。全力协调、组织好我市企业，积极参加省内外举办的各类产品展销会、博览会和洽谈会等活动。全力协助有关部门办好中国首届数字经济博览会。</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以“一带一路”为统领，积极开展国际产能合作和招商引资工作。认真做好我市与中东欧国家全面合作等其他活动工作。按照局招商引资方案，开展分行业、分处室的招商引资活动，力争取得成效。积极协调相关市直部门，联合组织针对性强的优势产业招商和小团组招商活动。与晋州市进行资源整合，信息共享，实现外出招商终端对接，增大优势，拓宽招商领域。通过举办投资研讨会、项目推介会或参加域外商品展销会、交易会等“政府搭台，企业唱戏”形式，进行招商洽谈，吸引外来资金。</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（七）实施绿色发展，维护生态环境</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1.加大新能源汽车发展和推广应用工作力度，促进我市新能源汽车发展和推广应用工作再上新台阶，确保完成2018年省下达我市推广任务。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2.以水泥、焦炭为重点，大力化解过剩产能，确保全面完成省、市下达目标任务。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3.统筹做好错峰生产和错峰运输相关工作。督导县市区落实工作方案，严格执行局内错峰生产工作机制，认真做好半月报，全力推动错峰生产和错峰运输工作落到实处。</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积极推进绿色制造体系创建工作。以市场化驱动为主，激发企业绿色发展的内生动力。发挥政府引导作用，优化企业绿色发展的政策环境，加强公共服务资源建设，在实施监管的同时做好服务。组织相关企业，积极开展绿色制造创建工作，并及时申报国家、省绿色制造项目，争取上级资金支持。</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5.继续做好对市政府部署给我局的各项大气污染防治工作。</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（八）抓好机关建设，增强履职能力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1.认真组织学习党的十九大精神，</w:t>
      </w:r>
      <w:r>
        <w:rPr>
          <w:rFonts w:hint="eastAsia" w:ascii="仿宋_GB2312" w:eastAsia="仿宋_GB2312"/>
          <w:sz w:val="32"/>
          <w:szCs w:val="32"/>
          <w:lang w:eastAsia="zh-CN"/>
        </w:rPr>
        <w:t>落实全面</w:t>
      </w:r>
      <w:r>
        <w:rPr>
          <w:rFonts w:hint="eastAsia" w:ascii="仿宋_GB2312" w:eastAsia="仿宋_GB2312"/>
          <w:sz w:val="32"/>
          <w:szCs w:val="32"/>
        </w:rPr>
        <w:t>从严治党要求，紧密团结在以习近平同志为核心的党中央围绕，切实增强全体党员的政治意识、大局意识，核心意识、看齐意识，为率先在全省全面建成小康社会提供坚强思想政治保证。</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紧紧围绕市委、市政府和局党组中心工作，以创新、协调、绿色、开放、共享发展理念为引领，牢牢把握“服务中心，建设队伍”两大任务，抓好党员思想教育，引导广大党员践行社会主义核心价值观，不断增强党的先进性和纯洁性。</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3.按照党的十九大报告中“持之以恒</w:t>
      </w:r>
      <w:r>
        <w:rPr>
          <w:rFonts w:hint="eastAsia" w:ascii="仿宋_GB2312" w:eastAsia="仿宋_GB2312"/>
          <w:sz w:val="32"/>
          <w:szCs w:val="32"/>
          <w:lang w:eastAsia="zh-CN"/>
        </w:rPr>
        <w:t>正风肃纪</w:t>
      </w:r>
      <w:r>
        <w:rPr>
          <w:rFonts w:hint="eastAsia" w:ascii="仿宋_GB2312" w:eastAsia="仿宋_GB2312"/>
          <w:sz w:val="32"/>
          <w:szCs w:val="32"/>
        </w:rPr>
        <w:t>、夺取反腐败斗争压倒性胜利”的要求，开展党性党风党纪和廉洁从政教育，强化对党风廉政和反腐败宣传教育,加强廉政文化建设，提高党员干部的纪律观念和规矩意识，加强对重点岗位的监控，坚持日常工作纪律作风定期督查机制，搞好监督检查，着力抓好突出问题整治。　</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4.大力推进依法行政示范机关。按照“七五”普法规划、《党政主要负责人履行推进法治建设第一责任人职责规定》等文件要求，抓好领导学法，按照“谁执法谁普法”原则</w:t>
      </w:r>
      <w:bookmarkStart w:id="2" w:name="_GoBack"/>
      <w:bookmarkEnd w:id="2"/>
      <w:r>
        <w:rPr>
          <w:rFonts w:hint="eastAsia" w:ascii="仿宋_GB2312" w:eastAsia="仿宋_GB2312"/>
          <w:sz w:val="32"/>
          <w:szCs w:val="32"/>
        </w:rPr>
        <w:t>搞好普法宣传。认真执行行政执法三项制度，督促相关执法处室严格落实行政执法的相关制度，在工作中依法履职尽</w:t>
      </w:r>
      <w:r>
        <w:rPr>
          <w:rFonts w:hint="eastAsia" w:ascii="仿宋_GB2312" w:eastAsia="仿宋_GB2312"/>
          <w:sz w:val="32"/>
          <w:szCs w:val="32"/>
          <w:lang w:eastAsia="zh-CN"/>
        </w:rPr>
        <w:t>责</w:t>
      </w:r>
      <w:r>
        <w:rPr>
          <w:rFonts w:hint="eastAsia" w:ascii="仿宋_GB2312" w:eastAsia="仿宋_GB2312"/>
          <w:sz w:val="32"/>
          <w:szCs w:val="32"/>
        </w:rPr>
        <w:t>。及时动态调整更新河北省行政执法证件管理平台、石家庄市行政执法监督平台和局网站行政执法公示专栏，接受社会监督，确保行政执法公开透明。</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5.进一步理顺机构职能。待内设处室机构及人员到位后，结合局承担的任务变化，进一步理顺机构职能，减少职能交叉。</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6.继续加大机关干部教育培训力度，进一步提升机关干部特别是科级干部的素质能力。研究制定机关内设机构负责人及处室重要岗位轮岗制度。</w:t>
      </w:r>
    </w:p>
    <w:p>
      <w:pPr>
        <w:spacing w:line="560" w:lineRule="exact"/>
        <w:ind w:firstLine="640" w:firstLineChars="200"/>
        <w:rPr>
          <w:rFonts w:ascii="仿宋_GB2312" w:eastAsia="仿宋_GB2312"/>
          <w:sz w:val="32"/>
          <w:szCs w:val="32"/>
        </w:rPr>
      </w:pPr>
      <w:r>
        <w:rPr>
          <w:rFonts w:hint="eastAsia" w:ascii="楷体" w:hAnsi="楷体" w:eastAsia="楷体" w:cs="楷体"/>
          <w:sz w:val="32"/>
          <w:szCs w:val="32"/>
        </w:rPr>
        <w:t>（九）加强综合治理，保持安全稳</w:t>
      </w:r>
      <w:r>
        <w:rPr>
          <w:rFonts w:hint="eastAsia" w:ascii="仿宋_GB2312" w:eastAsia="仿宋_GB2312"/>
          <w:sz w:val="32"/>
          <w:szCs w:val="32"/>
        </w:rPr>
        <w:t>定</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1.完成市政府与我局签订的《安全生产目标管理责任书》、《消防安全责任状》的各项工作目标，确保责任范围内不发生较大及以上安全生产责任事故；不发生因安全责任不落实、不到位被上级部门约谈的情况。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2.做好国有企业移交工作。争取明年上半年之前，将我局乡镇企业供销公司和石家庄市电子物资器材总公司两家国有企业，按规定移交市国资委管理。</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建立健全矛盾隐患化解机制。各直属单位要承担起维护稳定的主要责任，成立矛盾隐患排查化解工作领导小组，做好本单位的矛盾隐患摸排、化解、稳控等工作，单位主要领导是信访稳定的第一责任人。全局形成合力，把矛盾纠纷化解在基层。力争年内信访工作目标达到赴省集体访零指标，北京重点地区进京个人访零指标。</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4.加强集体企业管理。根据我局集体企业规模小、效益差、遗留问题多的现象，加强集体企业管理工作，多措并举，帮助企业解决债务危机，最大限度保障职工的合法权益。</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搞好民爆、化学武器企业监管工作。以签订安全生产承诺书和落实“三项制度”为重点，继续深入落实安全生产承诺制，继续深化安全生产承诺活动，认真督促履行承诺内容，确保安全生产主体责任的落实。加强《禁止化学武器公约》宣传，切实提高企业屡约意识，监督指导监控化学品使用、生产、销售企业依法开展生产经营。</w:t>
      </w:r>
    </w:p>
    <w:p>
      <w:pPr>
        <w:jc w:val="center"/>
        <w:outlineLvl w:val="0"/>
        <w:rPr>
          <w:rFonts w:ascii="方正小标宋_GBK" w:eastAsia="方正小标宋_GBK"/>
          <w:sz w:val="32"/>
        </w:rPr>
      </w:pPr>
      <w:bookmarkStart w:id="0" w:name="_Toc504037121"/>
      <w:r>
        <w:rPr>
          <w:rFonts w:hint="eastAsia" w:ascii="方正小标宋_GBK" w:eastAsia="方正小标宋_GBK"/>
          <w:sz w:val="32"/>
        </w:rPr>
        <w:t>部门职责-工作活动绩效目标</w:t>
      </w:r>
      <w:bookmarkEnd w:id="0"/>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8"/>
        <w:gridCol w:w="1412"/>
        <w:gridCol w:w="2585"/>
        <w:gridCol w:w="2588"/>
        <w:gridCol w:w="1341"/>
        <w:gridCol w:w="1114"/>
        <w:gridCol w:w="950"/>
        <w:gridCol w:w="950"/>
        <w:gridCol w:w="12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864"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471</w:t>
            </w:r>
            <w:r>
              <w:rPr>
                <w:rFonts w:hint="eastAsia" w:ascii="方正小标宋_GBK" w:eastAsia="方正小标宋_GBK"/>
                <w:sz w:val="24"/>
              </w:rPr>
              <w:t>石家庄市工业和信息化局</w:t>
            </w:r>
          </w:p>
        </w:tc>
        <w:tc>
          <w:tcPr>
            <w:tcW w:w="4310"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38"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412"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585"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588"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41"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4310"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38" w:type="dxa"/>
            <w:vMerge w:val="continue"/>
            <w:vAlign w:val="center"/>
          </w:tcPr>
          <w:p>
            <w:pPr>
              <w:spacing w:line="300" w:lineRule="exact"/>
              <w:jc w:val="left"/>
              <w:outlineLvl w:val="0"/>
            </w:pPr>
          </w:p>
        </w:tc>
        <w:tc>
          <w:tcPr>
            <w:tcW w:w="1412" w:type="dxa"/>
            <w:vMerge w:val="continue"/>
            <w:vAlign w:val="center"/>
          </w:tcPr>
          <w:p>
            <w:pPr>
              <w:spacing w:line="300" w:lineRule="exact"/>
              <w:jc w:val="left"/>
              <w:outlineLvl w:val="0"/>
            </w:pPr>
          </w:p>
        </w:tc>
        <w:tc>
          <w:tcPr>
            <w:tcW w:w="2585" w:type="dxa"/>
            <w:vMerge w:val="continue"/>
            <w:vAlign w:val="center"/>
          </w:tcPr>
          <w:p>
            <w:pPr>
              <w:spacing w:line="300" w:lineRule="exact"/>
              <w:jc w:val="left"/>
              <w:outlineLvl w:val="0"/>
            </w:pPr>
          </w:p>
        </w:tc>
        <w:tc>
          <w:tcPr>
            <w:tcW w:w="2588" w:type="dxa"/>
            <w:vMerge w:val="continue"/>
            <w:vAlign w:val="center"/>
          </w:tcPr>
          <w:p>
            <w:pPr>
              <w:spacing w:line="300" w:lineRule="exact"/>
              <w:jc w:val="left"/>
              <w:outlineLvl w:val="0"/>
            </w:pPr>
          </w:p>
        </w:tc>
        <w:tc>
          <w:tcPr>
            <w:tcW w:w="1341" w:type="dxa"/>
            <w:vMerge w:val="continue"/>
            <w:vAlign w:val="center"/>
          </w:tcPr>
          <w:p>
            <w:pPr>
              <w:spacing w:line="300" w:lineRule="exact"/>
              <w:jc w:val="left"/>
              <w:outlineLvl w:val="0"/>
            </w:pPr>
          </w:p>
        </w:tc>
        <w:tc>
          <w:tcPr>
            <w:tcW w:w="1114"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950"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950"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1296"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7"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一、促进工业转型升级</w:t>
            </w:r>
          </w:p>
        </w:tc>
        <w:tc>
          <w:tcPr>
            <w:tcW w:w="1412" w:type="dxa"/>
            <w:vAlign w:val="center"/>
          </w:tcPr>
          <w:p>
            <w:pPr>
              <w:spacing w:line="300" w:lineRule="exact"/>
              <w:jc w:val="left"/>
              <w:rPr>
                <w:rFonts w:ascii="方正书宋_GBK" w:eastAsia="方正书宋_GBK"/>
              </w:rPr>
            </w:pPr>
            <w:r>
              <w:rPr>
                <w:rFonts w:ascii="方正书宋_GBK" w:eastAsia="方正书宋_GBK"/>
              </w:rPr>
              <w:t>1288.00</w:t>
            </w:r>
          </w:p>
        </w:tc>
        <w:tc>
          <w:tcPr>
            <w:tcW w:w="2585" w:type="dxa"/>
            <w:vAlign w:val="center"/>
          </w:tcPr>
          <w:p>
            <w:pPr>
              <w:spacing w:line="300" w:lineRule="exact"/>
              <w:jc w:val="left"/>
              <w:rPr>
                <w:rFonts w:ascii="方正书宋_GBK" w:eastAsia="方正书宋_GBK"/>
              </w:rPr>
            </w:pPr>
            <w:r>
              <w:rPr>
                <w:rFonts w:hint="eastAsia" w:ascii="方正书宋_GBK" w:eastAsia="方正书宋_GBK"/>
              </w:rPr>
              <w:t>组织制定工业和信息化发展战略、规划。组织全市工业技术改造工作，推进企业技术创新体系建设。组织协调推进企业兼并重组、淘汰落后产能和化解过剩产能、工业节能与资源综合利用工作，组织实施重大专项，推进产业结构战略性调整和优化升级，加快现代产业体系建设。监测分析全市工业运行；负责全市钢铁、石化、建材、装备、纺织、医药、轻工食品、电子信息、软件信息服务业等工业行业管理，指导并组织实施行业准入和全市企业品牌建设等。推进信息化和工业化融合。</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加大我市工业转型升级步伐，实施</w:t>
            </w:r>
            <w:r>
              <w:rPr>
                <w:rFonts w:hint="cs" w:ascii="方正书宋_GBK" w:eastAsia="方正书宋_GBK"/>
                <w:cs/>
              </w:rPr>
              <w:t>“</w:t>
            </w:r>
            <w:r>
              <w:rPr>
                <w:rFonts w:hint="eastAsia" w:ascii="方正书宋_GBK" w:eastAsia="方正书宋_GBK"/>
              </w:rPr>
              <w:t>中国制造</w:t>
            </w:r>
            <w:r>
              <w:rPr>
                <w:rFonts w:ascii="方正书宋_GBK" w:eastAsia="方正书宋_GBK"/>
              </w:rPr>
              <w:t>2025”</w:t>
            </w:r>
            <w:r>
              <w:rPr>
                <w:rFonts w:hint="eastAsia" w:ascii="方正书宋_GBK" w:eastAsia="方正书宋_GBK"/>
              </w:rPr>
              <w:t>，加快制造强市建设，提升工业发展的质量和效益。提升行业管理水平，促进行业健康发展。实施</w:t>
            </w:r>
            <w:r>
              <w:rPr>
                <w:rFonts w:hint="cs" w:ascii="方正书宋_GBK" w:eastAsia="方正书宋_GBK"/>
                <w:cs/>
              </w:rPr>
              <w:t>“</w:t>
            </w:r>
            <w:r>
              <w:rPr>
                <w:rFonts w:hint="eastAsia" w:ascii="方正书宋_GBK" w:eastAsia="方正书宋_GBK"/>
              </w:rPr>
              <w:t>互联网</w:t>
            </w:r>
            <w:r>
              <w:rPr>
                <w:rFonts w:ascii="方正书宋_GBK" w:eastAsia="方正书宋_GBK"/>
              </w:rPr>
              <w:t>+”</w:t>
            </w:r>
            <w:r>
              <w:rPr>
                <w:rFonts w:hint="eastAsia" w:ascii="方正书宋_GBK" w:eastAsia="方正书宋_GBK"/>
              </w:rPr>
              <w:t>计划，提升全市信息化建设和发展水平</w:t>
            </w:r>
          </w:p>
        </w:tc>
        <w:tc>
          <w:tcPr>
            <w:tcW w:w="1341" w:type="dxa"/>
            <w:vAlign w:val="center"/>
          </w:tcPr>
          <w:p>
            <w:pPr>
              <w:spacing w:line="300" w:lineRule="exact"/>
              <w:jc w:val="left"/>
              <w:rPr>
                <w:rFonts w:ascii="方正书宋_GBK" w:eastAsia="方正书宋_GBK"/>
              </w:rPr>
            </w:pPr>
          </w:p>
        </w:tc>
        <w:tc>
          <w:tcPr>
            <w:tcW w:w="1114"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restart"/>
            <w:vAlign w:val="center"/>
          </w:tcPr>
          <w:p>
            <w:pPr>
              <w:spacing w:line="300" w:lineRule="exact"/>
              <w:jc w:val="left"/>
              <w:rPr>
                <w:rFonts w:ascii="方正书宋_GBK" w:eastAsia="方正书宋_GBK"/>
                <w:b/>
              </w:rPr>
            </w:pPr>
            <w:r>
              <w:rPr>
                <w:rFonts w:hint="eastAsia" w:ascii="方正书宋_GBK" w:eastAsia="方正书宋_GBK"/>
                <w:b/>
              </w:rPr>
              <w:t>　　支持工业转型升级</w:t>
            </w:r>
          </w:p>
        </w:tc>
        <w:tc>
          <w:tcPr>
            <w:tcW w:w="1412" w:type="dxa"/>
            <w:vMerge w:val="restart"/>
            <w:vAlign w:val="center"/>
          </w:tcPr>
          <w:p>
            <w:pPr>
              <w:spacing w:line="300" w:lineRule="exact"/>
              <w:jc w:val="left"/>
              <w:rPr>
                <w:rFonts w:ascii="方正书宋_GBK" w:eastAsia="方正书宋_GBK"/>
              </w:rPr>
            </w:pPr>
            <w:r>
              <w:rPr>
                <w:rFonts w:ascii="方正书宋_GBK" w:eastAsia="方正书宋_GBK"/>
              </w:rPr>
              <w:t>1239.00</w:t>
            </w:r>
          </w:p>
        </w:tc>
        <w:tc>
          <w:tcPr>
            <w:tcW w:w="2585" w:type="dxa"/>
            <w:vMerge w:val="restart"/>
            <w:vAlign w:val="center"/>
          </w:tcPr>
          <w:p>
            <w:pPr>
              <w:spacing w:line="300" w:lineRule="exact"/>
              <w:jc w:val="left"/>
              <w:rPr>
                <w:rFonts w:ascii="方正书宋_GBK" w:eastAsia="方正书宋_GBK"/>
              </w:rPr>
            </w:pPr>
            <w:r>
              <w:rPr>
                <w:rFonts w:hint="eastAsia" w:ascii="方正书宋_GBK" w:eastAsia="方正书宋_GBK"/>
              </w:rPr>
              <w:t>研究提出全市新型工业和信息化发展战略和政策，支持工业技术改造，扶持企业技术创新，促进工业节能减排与资源综合利用，推进工业行业化解过剩产能、焦化治理、新能源汽车、推动企业兼并重组，指导工业设计与制造融合发展，协调推进工业强市、制造强市建设，促进装备制造业加快发展，做好工业运行监测分析、预警，组织开展工业企业对标行动，加强工业行业质量管理，实施工业行业准入、规范管理和工业标准管理，指导工业行业安全生产、负责全市民爆行业的安全生产监督管理，应急管理，促进</w:t>
            </w:r>
            <w:r>
              <w:rPr>
                <w:rFonts w:ascii="方正书宋_GBK" w:eastAsia="方正书宋_GBK"/>
              </w:rPr>
              <w:t>Wifi</w:t>
            </w:r>
            <w:r>
              <w:rPr>
                <w:rFonts w:hint="eastAsia" w:ascii="方正书宋_GBK" w:eastAsia="方正书宋_GBK"/>
              </w:rPr>
              <w:t>覆盖云计算产业发展。以及信息技术服务（</w:t>
            </w:r>
            <w:r>
              <w:rPr>
                <w:rFonts w:ascii="方正书宋_GBK" w:eastAsia="方正书宋_GBK"/>
              </w:rPr>
              <w:t>IT</w:t>
            </w:r>
          </w:p>
        </w:tc>
        <w:tc>
          <w:tcPr>
            <w:tcW w:w="2588" w:type="dxa"/>
            <w:vMerge w:val="restart"/>
            <w:vAlign w:val="center"/>
          </w:tcPr>
          <w:p>
            <w:pPr>
              <w:spacing w:line="300" w:lineRule="exact"/>
              <w:jc w:val="left"/>
              <w:rPr>
                <w:rFonts w:ascii="方正书宋_GBK" w:eastAsia="方正书宋_GBK"/>
              </w:rPr>
            </w:pPr>
            <w:r>
              <w:rPr>
                <w:rFonts w:hint="eastAsia" w:ascii="方正书宋_GBK" w:eastAsia="方正书宋_GBK"/>
              </w:rPr>
              <w:t>完善工业企业技术创新体系，提升工业企业技术创新能力。</w:t>
            </w:r>
          </w:p>
        </w:tc>
        <w:tc>
          <w:tcPr>
            <w:tcW w:w="1341" w:type="dxa"/>
            <w:vAlign w:val="center"/>
          </w:tcPr>
          <w:p>
            <w:pPr>
              <w:spacing w:line="260" w:lineRule="exact"/>
              <w:jc w:val="left"/>
              <w:rPr>
                <w:rFonts w:ascii="方正书宋_GBK" w:eastAsia="方正书宋_GBK"/>
              </w:rPr>
            </w:pPr>
            <w:r>
              <w:rPr>
                <w:rFonts w:hint="eastAsia" w:ascii="方正书宋_GBK" w:eastAsia="方正书宋_GBK"/>
              </w:rPr>
              <w:t>确保民爆行业不发生重大安全生产事故</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无事故</w:t>
            </w: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r>
              <w:rPr>
                <w:rFonts w:hint="eastAsia" w:ascii="方正书宋_GBK" w:eastAsia="方正书宋_GBK"/>
              </w:rPr>
              <w:t>有事故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安全生产责任目标落实</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完成目标任务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296"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推广应用节能环保技术及产品</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96"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规模以上工业万元增加值能耗比下降率</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96"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ascii="方正书宋_GBK" w:eastAsia="方正书宋_GBK"/>
              </w:rPr>
              <w:t>Wifi</w:t>
            </w:r>
            <w:r>
              <w:rPr>
                <w:rFonts w:hint="eastAsia" w:ascii="方正书宋_GBK" w:eastAsia="方正书宋_GBK"/>
              </w:rPr>
              <w:t>无线热点检测次数。</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示范企业、重点企业及各类试点总数</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1296" w:type="dxa"/>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工业企业对标行动开展率</w:t>
            </w:r>
          </w:p>
        </w:tc>
        <w:tc>
          <w:tcPr>
            <w:tcW w:w="1114" w:type="dxa"/>
            <w:vAlign w:val="center"/>
          </w:tcPr>
          <w:p>
            <w:pPr>
              <w:spacing w:line="300" w:lineRule="exact"/>
              <w:jc w:val="center"/>
              <w:rPr>
                <w:rFonts w:ascii="方正书宋_GBK" w:eastAsia="方正书宋_GBK"/>
              </w:rPr>
            </w:pPr>
            <w:r>
              <w:rPr>
                <w:rFonts w:ascii="方正书宋_GBK" w:eastAsia="方正书宋_GBK"/>
              </w:rPr>
              <w:t>95%</w:t>
            </w:r>
          </w:p>
        </w:tc>
        <w:tc>
          <w:tcPr>
            <w:tcW w:w="950" w:type="dxa"/>
            <w:vAlign w:val="center"/>
          </w:tcPr>
          <w:p>
            <w:pPr>
              <w:spacing w:line="300" w:lineRule="exact"/>
              <w:jc w:val="center"/>
              <w:rPr>
                <w:rFonts w:ascii="方正书宋_GBK" w:eastAsia="方正书宋_GBK"/>
              </w:rPr>
            </w:pP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ascii="方正书宋_GBK" w:eastAsia="方正书宋_GBK"/>
              </w:rPr>
              <w:t>85%</w:t>
            </w:r>
          </w:p>
        </w:tc>
        <w:tc>
          <w:tcPr>
            <w:tcW w:w="1296" w:type="dxa"/>
            <w:vAlign w:val="center"/>
          </w:tcPr>
          <w:p>
            <w:pPr>
              <w:spacing w:line="300" w:lineRule="exact"/>
              <w:jc w:val="center"/>
              <w:rPr>
                <w:rFonts w:ascii="方正书宋_GBK" w:eastAsia="方正书宋_GBK"/>
              </w:rPr>
            </w:pP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加强企业质量管理，构建工业产品质量和品牌发展长效机制。</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个</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个</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296" w:type="dxa"/>
            <w:vAlign w:val="center"/>
          </w:tcPr>
          <w:p>
            <w:pPr>
              <w:spacing w:line="300" w:lineRule="exact"/>
              <w:jc w:val="center"/>
              <w:rPr>
                <w:rFonts w:ascii="方正书宋_GBK" w:eastAsia="方正书宋_GBK"/>
              </w:rPr>
            </w:pPr>
            <w:r>
              <w:rPr>
                <w:rFonts w:ascii="方正书宋_GBK" w:eastAsia="方正书宋_GBK"/>
              </w:rPr>
              <w:t>10</w:t>
            </w:r>
            <w:r>
              <w:rPr>
                <w:rFonts w:hint="eastAsia" w:ascii="方正书宋_GBK" w:eastAsia="方正书宋_GBK"/>
              </w:rPr>
              <w:t>个以下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938" w:type="dxa"/>
            <w:vMerge w:val="restart"/>
            <w:vAlign w:val="center"/>
          </w:tcPr>
          <w:p>
            <w:pPr>
              <w:spacing w:line="300" w:lineRule="exact"/>
              <w:jc w:val="left"/>
              <w:rPr>
                <w:rFonts w:ascii="方正书宋_GBK" w:eastAsia="方正书宋_GBK"/>
                <w:b/>
              </w:rPr>
            </w:pPr>
          </w:p>
        </w:tc>
        <w:tc>
          <w:tcPr>
            <w:tcW w:w="1412" w:type="dxa"/>
            <w:vMerge w:val="restart"/>
            <w:vAlign w:val="center"/>
          </w:tcPr>
          <w:p>
            <w:pPr>
              <w:spacing w:line="300" w:lineRule="exact"/>
              <w:jc w:val="left"/>
              <w:rPr>
                <w:rFonts w:ascii="方正书宋_GBK" w:eastAsia="方正书宋_GBK"/>
              </w:rPr>
            </w:pPr>
          </w:p>
        </w:tc>
        <w:tc>
          <w:tcPr>
            <w:tcW w:w="2585" w:type="dxa"/>
            <w:vMerge w:val="restart"/>
            <w:vAlign w:val="center"/>
          </w:tcPr>
          <w:p>
            <w:pPr>
              <w:spacing w:line="300" w:lineRule="exact"/>
              <w:jc w:val="left"/>
              <w:rPr>
                <w:rFonts w:ascii="方正书宋_GBK" w:eastAsia="方正书宋_GBK"/>
              </w:rPr>
            </w:pPr>
          </w:p>
        </w:tc>
        <w:tc>
          <w:tcPr>
            <w:tcW w:w="2588" w:type="dxa"/>
            <w:vMerge w:val="restart"/>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省下达的年度淘汰落后和压减过剩产能任务目标</w:t>
            </w:r>
          </w:p>
        </w:tc>
        <w:tc>
          <w:tcPr>
            <w:tcW w:w="1114"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完成目标任务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296"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91"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工业经济运行监测和分析情况</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按规定时限较好地完成任务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按规定时限完成任务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完成工作任务但时间上有拖延</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未完成任务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8"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编制通用航空产业发展规划完成情况</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按计划完成</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完成送审稿</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按计划开展</w:t>
            </w:r>
          </w:p>
          <w:p>
            <w:pPr>
              <w:spacing w:line="300" w:lineRule="exact"/>
              <w:jc w:val="center"/>
              <w:rPr>
                <w:rFonts w:ascii="方正书宋_GBK" w:eastAsia="方正书宋_GBK"/>
              </w:rPr>
            </w:pPr>
            <w:r>
              <w:rPr>
                <w:rFonts w:hint="eastAsia" w:ascii="方正书宋_GBK" w:eastAsia="方正书宋_GBK"/>
              </w:rPr>
              <w:t>部分工作</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技改项目实施数量（项）</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新增规上企业个数</w:t>
            </w:r>
          </w:p>
        </w:tc>
        <w:tc>
          <w:tcPr>
            <w:tcW w:w="1114"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完成目标任务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96"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restart"/>
            <w:vAlign w:val="center"/>
          </w:tcPr>
          <w:p>
            <w:pPr>
              <w:spacing w:line="300" w:lineRule="exact"/>
              <w:jc w:val="left"/>
              <w:rPr>
                <w:rFonts w:ascii="方正书宋_GBK" w:eastAsia="方正书宋_GBK"/>
                <w:b/>
              </w:rPr>
            </w:pPr>
          </w:p>
        </w:tc>
        <w:tc>
          <w:tcPr>
            <w:tcW w:w="1412" w:type="dxa"/>
            <w:vMerge w:val="restart"/>
            <w:vAlign w:val="center"/>
          </w:tcPr>
          <w:p>
            <w:pPr>
              <w:spacing w:line="300" w:lineRule="exact"/>
              <w:jc w:val="left"/>
              <w:rPr>
                <w:rFonts w:ascii="方正书宋_GBK" w:eastAsia="方正书宋_GBK"/>
              </w:rPr>
            </w:pPr>
          </w:p>
        </w:tc>
        <w:tc>
          <w:tcPr>
            <w:tcW w:w="2585" w:type="dxa"/>
            <w:vMerge w:val="restart"/>
            <w:vAlign w:val="center"/>
          </w:tcPr>
          <w:p>
            <w:pPr>
              <w:spacing w:line="300" w:lineRule="exact"/>
              <w:jc w:val="left"/>
              <w:rPr>
                <w:rFonts w:ascii="方正书宋_GBK" w:eastAsia="方正书宋_GBK"/>
              </w:rPr>
            </w:pPr>
          </w:p>
        </w:tc>
        <w:tc>
          <w:tcPr>
            <w:tcW w:w="2588" w:type="dxa"/>
            <w:vMerge w:val="restart"/>
            <w:vAlign w:val="center"/>
          </w:tcPr>
          <w:p>
            <w:pPr>
              <w:spacing w:line="300" w:lineRule="exact"/>
              <w:jc w:val="left"/>
              <w:rPr>
                <w:rFonts w:ascii="方正书宋_GBK" w:eastAsia="方正书宋_GBK"/>
              </w:rPr>
            </w:pPr>
          </w:p>
        </w:tc>
        <w:tc>
          <w:tcPr>
            <w:tcW w:w="1341" w:type="dxa"/>
            <w:vAlign w:val="center"/>
          </w:tcPr>
          <w:p>
            <w:pPr>
              <w:spacing w:line="280" w:lineRule="exact"/>
              <w:jc w:val="left"/>
              <w:rPr>
                <w:rFonts w:ascii="方正书宋_GBK" w:eastAsia="方正书宋_GBK"/>
              </w:rPr>
            </w:pPr>
            <w:r>
              <w:rPr>
                <w:rFonts w:hint="eastAsia" w:ascii="方正书宋_GBK" w:eastAsia="方正书宋_GBK"/>
              </w:rPr>
              <w:t>建立工业企业技术创新体系，提升工业企业技术水平。</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项</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项</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项</w:t>
            </w:r>
          </w:p>
        </w:tc>
        <w:tc>
          <w:tcPr>
            <w:tcW w:w="1296"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项以下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80" w:lineRule="exact"/>
              <w:jc w:val="left"/>
              <w:rPr>
                <w:rFonts w:ascii="方正书宋_GBK" w:eastAsia="方正书宋_GBK"/>
              </w:rPr>
            </w:pPr>
            <w:r>
              <w:rPr>
                <w:rFonts w:hint="eastAsia" w:ascii="方正书宋_GBK" w:eastAsia="方正书宋_GBK"/>
              </w:rPr>
              <w:t>新能源汽车推广应用任务完成程度</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1296"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80" w:lineRule="exact"/>
              <w:jc w:val="left"/>
              <w:rPr>
                <w:rFonts w:ascii="方正书宋_GBK" w:eastAsia="方正书宋_GBK"/>
              </w:rPr>
            </w:pPr>
            <w:r>
              <w:rPr>
                <w:rFonts w:hint="eastAsia" w:ascii="方正书宋_GBK" w:eastAsia="方正书宋_GBK"/>
              </w:rPr>
              <w:t>通过</w:t>
            </w:r>
            <w:r>
              <w:rPr>
                <w:rFonts w:ascii="方正书宋_GBK" w:eastAsia="方正书宋_GBK"/>
              </w:rPr>
              <w:t>ITSS</w:t>
            </w:r>
            <w:r>
              <w:rPr>
                <w:rFonts w:hint="eastAsia" w:ascii="方正书宋_GBK" w:eastAsia="方正书宋_GBK"/>
              </w:rPr>
              <w:t>标准和评估企业数（个）</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≥５</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≥３</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≥２</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280" w:lineRule="exact"/>
              <w:jc w:val="left"/>
              <w:rPr>
                <w:rFonts w:ascii="方正书宋_GBK" w:eastAsia="方正书宋_GBK"/>
              </w:rPr>
            </w:pPr>
            <w:r>
              <w:rPr>
                <w:rFonts w:hint="eastAsia" w:ascii="方正书宋_GBK" w:eastAsia="方正书宋_GBK"/>
              </w:rPr>
              <w:t>建立工业企业技术创新体系，提升工业企业技术水平。</w:t>
            </w:r>
          </w:p>
        </w:tc>
        <w:tc>
          <w:tcPr>
            <w:tcW w:w="1114"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w:t>
            </w:r>
          </w:p>
          <w:p>
            <w:pPr>
              <w:spacing w:line="300" w:lineRule="exact"/>
              <w:jc w:val="center"/>
              <w:rPr>
                <w:rFonts w:ascii="方正书宋_GBK" w:eastAsia="方正书宋_GBK"/>
              </w:rPr>
            </w:pPr>
            <w:r>
              <w:rPr>
                <w:rFonts w:hint="eastAsia" w:ascii="方正书宋_GBK" w:eastAsia="方正书宋_GBK"/>
              </w:rPr>
              <w:t>目标任务</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296"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restart"/>
            <w:vAlign w:val="center"/>
          </w:tcPr>
          <w:p>
            <w:pPr>
              <w:spacing w:line="300" w:lineRule="exact"/>
              <w:jc w:val="left"/>
              <w:rPr>
                <w:rFonts w:ascii="方正书宋_GBK" w:eastAsia="方正书宋_GBK"/>
                <w:b/>
              </w:rPr>
            </w:pPr>
            <w:r>
              <w:rPr>
                <w:rFonts w:hint="eastAsia" w:ascii="方正书宋_GBK" w:eastAsia="方正书宋_GBK"/>
                <w:b/>
              </w:rPr>
              <w:t>　　工业和信息化对外交流与合作</w:t>
            </w:r>
          </w:p>
        </w:tc>
        <w:tc>
          <w:tcPr>
            <w:tcW w:w="1412" w:type="dxa"/>
            <w:vMerge w:val="restart"/>
            <w:vAlign w:val="center"/>
          </w:tcPr>
          <w:p>
            <w:pPr>
              <w:spacing w:line="300" w:lineRule="exact"/>
              <w:jc w:val="left"/>
              <w:rPr>
                <w:rFonts w:ascii="方正书宋_GBK" w:eastAsia="方正书宋_GBK"/>
              </w:rPr>
            </w:pPr>
            <w:r>
              <w:rPr>
                <w:rFonts w:ascii="方正书宋_GBK" w:eastAsia="方正书宋_GBK"/>
              </w:rPr>
              <w:t>49.00</w:t>
            </w:r>
          </w:p>
        </w:tc>
        <w:tc>
          <w:tcPr>
            <w:tcW w:w="2585" w:type="dxa"/>
            <w:vMerge w:val="restart"/>
            <w:vAlign w:val="center"/>
          </w:tcPr>
          <w:p>
            <w:pPr>
              <w:spacing w:line="300" w:lineRule="exact"/>
              <w:jc w:val="left"/>
              <w:rPr>
                <w:rFonts w:ascii="方正书宋_GBK" w:eastAsia="方正书宋_GBK"/>
              </w:rPr>
            </w:pPr>
            <w:r>
              <w:rPr>
                <w:rFonts w:hint="eastAsia" w:ascii="方正书宋_GBK" w:eastAsia="方正书宋_GBK"/>
              </w:rPr>
              <w:t>开展对外经济交流与合作，支持企业</w:t>
            </w:r>
            <w:r>
              <w:rPr>
                <w:rFonts w:hint="cs" w:ascii="方正书宋_GBK" w:eastAsia="方正书宋_GBK"/>
                <w:cs/>
              </w:rPr>
              <w:t>“</w:t>
            </w:r>
            <w:r>
              <w:rPr>
                <w:rFonts w:hint="eastAsia" w:ascii="方正书宋_GBK" w:eastAsia="方正书宋_GBK"/>
              </w:rPr>
              <w:t>走出去</w:t>
            </w:r>
            <w:r>
              <w:rPr>
                <w:rFonts w:hint="cs" w:ascii="方正书宋_GBK" w:eastAsia="方正书宋_GBK"/>
                <w:cs/>
              </w:rPr>
              <w:t>”</w:t>
            </w:r>
            <w:r>
              <w:rPr>
                <w:rFonts w:hint="eastAsia" w:ascii="方正书宋_GBK" w:eastAsia="方正书宋_GBK"/>
              </w:rPr>
              <w:t>，指导和推动工业企业参加展洽活动，积极开拓国内、国外市场，促进贸易成交和技术交流，追踪前沿动态。推进京津冀工业和信息化协同发展。</w:t>
            </w:r>
          </w:p>
        </w:tc>
        <w:tc>
          <w:tcPr>
            <w:tcW w:w="2588" w:type="dxa"/>
            <w:vMerge w:val="restart"/>
            <w:vAlign w:val="center"/>
          </w:tcPr>
          <w:p>
            <w:pPr>
              <w:spacing w:line="300" w:lineRule="exact"/>
              <w:jc w:val="left"/>
              <w:rPr>
                <w:rFonts w:ascii="方正书宋_GBK" w:eastAsia="方正书宋_GBK"/>
              </w:rPr>
            </w:pPr>
            <w:r>
              <w:rPr>
                <w:rFonts w:hint="eastAsia" w:ascii="方正书宋_GBK" w:eastAsia="方正书宋_GBK"/>
              </w:rPr>
              <w:t>促进工业企业开展对外经济交流与合作，提升工业对外开放水平</w:t>
            </w:r>
          </w:p>
        </w:tc>
        <w:tc>
          <w:tcPr>
            <w:tcW w:w="1341" w:type="dxa"/>
            <w:vAlign w:val="center"/>
          </w:tcPr>
          <w:p>
            <w:pPr>
              <w:spacing w:line="300" w:lineRule="exact"/>
              <w:jc w:val="left"/>
              <w:rPr>
                <w:rFonts w:ascii="方正书宋_GBK" w:eastAsia="方正书宋_GBK"/>
              </w:rPr>
            </w:pPr>
            <w:r>
              <w:rPr>
                <w:rFonts w:hint="eastAsia" w:ascii="方正书宋_GBK" w:eastAsia="方正书宋_GBK"/>
              </w:rPr>
              <w:t>意向成交额增长率</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与往年持平</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下降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企业参加展洽数量（家）</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二、推进全市三网融合</w:t>
            </w:r>
          </w:p>
        </w:tc>
        <w:tc>
          <w:tcPr>
            <w:tcW w:w="1412" w:type="dxa"/>
            <w:vAlign w:val="center"/>
          </w:tcPr>
          <w:p>
            <w:pPr>
              <w:spacing w:line="300" w:lineRule="exact"/>
              <w:jc w:val="left"/>
              <w:rPr>
                <w:rFonts w:ascii="方正书宋_GBK" w:eastAsia="方正书宋_GBK"/>
              </w:rPr>
            </w:pPr>
            <w:r>
              <w:rPr>
                <w:rFonts w:ascii="方正书宋_GBK" w:eastAsia="方正书宋_GBK"/>
              </w:rPr>
              <w:t>283.50</w:t>
            </w:r>
          </w:p>
        </w:tc>
        <w:tc>
          <w:tcPr>
            <w:tcW w:w="2585" w:type="dxa"/>
            <w:vAlign w:val="center"/>
          </w:tcPr>
          <w:p>
            <w:pPr>
              <w:spacing w:line="300" w:lineRule="exact"/>
              <w:jc w:val="left"/>
              <w:rPr>
                <w:rFonts w:ascii="方正书宋_GBK" w:eastAsia="方正书宋_GBK"/>
              </w:rPr>
            </w:pPr>
            <w:r>
              <w:rPr>
                <w:rFonts w:hint="eastAsia" w:ascii="方正书宋_GBK" w:eastAsia="方正书宋_GBK"/>
              </w:rPr>
              <w:t>推进电信网、广播电视网、互联网融合。</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推进三网融合，促进</w:t>
            </w:r>
            <w:r>
              <w:rPr>
                <w:rFonts w:ascii="方正书宋_GBK" w:eastAsia="方正书宋_GBK"/>
              </w:rPr>
              <w:t>iptv</w:t>
            </w:r>
            <w:r>
              <w:rPr>
                <w:rFonts w:hint="eastAsia" w:ascii="方正书宋_GBK" w:eastAsia="方正书宋_GBK"/>
              </w:rPr>
              <w:t>业务发展</w:t>
            </w:r>
          </w:p>
        </w:tc>
        <w:tc>
          <w:tcPr>
            <w:tcW w:w="1341" w:type="dxa"/>
            <w:vAlign w:val="center"/>
          </w:tcPr>
          <w:p>
            <w:pPr>
              <w:spacing w:line="300" w:lineRule="exact"/>
              <w:jc w:val="left"/>
              <w:rPr>
                <w:rFonts w:ascii="方正书宋_GBK" w:eastAsia="方正书宋_GBK"/>
              </w:rPr>
            </w:pPr>
          </w:p>
        </w:tc>
        <w:tc>
          <w:tcPr>
            <w:tcW w:w="1114"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　　促进三网融合</w:t>
            </w:r>
          </w:p>
        </w:tc>
        <w:tc>
          <w:tcPr>
            <w:tcW w:w="1412" w:type="dxa"/>
            <w:vAlign w:val="center"/>
          </w:tcPr>
          <w:p>
            <w:pPr>
              <w:spacing w:line="300" w:lineRule="exact"/>
              <w:jc w:val="left"/>
              <w:rPr>
                <w:rFonts w:ascii="方正书宋_GBK" w:eastAsia="方正书宋_GBK"/>
              </w:rPr>
            </w:pPr>
            <w:r>
              <w:rPr>
                <w:rFonts w:ascii="方正书宋_GBK" w:eastAsia="方正书宋_GBK"/>
              </w:rPr>
              <w:t>283.50</w:t>
            </w:r>
          </w:p>
        </w:tc>
        <w:tc>
          <w:tcPr>
            <w:tcW w:w="2585" w:type="dxa"/>
            <w:vAlign w:val="center"/>
          </w:tcPr>
          <w:p>
            <w:pPr>
              <w:spacing w:line="300" w:lineRule="exact"/>
              <w:jc w:val="left"/>
              <w:rPr>
                <w:rFonts w:ascii="方正书宋_GBK" w:eastAsia="方正书宋_GBK"/>
              </w:rPr>
            </w:pPr>
            <w:r>
              <w:rPr>
                <w:rFonts w:hint="eastAsia" w:ascii="方正书宋_GBK" w:eastAsia="方正书宋_GBK"/>
              </w:rPr>
              <w:t>协调推进三网融合。</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促进三网融合</w:t>
            </w:r>
          </w:p>
        </w:tc>
        <w:tc>
          <w:tcPr>
            <w:tcW w:w="1341" w:type="dxa"/>
            <w:vAlign w:val="center"/>
          </w:tcPr>
          <w:p>
            <w:pPr>
              <w:spacing w:line="300" w:lineRule="exact"/>
              <w:jc w:val="left"/>
              <w:rPr>
                <w:rFonts w:ascii="方正书宋_GBK" w:eastAsia="方正书宋_GBK"/>
              </w:rPr>
            </w:pPr>
            <w:r>
              <w:rPr>
                <w:rFonts w:ascii="方正书宋_GBK" w:eastAsia="方正书宋_GBK"/>
              </w:rPr>
              <w:t>IPTV</w:t>
            </w:r>
            <w:r>
              <w:rPr>
                <w:rFonts w:hint="eastAsia" w:ascii="方正书宋_GBK" w:eastAsia="方正书宋_GBK"/>
              </w:rPr>
              <w:t>用户数</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万</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78</w:t>
            </w:r>
            <w:r>
              <w:rPr>
                <w:rFonts w:hint="eastAsia" w:ascii="方正书宋_GBK" w:eastAsia="方正书宋_GBK"/>
              </w:rPr>
              <w:t>万</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76</w:t>
            </w:r>
            <w:r>
              <w:rPr>
                <w:rFonts w:hint="eastAsia" w:ascii="方正书宋_GBK" w:eastAsia="方正书宋_GBK"/>
              </w:rPr>
              <w:t>万</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76</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0"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三、促进中小企业和民营经济发展</w:t>
            </w:r>
          </w:p>
        </w:tc>
        <w:tc>
          <w:tcPr>
            <w:tcW w:w="1412" w:type="dxa"/>
            <w:vAlign w:val="center"/>
          </w:tcPr>
          <w:p>
            <w:pPr>
              <w:spacing w:line="300" w:lineRule="exact"/>
              <w:jc w:val="left"/>
              <w:rPr>
                <w:rFonts w:ascii="方正书宋_GBK" w:eastAsia="方正书宋_GBK"/>
              </w:rPr>
            </w:pPr>
            <w:r>
              <w:rPr>
                <w:rFonts w:ascii="方正书宋_GBK" w:eastAsia="方正书宋_GBK"/>
              </w:rPr>
              <w:t>57.00</w:t>
            </w:r>
          </w:p>
        </w:tc>
        <w:tc>
          <w:tcPr>
            <w:tcW w:w="2585" w:type="dxa"/>
            <w:vAlign w:val="center"/>
          </w:tcPr>
          <w:p>
            <w:pPr>
              <w:spacing w:line="300" w:lineRule="exact"/>
              <w:jc w:val="left"/>
              <w:rPr>
                <w:rFonts w:ascii="方正书宋_GBK" w:eastAsia="方正书宋_GBK"/>
              </w:rPr>
            </w:pPr>
            <w:r>
              <w:rPr>
                <w:rFonts w:hint="eastAsia" w:ascii="方正书宋_GBK" w:eastAsia="方正书宋_GBK"/>
              </w:rPr>
              <w:t>加强对中小微企业和民营经济的宏观指导、综合协调，优化发展环境，激活市场主体，破解要素制约，强化公共服务，加强督导、检查和考核，提高民营经济和中小微企业发展质量和水平。</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推动中小微企业和民营经济持续、健康发展</w:t>
            </w:r>
          </w:p>
        </w:tc>
        <w:tc>
          <w:tcPr>
            <w:tcW w:w="1341" w:type="dxa"/>
            <w:vAlign w:val="center"/>
          </w:tcPr>
          <w:p>
            <w:pPr>
              <w:spacing w:line="300" w:lineRule="exact"/>
              <w:jc w:val="left"/>
              <w:rPr>
                <w:rFonts w:ascii="方正书宋_GBK" w:eastAsia="方正书宋_GBK"/>
              </w:rPr>
            </w:pPr>
          </w:p>
        </w:tc>
        <w:tc>
          <w:tcPr>
            <w:tcW w:w="1114"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8" w:hRule="atLeast"/>
          <w:jc w:val="center"/>
        </w:trPr>
        <w:tc>
          <w:tcPr>
            <w:tcW w:w="1938" w:type="dxa"/>
            <w:vMerge w:val="restart"/>
            <w:vAlign w:val="center"/>
          </w:tcPr>
          <w:p>
            <w:pPr>
              <w:spacing w:line="300" w:lineRule="exact"/>
              <w:jc w:val="left"/>
              <w:rPr>
                <w:rFonts w:ascii="方正书宋_GBK" w:eastAsia="方正书宋_GBK"/>
                <w:b/>
              </w:rPr>
            </w:pPr>
            <w:r>
              <w:rPr>
                <w:rFonts w:hint="eastAsia" w:ascii="方正书宋_GBK" w:eastAsia="方正书宋_GBK"/>
                <w:b/>
              </w:rPr>
              <w:t>　　促进中小企业和民营经济发展</w:t>
            </w:r>
          </w:p>
        </w:tc>
        <w:tc>
          <w:tcPr>
            <w:tcW w:w="1412" w:type="dxa"/>
            <w:vMerge w:val="restart"/>
            <w:vAlign w:val="center"/>
          </w:tcPr>
          <w:p>
            <w:pPr>
              <w:spacing w:line="300" w:lineRule="exact"/>
              <w:jc w:val="left"/>
              <w:rPr>
                <w:rFonts w:ascii="方正书宋_GBK" w:eastAsia="方正书宋_GBK"/>
              </w:rPr>
            </w:pPr>
            <w:r>
              <w:rPr>
                <w:rFonts w:ascii="方正书宋_GBK" w:eastAsia="方正书宋_GBK"/>
              </w:rPr>
              <w:t>57.00</w:t>
            </w:r>
          </w:p>
        </w:tc>
        <w:tc>
          <w:tcPr>
            <w:tcW w:w="2585" w:type="dxa"/>
            <w:vMerge w:val="restart"/>
            <w:vAlign w:val="center"/>
          </w:tcPr>
          <w:p>
            <w:pPr>
              <w:spacing w:line="300" w:lineRule="exact"/>
              <w:jc w:val="left"/>
              <w:rPr>
                <w:rFonts w:ascii="方正书宋_GBK" w:eastAsia="方正书宋_GBK"/>
              </w:rPr>
            </w:pPr>
            <w:r>
              <w:rPr>
                <w:rFonts w:hint="eastAsia" w:ascii="方正书宋_GBK" w:eastAsia="方正书宋_GBK"/>
              </w:rPr>
              <w:t>推动中小和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努力减轻企业负担。</w:t>
            </w:r>
          </w:p>
        </w:tc>
        <w:tc>
          <w:tcPr>
            <w:tcW w:w="2588" w:type="dxa"/>
            <w:vMerge w:val="restart"/>
            <w:vAlign w:val="center"/>
          </w:tcPr>
          <w:p>
            <w:pPr>
              <w:spacing w:line="300" w:lineRule="exact"/>
              <w:jc w:val="left"/>
              <w:rPr>
                <w:rFonts w:ascii="方正书宋_GBK" w:eastAsia="方正书宋_GBK"/>
              </w:rPr>
            </w:pPr>
            <w:r>
              <w:rPr>
                <w:rFonts w:hint="eastAsia" w:ascii="方正书宋_GBK" w:eastAsia="方正书宋_GBK"/>
              </w:rPr>
              <w:t>建立健全民营经济运行统计和监测分析体系，优化企业发展环境，促进中小企业、民营经济健康发展。</w:t>
            </w:r>
          </w:p>
        </w:tc>
        <w:tc>
          <w:tcPr>
            <w:tcW w:w="1341" w:type="dxa"/>
            <w:vAlign w:val="center"/>
          </w:tcPr>
          <w:p>
            <w:pPr>
              <w:spacing w:line="300" w:lineRule="exact"/>
              <w:jc w:val="left"/>
              <w:rPr>
                <w:rFonts w:ascii="方正书宋_GBK" w:eastAsia="方正书宋_GBK"/>
              </w:rPr>
            </w:pPr>
            <w:r>
              <w:rPr>
                <w:rFonts w:hint="eastAsia" w:ascii="方正书宋_GBK" w:eastAsia="方正书宋_GBK"/>
              </w:rPr>
              <w:t>全市中小企业担保机构注册资本金规模</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亿元</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亿元</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亿元</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160</w:t>
            </w:r>
            <w:r>
              <w:rPr>
                <w:rFonts w:hint="eastAsia" w:ascii="方正书宋_GBK" w:eastAsia="方正书宋_GBK"/>
              </w:rPr>
              <w:t>亿元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担保机构融资能力</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660</w:t>
            </w:r>
            <w:r>
              <w:rPr>
                <w:rFonts w:hint="eastAsia" w:ascii="方正书宋_GBK" w:eastAsia="方正书宋_GBK"/>
              </w:rPr>
              <w:t>亿元</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亿元</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540</w:t>
            </w:r>
            <w:r>
              <w:rPr>
                <w:rFonts w:hint="eastAsia" w:ascii="方正书宋_GBK" w:eastAsia="方正书宋_GBK"/>
              </w:rPr>
              <w:t>亿元</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480</w:t>
            </w:r>
            <w:r>
              <w:rPr>
                <w:rFonts w:hint="eastAsia" w:ascii="方正书宋_GBK" w:eastAsia="方正书宋_GBK"/>
              </w:rPr>
              <w:t>亿元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平台网络服务企业数量（千个）</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0.9</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0.8</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300" w:lineRule="exact"/>
              <w:jc w:val="left"/>
              <w:rPr>
                <w:rFonts w:ascii="方正书宋_GBK" w:eastAsia="方正书宋_GBK"/>
              </w:rPr>
            </w:pPr>
          </w:p>
        </w:tc>
        <w:tc>
          <w:tcPr>
            <w:tcW w:w="2588" w:type="dxa"/>
            <w:vMerge w:val="continue"/>
            <w:vAlign w:val="center"/>
          </w:tcPr>
          <w:p>
            <w:pPr>
              <w:spacing w:line="300" w:lineRule="exact"/>
              <w:jc w:val="left"/>
              <w:rPr>
                <w:rFonts w:ascii="方正书宋_GBK" w:eastAsia="方正书宋_GBK"/>
              </w:rPr>
            </w:pPr>
          </w:p>
        </w:tc>
        <w:tc>
          <w:tcPr>
            <w:tcW w:w="1341" w:type="dxa"/>
            <w:vAlign w:val="center"/>
          </w:tcPr>
          <w:p>
            <w:pPr>
              <w:spacing w:line="300" w:lineRule="exact"/>
              <w:jc w:val="left"/>
              <w:rPr>
                <w:rFonts w:ascii="方正书宋_GBK" w:eastAsia="方正书宋_GBK"/>
              </w:rPr>
            </w:pPr>
            <w:r>
              <w:rPr>
                <w:rFonts w:hint="eastAsia" w:ascii="方正书宋_GBK" w:eastAsia="方正书宋_GBK"/>
              </w:rPr>
              <w:t>数据分析和发布及时性</w:t>
            </w:r>
          </w:p>
        </w:tc>
        <w:tc>
          <w:tcPr>
            <w:tcW w:w="1114" w:type="dxa"/>
            <w:vAlign w:val="center"/>
          </w:tcPr>
          <w:p>
            <w:pPr>
              <w:spacing w:line="300" w:lineRule="exact"/>
              <w:jc w:val="center"/>
              <w:rPr>
                <w:rFonts w:ascii="方正书宋_GBK" w:eastAsia="方正书宋_GBK"/>
              </w:rPr>
            </w:pPr>
            <w:r>
              <w:rPr>
                <w:rFonts w:ascii="方正书宋_GBK" w:eastAsia="方正书宋_GBK"/>
              </w:rPr>
              <w:t>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938" w:type="dxa"/>
            <w:vMerge w:val="restart"/>
            <w:vAlign w:val="center"/>
          </w:tcPr>
          <w:p>
            <w:pPr>
              <w:spacing w:line="300" w:lineRule="exact"/>
              <w:jc w:val="left"/>
              <w:rPr>
                <w:rFonts w:ascii="方正书宋_GBK" w:eastAsia="方正书宋_GBK"/>
                <w:b/>
              </w:rPr>
            </w:pPr>
          </w:p>
        </w:tc>
        <w:tc>
          <w:tcPr>
            <w:tcW w:w="1412" w:type="dxa"/>
            <w:vMerge w:val="restart"/>
            <w:vAlign w:val="center"/>
          </w:tcPr>
          <w:p>
            <w:pPr>
              <w:spacing w:line="300" w:lineRule="exact"/>
              <w:jc w:val="left"/>
              <w:rPr>
                <w:rFonts w:ascii="方正书宋_GBK" w:eastAsia="方正书宋_GBK"/>
              </w:rPr>
            </w:pPr>
          </w:p>
        </w:tc>
        <w:tc>
          <w:tcPr>
            <w:tcW w:w="2585" w:type="dxa"/>
            <w:vMerge w:val="restart"/>
            <w:vAlign w:val="center"/>
          </w:tcPr>
          <w:p>
            <w:pPr>
              <w:spacing w:line="260" w:lineRule="exact"/>
              <w:jc w:val="left"/>
              <w:rPr>
                <w:rFonts w:ascii="方正书宋_GBK" w:eastAsia="方正书宋_GBK"/>
              </w:rPr>
            </w:pPr>
          </w:p>
        </w:tc>
        <w:tc>
          <w:tcPr>
            <w:tcW w:w="2588" w:type="dxa"/>
            <w:vMerge w:val="restart"/>
            <w:vAlign w:val="center"/>
          </w:tcPr>
          <w:p>
            <w:pPr>
              <w:spacing w:line="26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公共技术服务平台新增数量（个）</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260" w:lineRule="exact"/>
              <w:jc w:val="left"/>
              <w:rPr>
                <w:rFonts w:ascii="方正书宋_GBK" w:eastAsia="方正书宋_GBK"/>
              </w:rPr>
            </w:pPr>
          </w:p>
        </w:tc>
        <w:tc>
          <w:tcPr>
            <w:tcW w:w="2588" w:type="dxa"/>
            <w:vMerge w:val="continue"/>
            <w:vAlign w:val="center"/>
          </w:tcPr>
          <w:p>
            <w:pPr>
              <w:spacing w:line="26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监测点上报率</w:t>
            </w:r>
          </w:p>
        </w:tc>
        <w:tc>
          <w:tcPr>
            <w:tcW w:w="111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0" w:hRule="atLeast"/>
          <w:jc w:val="center"/>
        </w:trPr>
        <w:tc>
          <w:tcPr>
            <w:tcW w:w="1938" w:type="dxa"/>
            <w:vMerge w:val="continue"/>
            <w:vAlign w:val="center"/>
          </w:tcPr>
          <w:p>
            <w:pPr>
              <w:spacing w:line="300" w:lineRule="exact"/>
              <w:jc w:val="left"/>
              <w:rPr>
                <w:rFonts w:ascii="方正书宋_GBK" w:eastAsia="方正书宋_GBK"/>
                <w:b/>
              </w:rPr>
            </w:pPr>
          </w:p>
        </w:tc>
        <w:tc>
          <w:tcPr>
            <w:tcW w:w="1412" w:type="dxa"/>
            <w:vMerge w:val="continue"/>
            <w:vAlign w:val="center"/>
          </w:tcPr>
          <w:p>
            <w:pPr>
              <w:spacing w:line="300" w:lineRule="exact"/>
              <w:jc w:val="left"/>
              <w:rPr>
                <w:rFonts w:ascii="方正书宋_GBK" w:eastAsia="方正书宋_GBK"/>
              </w:rPr>
            </w:pPr>
          </w:p>
        </w:tc>
        <w:tc>
          <w:tcPr>
            <w:tcW w:w="2585" w:type="dxa"/>
            <w:vMerge w:val="continue"/>
            <w:vAlign w:val="center"/>
          </w:tcPr>
          <w:p>
            <w:pPr>
              <w:spacing w:line="260" w:lineRule="exact"/>
              <w:jc w:val="left"/>
              <w:rPr>
                <w:rFonts w:ascii="方正书宋_GBK" w:eastAsia="方正书宋_GBK"/>
              </w:rPr>
            </w:pPr>
          </w:p>
        </w:tc>
        <w:tc>
          <w:tcPr>
            <w:tcW w:w="2588" w:type="dxa"/>
            <w:vMerge w:val="continue"/>
            <w:vAlign w:val="center"/>
          </w:tcPr>
          <w:p>
            <w:pPr>
              <w:spacing w:line="260" w:lineRule="exact"/>
              <w:jc w:val="left"/>
              <w:rPr>
                <w:rFonts w:ascii="方正书宋_GBK" w:eastAsia="方正书宋_GBK"/>
              </w:rPr>
            </w:pPr>
          </w:p>
        </w:tc>
        <w:tc>
          <w:tcPr>
            <w:tcW w:w="1341" w:type="dxa"/>
            <w:vAlign w:val="center"/>
          </w:tcPr>
          <w:p>
            <w:pPr>
              <w:spacing w:line="260" w:lineRule="exact"/>
              <w:jc w:val="left"/>
              <w:rPr>
                <w:rFonts w:ascii="方正书宋_GBK" w:eastAsia="方正书宋_GBK"/>
              </w:rPr>
            </w:pPr>
            <w:r>
              <w:rPr>
                <w:rFonts w:hint="eastAsia" w:ascii="方正书宋_GBK" w:eastAsia="方正书宋_GBK"/>
              </w:rPr>
              <w:t>企业负担举报案件查处率</w:t>
            </w:r>
          </w:p>
        </w:tc>
        <w:tc>
          <w:tcPr>
            <w:tcW w:w="1114" w:type="dxa"/>
            <w:vAlign w:val="center"/>
          </w:tcPr>
          <w:p>
            <w:pPr>
              <w:spacing w:line="300" w:lineRule="exact"/>
              <w:jc w:val="center"/>
              <w:rPr>
                <w:rFonts w:ascii="方正书宋_GBK" w:eastAsia="方正书宋_GBK"/>
              </w:rPr>
            </w:pPr>
            <w:r>
              <w:rPr>
                <w:rFonts w:ascii="方正书宋_GBK" w:eastAsia="方正书宋_GBK"/>
              </w:rPr>
              <w:t>100%</w:t>
            </w: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r>
              <w:rPr>
                <w:rFonts w:ascii="方正书宋_GBK" w:eastAsia="方正书宋_GBK"/>
              </w:rPr>
              <w:t>&lt;100%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四、工信政务管理</w:t>
            </w:r>
          </w:p>
        </w:tc>
        <w:tc>
          <w:tcPr>
            <w:tcW w:w="1412" w:type="dxa"/>
            <w:vAlign w:val="center"/>
          </w:tcPr>
          <w:p>
            <w:pPr>
              <w:spacing w:line="300" w:lineRule="exact"/>
              <w:jc w:val="left"/>
              <w:rPr>
                <w:rFonts w:ascii="方正书宋_GBK" w:eastAsia="方正书宋_GBK"/>
              </w:rPr>
            </w:pPr>
            <w:r>
              <w:rPr>
                <w:rFonts w:ascii="方正书宋_GBK" w:eastAsia="方正书宋_GBK"/>
              </w:rPr>
              <w:t>102.00</w:t>
            </w:r>
          </w:p>
        </w:tc>
        <w:tc>
          <w:tcPr>
            <w:tcW w:w="2585" w:type="dxa"/>
            <w:vAlign w:val="center"/>
          </w:tcPr>
          <w:p>
            <w:pPr>
              <w:spacing w:line="260" w:lineRule="exact"/>
              <w:jc w:val="left"/>
              <w:rPr>
                <w:rFonts w:ascii="方正书宋_GBK" w:eastAsia="方正书宋_GBK"/>
              </w:rPr>
            </w:pPr>
            <w:r>
              <w:rPr>
                <w:rFonts w:hint="eastAsia" w:ascii="方正书宋_GBK" w:eastAsia="方正书宋_GBK"/>
              </w:rPr>
              <w:t>负责系统（内部）综合业务管理和机关（内部）综合事务管理。</w:t>
            </w:r>
          </w:p>
        </w:tc>
        <w:tc>
          <w:tcPr>
            <w:tcW w:w="2588" w:type="dxa"/>
            <w:vAlign w:val="center"/>
          </w:tcPr>
          <w:p>
            <w:pPr>
              <w:spacing w:line="260" w:lineRule="exact"/>
              <w:jc w:val="left"/>
              <w:rPr>
                <w:rFonts w:ascii="方正书宋_GBK" w:eastAsia="方正书宋_GBK"/>
              </w:rPr>
            </w:pPr>
            <w:r>
              <w:rPr>
                <w:rFonts w:hint="eastAsia" w:ascii="方正书宋_GBK" w:eastAsia="方正书宋_GBK"/>
              </w:rPr>
              <w:t>提升工业和信息化综合事务管理水平。</w:t>
            </w:r>
          </w:p>
        </w:tc>
        <w:tc>
          <w:tcPr>
            <w:tcW w:w="1341" w:type="dxa"/>
            <w:vAlign w:val="center"/>
          </w:tcPr>
          <w:p>
            <w:pPr>
              <w:spacing w:line="260" w:lineRule="exact"/>
              <w:jc w:val="left"/>
              <w:rPr>
                <w:rFonts w:ascii="方正书宋_GBK" w:eastAsia="方正书宋_GBK"/>
              </w:rPr>
            </w:pPr>
          </w:p>
        </w:tc>
        <w:tc>
          <w:tcPr>
            <w:tcW w:w="1114"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950" w:type="dxa"/>
            <w:vAlign w:val="center"/>
          </w:tcPr>
          <w:p>
            <w:pPr>
              <w:spacing w:line="300" w:lineRule="exact"/>
              <w:jc w:val="center"/>
              <w:rPr>
                <w:rFonts w:ascii="方正书宋_GBK" w:eastAsia="方正书宋_GBK"/>
              </w:rPr>
            </w:pPr>
          </w:p>
        </w:tc>
        <w:tc>
          <w:tcPr>
            <w:tcW w:w="1296"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412" w:type="dxa"/>
            <w:vAlign w:val="center"/>
          </w:tcPr>
          <w:p>
            <w:pPr>
              <w:spacing w:line="300" w:lineRule="exact"/>
              <w:jc w:val="left"/>
              <w:rPr>
                <w:rFonts w:ascii="方正书宋_GBK" w:eastAsia="方正书宋_GBK"/>
              </w:rPr>
            </w:pPr>
            <w:r>
              <w:rPr>
                <w:rFonts w:ascii="方正书宋_GBK" w:eastAsia="方正书宋_GBK"/>
              </w:rPr>
              <w:t>53.00</w:t>
            </w:r>
          </w:p>
        </w:tc>
        <w:tc>
          <w:tcPr>
            <w:tcW w:w="2585" w:type="dxa"/>
            <w:vAlign w:val="center"/>
          </w:tcPr>
          <w:p>
            <w:pPr>
              <w:spacing w:line="270" w:lineRule="exact"/>
              <w:jc w:val="left"/>
              <w:rPr>
                <w:rFonts w:ascii="方正书宋_GBK" w:eastAsia="方正书宋_GBK"/>
              </w:rPr>
            </w:pPr>
            <w:r>
              <w:rPr>
                <w:rFonts w:hint="eastAsia" w:ascii="方正书宋_GBK" w:eastAsia="方正书宋_GBK"/>
              </w:rPr>
              <w:t>制定部门发展战略和规划、指导系统业务活动和事业发展；开展普法宣传，做好行政复议及行政应诉工作；信访接待、业务宣传、政务信息公开、网上行政服务、依法行政等。着重做好申报、评审和实施国家工业和信息化重大专项项目，工业和信息化专家管理，相关领导小组办公室工作，开展政银企保合作，以及全市履行禁止化学武器公约和专项资金监管、服务于支撑工业转型升级、工业强市、制造强市等工作的事项。</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依法做好监控化学品日常监管和行政许可审批，完善工业和信息化政策法规体系建设，培育专业化人才，提升工业和信息化水平。</w:t>
            </w:r>
          </w:p>
        </w:tc>
        <w:tc>
          <w:tcPr>
            <w:tcW w:w="1341"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1114" w:type="dxa"/>
            <w:vAlign w:val="center"/>
          </w:tcPr>
          <w:p>
            <w:pPr>
              <w:spacing w:line="300" w:lineRule="exact"/>
              <w:jc w:val="center"/>
              <w:rPr>
                <w:rFonts w:ascii="方正书宋_GBK" w:eastAsia="方正书宋_GBK"/>
              </w:rPr>
            </w:pPr>
            <w:r>
              <w:rPr>
                <w:rFonts w:ascii="方正书宋_GBK" w:eastAsia="方正书宋_GBK"/>
              </w:rPr>
              <w:t>100%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38"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412" w:type="dxa"/>
            <w:vAlign w:val="center"/>
          </w:tcPr>
          <w:p>
            <w:pPr>
              <w:spacing w:line="300" w:lineRule="exact"/>
              <w:jc w:val="left"/>
              <w:rPr>
                <w:rFonts w:ascii="方正书宋_GBK" w:eastAsia="方正书宋_GBK"/>
              </w:rPr>
            </w:pPr>
            <w:r>
              <w:rPr>
                <w:rFonts w:ascii="方正书宋_GBK" w:eastAsia="方正书宋_GBK"/>
              </w:rPr>
              <w:t>49.00</w:t>
            </w:r>
          </w:p>
        </w:tc>
        <w:tc>
          <w:tcPr>
            <w:tcW w:w="2585" w:type="dxa"/>
            <w:vAlign w:val="center"/>
          </w:tcPr>
          <w:p>
            <w:pPr>
              <w:spacing w:line="300" w:lineRule="exact"/>
              <w:jc w:val="left"/>
              <w:rPr>
                <w:rFonts w:ascii="方正书宋_GBK" w:eastAsia="方正书宋_GBK"/>
              </w:rPr>
            </w:pPr>
            <w:r>
              <w:rPr>
                <w:rFonts w:hint="eastAsia" w:ascii="方正书宋_GBK" w:eastAsia="方正书宋_GBK"/>
              </w:rPr>
              <w:t>工业和信息化管理工作运转保障，包括会议组织、政务督办、档案管理、信访接待、政务信息、行政复议、对外宣传、外事工作、干部培训、课题研究、调研活动等行政事务；开展政府信息公开等事项受理，信息化建设等管理。</w:t>
            </w:r>
          </w:p>
        </w:tc>
        <w:tc>
          <w:tcPr>
            <w:tcW w:w="2588" w:type="dxa"/>
            <w:vAlign w:val="center"/>
          </w:tcPr>
          <w:p>
            <w:pPr>
              <w:spacing w:line="300" w:lineRule="exact"/>
              <w:jc w:val="left"/>
              <w:rPr>
                <w:rFonts w:ascii="方正书宋_GBK" w:eastAsia="方正书宋_GBK"/>
              </w:rPr>
            </w:pPr>
            <w:r>
              <w:rPr>
                <w:rFonts w:hint="eastAsia" w:ascii="方正书宋_GBK" w:eastAsia="方正书宋_GBK"/>
              </w:rPr>
              <w:t>保障机关正常工作高效运转</w:t>
            </w:r>
          </w:p>
        </w:tc>
        <w:tc>
          <w:tcPr>
            <w:tcW w:w="1341"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1114" w:type="dxa"/>
            <w:vAlign w:val="center"/>
          </w:tcPr>
          <w:p>
            <w:pPr>
              <w:spacing w:line="300" w:lineRule="exact"/>
              <w:jc w:val="center"/>
              <w:rPr>
                <w:rFonts w:ascii="方正书宋_GBK" w:eastAsia="方正书宋_GBK"/>
              </w:rPr>
            </w:pPr>
            <w:r>
              <w:rPr>
                <w:rFonts w:ascii="方正书宋_GBK" w:eastAsia="方正书宋_GBK"/>
              </w:rPr>
              <w:t>100%</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95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9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pStyle w:val="6"/>
        <w:ind w:left="710" w:firstLine="0" w:firstLineChars="0"/>
        <w:rPr>
          <w:rFonts w:ascii="黑体" w:hAnsi="黑体" w:eastAsia="黑体" w:cs="黑体"/>
          <w:sz w:val="32"/>
          <w:szCs w:val="32"/>
        </w:rPr>
      </w:pPr>
      <w:r>
        <w:rPr>
          <w:rFonts w:hint="eastAsia" w:ascii="黑体" w:hAnsi="黑体" w:eastAsia="黑体" w:cs="黑体"/>
          <w:sz w:val="32"/>
          <w:szCs w:val="32"/>
        </w:rPr>
        <w:t>六、政府采购预算情况</w:t>
      </w:r>
    </w:p>
    <w:p>
      <w:pPr>
        <w:ind w:left="710"/>
        <w:rPr>
          <w:rFonts w:ascii="仿宋_GB2312" w:eastAsia="仿宋_GB2312"/>
          <w:sz w:val="32"/>
          <w:szCs w:val="32"/>
        </w:rPr>
      </w:pPr>
      <w:r>
        <w:rPr>
          <w:rFonts w:hint="eastAsia" w:ascii="仿宋_GB2312" w:eastAsia="仿宋_GB2312"/>
          <w:sz w:val="32"/>
          <w:szCs w:val="32"/>
        </w:rPr>
        <w:t>2018年，我局安排政府采购预算354.5万元。具体内容见下表。</w:t>
      </w:r>
    </w:p>
    <w:p>
      <w:pPr>
        <w:ind w:left="710"/>
        <w:rPr>
          <w:rFonts w:ascii="仿宋_GB2312" w:eastAsia="仿宋_GB2312"/>
          <w:sz w:val="32"/>
          <w:szCs w:val="32"/>
        </w:rPr>
      </w:pPr>
    </w:p>
    <w:p>
      <w:pPr>
        <w:ind w:left="710"/>
        <w:rPr>
          <w:rFonts w:ascii="仿宋_GB2312" w:eastAsia="仿宋_GB2312"/>
          <w:sz w:val="32"/>
          <w:szCs w:val="32"/>
        </w:rPr>
      </w:pPr>
    </w:p>
    <w:p>
      <w:pPr>
        <w:ind w:left="710"/>
        <w:rPr>
          <w:rFonts w:ascii="仿宋_GB2312" w:eastAsia="仿宋_GB2312"/>
          <w:sz w:val="32"/>
          <w:szCs w:val="32"/>
        </w:rPr>
      </w:pPr>
    </w:p>
    <w:p>
      <w:pPr>
        <w:ind w:left="710"/>
        <w:rPr>
          <w:rFonts w:ascii="仿宋_GB2312" w:eastAsia="仿宋_GB2312"/>
          <w:sz w:val="32"/>
          <w:szCs w:val="32"/>
        </w:rPr>
      </w:pPr>
    </w:p>
    <w:p>
      <w:pPr>
        <w:jc w:val="center"/>
        <w:outlineLvl w:val="0"/>
        <w:rPr>
          <w:rFonts w:ascii="方正小标宋_GBK" w:eastAsia="方正小标宋_GBK"/>
          <w:sz w:val="32"/>
        </w:rPr>
      </w:pPr>
      <w:bookmarkStart w:id="1" w:name="_Toc504037127"/>
      <w:r>
        <w:rPr>
          <w:rFonts w:hint="eastAsia" w:ascii="方正小标宋_GBK" w:eastAsia="方正小标宋_GBK"/>
          <w:sz w:val="32"/>
        </w:rPr>
        <w:t>部门政府采购预算</w:t>
      </w:r>
      <w:bookmarkEnd w:id="1"/>
    </w:p>
    <w:tbl>
      <w:tblPr>
        <w:tblStyle w:val="4"/>
        <w:tblW w:w="148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7"/>
        <w:gridCol w:w="1123"/>
        <w:gridCol w:w="1179"/>
        <w:gridCol w:w="1550"/>
        <w:gridCol w:w="673"/>
        <w:gridCol w:w="1082"/>
        <w:gridCol w:w="1251"/>
        <w:gridCol w:w="1256"/>
        <w:gridCol w:w="1256"/>
        <w:gridCol w:w="1256"/>
        <w:gridCol w:w="673"/>
        <w:gridCol w:w="673"/>
        <w:gridCol w:w="682"/>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45"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471</w:t>
            </w:r>
            <w:r>
              <w:rPr>
                <w:rFonts w:hint="eastAsia" w:ascii="方正小标宋_GBK" w:eastAsia="方正小标宋_GBK"/>
                <w:sz w:val="24"/>
              </w:rPr>
              <w:t>石家庄市工业和信息化局</w:t>
            </w:r>
          </w:p>
        </w:tc>
        <w:tc>
          <w:tcPr>
            <w:tcW w:w="6472"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1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w:t>
            </w:r>
          </w:p>
          <w:p>
            <w:pPr>
              <w:spacing w:line="300" w:lineRule="exact"/>
              <w:jc w:val="center"/>
              <w:rPr>
                <w:rFonts w:ascii="方正书宋_GBK" w:eastAsia="方正书宋_GBK"/>
                <w:b/>
              </w:rPr>
            </w:pPr>
            <w:r>
              <w:rPr>
                <w:rFonts w:hint="eastAsia" w:ascii="方正书宋_GBK" w:eastAsia="方正书宋_GBK"/>
                <w:b/>
              </w:rPr>
              <w:t>项目来源</w:t>
            </w:r>
          </w:p>
        </w:tc>
        <w:tc>
          <w:tcPr>
            <w:tcW w:w="117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50"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7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1082"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5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472"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87"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w:t>
            </w:r>
          </w:p>
          <w:p>
            <w:pPr>
              <w:spacing w:line="300" w:lineRule="exact"/>
              <w:jc w:val="center"/>
              <w:rPr>
                <w:rFonts w:ascii="方正书宋_GBK" w:eastAsia="方正书宋_GBK"/>
                <w:b/>
              </w:rPr>
            </w:pPr>
            <w:r>
              <w:rPr>
                <w:rFonts w:hint="eastAsia" w:ascii="方正书宋_GBK" w:eastAsia="方正书宋_GBK"/>
                <w:b/>
              </w:rPr>
              <w:t>名称</w:t>
            </w:r>
          </w:p>
        </w:tc>
        <w:tc>
          <w:tcPr>
            <w:tcW w:w="112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179" w:type="dxa"/>
            <w:vMerge w:val="continue"/>
            <w:vAlign w:val="center"/>
          </w:tcPr>
          <w:p>
            <w:pPr>
              <w:spacing w:line="300" w:lineRule="exact"/>
              <w:jc w:val="left"/>
              <w:outlineLvl w:val="0"/>
            </w:pPr>
          </w:p>
        </w:tc>
        <w:tc>
          <w:tcPr>
            <w:tcW w:w="1550" w:type="dxa"/>
            <w:vMerge w:val="continue"/>
            <w:vAlign w:val="center"/>
          </w:tcPr>
          <w:p>
            <w:pPr>
              <w:spacing w:line="300" w:lineRule="exact"/>
              <w:jc w:val="left"/>
              <w:outlineLvl w:val="0"/>
            </w:pPr>
          </w:p>
        </w:tc>
        <w:tc>
          <w:tcPr>
            <w:tcW w:w="673" w:type="dxa"/>
            <w:vMerge w:val="continue"/>
            <w:vAlign w:val="center"/>
          </w:tcPr>
          <w:p>
            <w:pPr>
              <w:spacing w:line="300" w:lineRule="exact"/>
              <w:jc w:val="left"/>
              <w:outlineLvl w:val="0"/>
            </w:pPr>
          </w:p>
        </w:tc>
        <w:tc>
          <w:tcPr>
            <w:tcW w:w="1082" w:type="dxa"/>
            <w:vMerge w:val="continue"/>
            <w:vAlign w:val="center"/>
          </w:tcPr>
          <w:p>
            <w:pPr>
              <w:spacing w:line="300" w:lineRule="exact"/>
              <w:jc w:val="left"/>
              <w:outlineLvl w:val="0"/>
            </w:pPr>
          </w:p>
        </w:tc>
        <w:tc>
          <w:tcPr>
            <w:tcW w:w="1251" w:type="dxa"/>
            <w:vMerge w:val="continue"/>
            <w:vAlign w:val="center"/>
          </w:tcPr>
          <w:p>
            <w:pPr>
              <w:spacing w:line="300" w:lineRule="exact"/>
              <w:jc w:val="left"/>
              <w:outlineLvl w:val="0"/>
            </w:pPr>
          </w:p>
        </w:tc>
        <w:tc>
          <w:tcPr>
            <w:tcW w:w="1256"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40"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67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87" w:type="dxa"/>
            <w:vMerge w:val="continue"/>
            <w:vAlign w:val="center"/>
          </w:tcPr>
          <w:p>
            <w:pPr>
              <w:spacing w:line="300" w:lineRule="exact"/>
              <w:jc w:val="left"/>
              <w:outlineLvl w:val="0"/>
            </w:pPr>
          </w:p>
        </w:tc>
        <w:tc>
          <w:tcPr>
            <w:tcW w:w="1123" w:type="dxa"/>
            <w:vMerge w:val="continue"/>
            <w:vAlign w:val="center"/>
          </w:tcPr>
          <w:p>
            <w:pPr>
              <w:spacing w:line="300" w:lineRule="exact"/>
              <w:jc w:val="left"/>
              <w:outlineLvl w:val="0"/>
            </w:pPr>
          </w:p>
        </w:tc>
        <w:tc>
          <w:tcPr>
            <w:tcW w:w="1179" w:type="dxa"/>
            <w:vMerge w:val="continue"/>
            <w:vAlign w:val="center"/>
          </w:tcPr>
          <w:p>
            <w:pPr>
              <w:spacing w:line="300" w:lineRule="exact"/>
              <w:jc w:val="left"/>
              <w:outlineLvl w:val="0"/>
            </w:pPr>
          </w:p>
        </w:tc>
        <w:tc>
          <w:tcPr>
            <w:tcW w:w="1550" w:type="dxa"/>
            <w:vMerge w:val="continue"/>
            <w:vAlign w:val="center"/>
          </w:tcPr>
          <w:p>
            <w:pPr>
              <w:spacing w:line="300" w:lineRule="exact"/>
              <w:jc w:val="left"/>
              <w:outlineLvl w:val="0"/>
            </w:pPr>
          </w:p>
        </w:tc>
        <w:tc>
          <w:tcPr>
            <w:tcW w:w="673" w:type="dxa"/>
            <w:vMerge w:val="continue"/>
            <w:vAlign w:val="center"/>
          </w:tcPr>
          <w:p>
            <w:pPr>
              <w:spacing w:line="300" w:lineRule="exact"/>
              <w:jc w:val="left"/>
              <w:outlineLvl w:val="0"/>
            </w:pPr>
          </w:p>
        </w:tc>
        <w:tc>
          <w:tcPr>
            <w:tcW w:w="1082" w:type="dxa"/>
            <w:vMerge w:val="continue"/>
            <w:vAlign w:val="center"/>
          </w:tcPr>
          <w:p>
            <w:pPr>
              <w:spacing w:line="300" w:lineRule="exact"/>
              <w:jc w:val="left"/>
              <w:outlineLvl w:val="0"/>
            </w:pPr>
          </w:p>
        </w:tc>
        <w:tc>
          <w:tcPr>
            <w:tcW w:w="1251" w:type="dxa"/>
            <w:vMerge w:val="continue"/>
            <w:vAlign w:val="center"/>
          </w:tcPr>
          <w:p>
            <w:pPr>
              <w:spacing w:line="300" w:lineRule="exact"/>
              <w:jc w:val="left"/>
              <w:outlineLvl w:val="0"/>
            </w:pPr>
          </w:p>
        </w:tc>
        <w:tc>
          <w:tcPr>
            <w:tcW w:w="1256" w:type="dxa"/>
            <w:vMerge w:val="continue"/>
            <w:vAlign w:val="center"/>
          </w:tcPr>
          <w:p>
            <w:pPr>
              <w:spacing w:line="300" w:lineRule="exact"/>
              <w:jc w:val="left"/>
              <w:outlineLvl w:val="0"/>
            </w:pPr>
          </w:p>
        </w:tc>
        <w:tc>
          <w:tcPr>
            <w:tcW w:w="1256"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256"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67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67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682"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67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23" w:type="dxa"/>
            <w:vAlign w:val="center"/>
          </w:tcPr>
          <w:p>
            <w:pPr>
              <w:spacing w:line="300" w:lineRule="exact"/>
              <w:jc w:val="right"/>
              <w:rPr>
                <w:rFonts w:ascii="方正书宋_GBK" w:eastAsia="方正书宋_GBK"/>
                <w:b/>
              </w:rPr>
            </w:pPr>
          </w:p>
        </w:tc>
        <w:tc>
          <w:tcPr>
            <w:tcW w:w="1179" w:type="dxa"/>
            <w:vAlign w:val="center"/>
          </w:tcPr>
          <w:p>
            <w:pPr>
              <w:spacing w:line="300" w:lineRule="exact"/>
              <w:jc w:val="left"/>
              <w:rPr>
                <w:rFonts w:ascii="方正书宋_GBK" w:eastAsia="方正书宋_GBK"/>
                <w:b/>
              </w:rPr>
            </w:pPr>
          </w:p>
        </w:tc>
        <w:tc>
          <w:tcPr>
            <w:tcW w:w="1550" w:type="dxa"/>
            <w:vAlign w:val="center"/>
          </w:tcPr>
          <w:p>
            <w:pPr>
              <w:spacing w:line="300" w:lineRule="exact"/>
              <w:jc w:val="left"/>
              <w:rPr>
                <w:rFonts w:ascii="方正书宋_GBK" w:eastAsia="方正书宋_GBK"/>
                <w:b/>
              </w:rPr>
            </w:pPr>
          </w:p>
        </w:tc>
        <w:tc>
          <w:tcPr>
            <w:tcW w:w="673" w:type="dxa"/>
            <w:vAlign w:val="center"/>
          </w:tcPr>
          <w:p>
            <w:pPr>
              <w:spacing w:line="300" w:lineRule="exact"/>
              <w:jc w:val="left"/>
              <w:rPr>
                <w:rFonts w:ascii="方正书宋_GBK" w:eastAsia="方正书宋_GBK"/>
                <w:b/>
              </w:rPr>
            </w:pPr>
          </w:p>
        </w:tc>
        <w:tc>
          <w:tcPr>
            <w:tcW w:w="1082" w:type="dxa"/>
            <w:vAlign w:val="center"/>
          </w:tcPr>
          <w:p>
            <w:pPr>
              <w:spacing w:line="300" w:lineRule="exact"/>
              <w:jc w:val="right"/>
              <w:rPr>
                <w:rFonts w:ascii="方正书宋_GBK" w:eastAsia="方正书宋_GBK"/>
                <w:b/>
              </w:rPr>
            </w:pPr>
          </w:p>
        </w:tc>
        <w:tc>
          <w:tcPr>
            <w:tcW w:w="1251" w:type="dxa"/>
            <w:vAlign w:val="center"/>
          </w:tcPr>
          <w:p>
            <w:pPr>
              <w:spacing w:line="300" w:lineRule="exact"/>
              <w:jc w:val="right"/>
              <w:rPr>
                <w:rFonts w:ascii="方正书宋_GBK" w:eastAsia="方正书宋_GBK"/>
                <w:b/>
              </w:rPr>
            </w:pP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673" w:type="dxa"/>
            <w:vAlign w:val="center"/>
          </w:tcPr>
          <w:p>
            <w:pPr>
              <w:spacing w:line="300" w:lineRule="exact"/>
              <w:jc w:val="right"/>
              <w:rPr>
                <w:rFonts w:ascii="方正书宋_GBK" w:eastAsia="方正书宋_GBK"/>
                <w:b/>
              </w:rPr>
            </w:pPr>
          </w:p>
        </w:tc>
        <w:tc>
          <w:tcPr>
            <w:tcW w:w="673" w:type="dxa"/>
            <w:vAlign w:val="center"/>
          </w:tcPr>
          <w:p>
            <w:pPr>
              <w:spacing w:line="300" w:lineRule="exact"/>
              <w:jc w:val="right"/>
              <w:rPr>
                <w:rFonts w:ascii="方正书宋_GBK" w:eastAsia="方正书宋_GBK"/>
                <w:b/>
              </w:rPr>
            </w:pPr>
          </w:p>
        </w:tc>
        <w:tc>
          <w:tcPr>
            <w:tcW w:w="682" w:type="dxa"/>
            <w:vAlign w:val="center"/>
          </w:tcPr>
          <w:p>
            <w:pPr>
              <w:spacing w:line="300" w:lineRule="exact"/>
              <w:jc w:val="right"/>
              <w:rPr>
                <w:rFonts w:ascii="方正书宋_GBK" w:eastAsia="方正书宋_GBK"/>
                <w:b/>
              </w:rPr>
            </w:pPr>
          </w:p>
        </w:tc>
        <w:tc>
          <w:tcPr>
            <w:tcW w:w="67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center"/>
              <w:rPr>
                <w:rFonts w:ascii="方正书宋_GBK" w:eastAsia="方正书宋_GBK"/>
                <w:b/>
              </w:rPr>
            </w:pPr>
            <w:r>
              <w:rPr>
                <w:rFonts w:hint="eastAsia" w:ascii="方正书宋_GBK" w:eastAsia="方正书宋_GBK"/>
                <w:b/>
              </w:rPr>
              <w:t>石家庄市工业和信息化局小计</w:t>
            </w:r>
          </w:p>
        </w:tc>
        <w:tc>
          <w:tcPr>
            <w:tcW w:w="1123" w:type="dxa"/>
            <w:vAlign w:val="center"/>
          </w:tcPr>
          <w:p>
            <w:pPr>
              <w:spacing w:line="300" w:lineRule="exact"/>
              <w:jc w:val="right"/>
              <w:rPr>
                <w:rFonts w:ascii="方正书宋_GBK" w:eastAsia="方正书宋_GBK"/>
                <w:b/>
              </w:rPr>
            </w:pPr>
          </w:p>
        </w:tc>
        <w:tc>
          <w:tcPr>
            <w:tcW w:w="1179" w:type="dxa"/>
            <w:vAlign w:val="center"/>
          </w:tcPr>
          <w:p>
            <w:pPr>
              <w:spacing w:line="300" w:lineRule="exact"/>
              <w:jc w:val="left"/>
              <w:rPr>
                <w:rFonts w:ascii="方正书宋_GBK" w:eastAsia="方正书宋_GBK"/>
                <w:b/>
              </w:rPr>
            </w:pPr>
          </w:p>
        </w:tc>
        <w:tc>
          <w:tcPr>
            <w:tcW w:w="1550" w:type="dxa"/>
            <w:vAlign w:val="center"/>
          </w:tcPr>
          <w:p>
            <w:pPr>
              <w:spacing w:line="300" w:lineRule="exact"/>
              <w:jc w:val="left"/>
              <w:rPr>
                <w:rFonts w:ascii="方正书宋_GBK" w:eastAsia="方正书宋_GBK"/>
                <w:b/>
              </w:rPr>
            </w:pPr>
          </w:p>
        </w:tc>
        <w:tc>
          <w:tcPr>
            <w:tcW w:w="673" w:type="dxa"/>
            <w:vAlign w:val="center"/>
          </w:tcPr>
          <w:p>
            <w:pPr>
              <w:spacing w:line="300" w:lineRule="exact"/>
              <w:jc w:val="left"/>
              <w:rPr>
                <w:rFonts w:ascii="方正书宋_GBK" w:eastAsia="方正书宋_GBK"/>
                <w:b/>
              </w:rPr>
            </w:pPr>
          </w:p>
        </w:tc>
        <w:tc>
          <w:tcPr>
            <w:tcW w:w="1082" w:type="dxa"/>
            <w:vAlign w:val="center"/>
          </w:tcPr>
          <w:p>
            <w:pPr>
              <w:spacing w:line="300" w:lineRule="exact"/>
              <w:jc w:val="right"/>
              <w:rPr>
                <w:rFonts w:ascii="方正书宋_GBK" w:eastAsia="方正书宋_GBK"/>
                <w:b/>
              </w:rPr>
            </w:pPr>
          </w:p>
        </w:tc>
        <w:tc>
          <w:tcPr>
            <w:tcW w:w="1251" w:type="dxa"/>
            <w:vAlign w:val="center"/>
          </w:tcPr>
          <w:p>
            <w:pPr>
              <w:spacing w:line="300" w:lineRule="exact"/>
              <w:jc w:val="right"/>
              <w:rPr>
                <w:rFonts w:ascii="方正书宋_GBK" w:eastAsia="方正书宋_GBK"/>
                <w:b/>
              </w:rPr>
            </w:pP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1256" w:type="dxa"/>
            <w:vAlign w:val="center"/>
          </w:tcPr>
          <w:p>
            <w:pPr>
              <w:spacing w:line="300" w:lineRule="exact"/>
              <w:jc w:val="right"/>
              <w:rPr>
                <w:rFonts w:ascii="方正书宋_GBK" w:eastAsia="方正书宋_GBK"/>
                <w:b/>
              </w:rPr>
            </w:pPr>
            <w:r>
              <w:rPr>
                <w:rFonts w:ascii="方正书宋_GBK" w:eastAsia="方正书宋_GBK"/>
                <w:b/>
              </w:rPr>
              <w:t>354.50</w:t>
            </w:r>
          </w:p>
        </w:tc>
        <w:tc>
          <w:tcPr>
            <w:tcW w:w="673" w:type="dxa"/>
            <w:vAlign w:val="center"/>
          </w:tcPr>
          <w:p>
            <w:pPr>
              <w:spacing w:line="300" w:lineRule="exact"/>
              <w:jc w:val="right"/>
              <w:rPr>
                <w:rFonts w:ascii="方正书宋_GBK" w:eastAsia="方正书宋_GBK"/>
                <w:b/>
              </w:rPr>
            </w:pPr>
          </w:p>
        </w:tc>
        <w:tc>
          <w:tcPr>
            <w:tcW w:w="673" w:type="dxa"/>
            <w:vAlign w:val="center"/>
          </w:tcPr>
          <w:p>
            <w:pPr>
              <w:spacing w:line="300" w:lineRule="exact"/>
              <w:jc w:val="right"/>
              <w:rPr>
                <w:rFonts w:ascii="方正书宋_GBK" w:eastAsia="方正书宋_GBK"/>
                <w:b/>
              </w:rPr>
            </w:pPr>
          </w:p>
        </w:tc>
        <w:tc>
          <w:tcPr>
            <w:tcW w:w="682" w:type="dxa"/>
            <w:vAlign w:val="center"/>
          </w:tcPr>
          <w:p>
            <w:pPr>
              <w:spacing w:line="300" w:lineRule="exact"/>
              <w:jc w:val="right"/>
              <w:rPr>
                <w:rFonts w:ascii="方正书宋_GBK" w:eastAsia="方正书宋_GBK"/>
                <w:b/>
              </w:rPr>
            </w:pPr>
          </w:p>
        </w:tc>
        <w:tc>
          <w:tcPr>
            <w:tcW w:w="67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left"/>
              <w:rPr>
                <w:rFonts w:ascii="方正书宋_GBK" w:eastAsia="方正书宋_GBK"/>
              </w:rPr>
            </w:pPr>
            <w:r>
              <w:rPr>
                <w:rFonts w:ascii="方正书宋_GBK" w:eastAsia="方正书宋_GBK"/>
              </w:rPr>
              <w:t>5.18</w:t>
            </w:r>
            <w:r>
              <w:rPr>
                <w:rFonts w:hint="eastAsia" w:ascii="方正书宋_GBK" w:eastAsia="方正书宋_GBK"/>
              </w:rPr>
              <w:t>经贸洽谈会经费</w:t>
            </w:r>
          </w:p>
        </w:tc>
        <w:tc>
          <w:tcPr>
            <w:tcW w:w="1123" w:type="dxa"/>
            <w:vAlign w:val="center"/>
          </w:tcPr>
          <w:p>
            <w:pPr>
              <w:spacing w:line="300" w:lineRule="exact"/>
              <w:jc w:val="right"/>
              <w:rPr>
                <w:rFonts w:ascii="方正书宋_GBK" w:eastAsia="方正书宋_GBK"/>
              </w:rPr>
            </w:pPr>
            <w:r>
              <w:rPr>
                <w:rFonts w:ascii="方正书宋_GBK" w:eastAsia="方正书宋_GBK"/>
              </w:rPr>
              <w:t>49.00</w:t>
            </w:r>
          </w:p>
        </w:tc>
        <w:tc>
          <w:tcPr>
            <w:tcW w:w="1179" w:type="dxa"/>
            <w:vAlign w:val="center"/>
          </w:tcPr>
          <w:p>
            <w:pPr>
              <w:spacing w:line="300" w:lineRule="exact"/>
              <w:jc w:val="left"/>
              <w:rPr>
                <w:rFonts w:ascii="方正书宋_GBK" w:eastAsia="方正书宋_GBK"/>
              </w:rPr>
            </w:pPr>
            <w:r>
              <w:rPr>
                <w:rFonts w:hint="eastAsia" w:ascii="方正书宋_GBK" w:eastAsia="方正书宋_GBK"/>
              </w:rPr>
              <w:t>展览服务</w:t>
            </w:r>
          </w:p>
        </w:tc>
        <w:tc>
          <w:tcPr>
            <w:tcW w:w="1550" w:type="dxa"/>
            <w:vAlign w:val="center"/>
          </w:tcPr>
          <w:p>
            <w:pPr>
              <w:spacing w:line="300" w:lineRule="exact"/>
              <w:jc w:val="left"/>
              <w:rPr>
                <w:rFonts w:ascii="方正书宋_GBK" w:eastAsia="方正书宋_GBK"/>
              </w:rPr>
            </w:pPr>
            <w:r>
              <w:rPr>
                <w:rFonts w:ascii="方正书宋_GBK" w:eastAsia="方正书宋_GBK"/>
              </w:rPr>
              <w:t>C0602</w:t>
            </w:r>
          </w:p>
        </w:tc>
        <w:tc>
          <w:tcPr>
            <w:tcW w:w="673" w:type="dxa"/>
            <w:vAlign w:val="center"/>
          </w:tcPr>
          <w:p>
            <w:pPr>
              <w:spacing w:line="300" w:lineRule="exact"/>
              <w:jc w:val="left"/>
              <w:rPr>
                <w:rFonts w:ascii="方正书宋_GBK" w:eastAsia="方正书宋_GBK"/>
              </w:rPr>
            </w:pPr>
          </w:p>
        </w:tc>
        <w:tc>
          <w:tcPr>
            <w:tcW w:w="1082" w:type="dxa"/>
            <w:vAlign w:val="center"/>
          </w:tcPr>
          <w:p>
            <w:pPr>
              <w:spacing w:line="300" w:lineRule="exact"/>
              <w:jc w:val="right"/>
              <w:rPr>
                <w:rFonts w:ascii="方正书宋_GBK" w:eastAsia="方正书宋_GBK"/>
              </w:rPr>
            </w:pPr>
            <w:r>
              <w:rPr>
                <w:rFonts w:ascii="方正书宋_GBK" w:eastAsia="方正书宋_GBK"/>
              </w:rPr>
              <w:t>1.00</w:t>
            </w:r>
          </w:p>
        </w:tc>
        <w:tc>
          <w:tcPr>
            <w:tcW w:w="1251" w:type="dxa"/>
            <w:vAlign w:val="center"/>
          </w:tcPr>
          <w:p>
            <w:pPr>
              <w:spacing w:line="300" w:lineRule="exact"/>
              <w:jc w:val="right"/>
              <w:rPr>
                <w:rFonts w:ascii="方正书宋_GBK" w:eastAsia="方正书宋_GBK"/>
              </w:rPr>
            </w:pPr>
            <w:r>
              <w:rPr>
                <w:rFonts w:ascii="方正书宋_GBK" w:eastAsia="方正书宋_GBK"/>
              </w:rPr>
              <w:t>47.00</w:t>
            </w:r>
          </w:p>
        </w:tc>
        <w:tc>
          <w:tcPr>
            <w:tcW w:w="1256" w:type="dxa"/>
            <w:vAlign w:val="center"/>
          </w:tcPr>
          <w:p>
            <w:pPr>
              <w:spacing w:line="300" w:lineRule="exact"/>
              <w:jc w:val="right"/>
              <w:rPr>
                <w:rFonts w:ascii="方正书宋_GBK" w:eastAsia="方正书宋_GBK"/>
              </w:rPr>
            </w:pPr>
            <w:r>
              <w:rPr>
                <w:rFonts w:ascii="方正书宋_GBK" w:eastAsia="方正书宋_GBK"/>
              </w:rPr>
              <w:t>47.00</w:t>
            </w:r>
          </w:p>
        </w:tc>
        <w:tc>
          <w:tcPr>
            <w:tcW w:w="1256" w:type="dxa"/>
            <w:vAlign w:val="center"/>
          </w:tcPr>
          <w:p>
            <w:pPr>
              <w:spacing w:line="300" w:lineRule="exact"/>
              <w:jc w:val="right"/>
              <w:rPr>
                <w:rFonts w:ascii="方正书宋_GBK" w:eastAsia="方正书宋_GBK"/>
              </w:rPr>
            </w:pPr>
            <w:r>
              <w:rPr>
                <w:rFonts w:ascii="方正书宋_GBK" w:eastAsia="方正书宋_GBK"/>
              </w:rPr>
              <w:t>47.00</w:t>
            </w:r>
          </w:p>
        </w:tc>
        <w:tc>
          <w:tcPr>
            <w:tcW w:w="1256" w:type="dxa"/>
            <w:vAlign w:val="center"/>
          </w:tcPr>
          <w:p>
            <w:pPr>
              <w:spacing w:line="300" w:lineRule="exact"/>
              <w:jc w:val="right"/>
              <w:rPr>
                <w:rFonts w:ascii="方正书宋_GBK" w:eastAsia="方正书宋_GBK"/>
              </w:rPr>
            </w:pPr>
            <w:r>
              <w:rPr>
                <w:rFonts w:ascii="方正书宋_GBK" w:eastAsia="方正书宋_GBK"/>
              </w:rPr>
              <w:t>47.00</w:t>
            </w:r>
          </w:p>
        </w:tc>
        <w:tc>
          <w:tcPr>
            <w:tcW w:w="673" w:type="dxa"/>
            <w:vAlign w:val="center"/>
          </w:tcPr>
          <w:p>
            <w:pPr>
              <w:spacing w:line="300" w:lineRule="exact"/>
              <w:jc w:val="right"/>
              <w:rPr>
                <w:rFonts w:ascii="方正书宋_GBK" w:eastAsia="方正书宋_GBK"/>
              </w:rPr>
            </w:pPr>
          </w:p>
        </w:tc>
        <w:tc>
          <w:tcPr>
            <w:tcW w:w="673" w:type="dxa"/>
            <w:vAlign w:val="center"/>
          </w:tcPr>
          <w:p>
            <w:pPr>
              <w:spacing w:line="300" w:lineRule="exact"/>
              <w:jc w:val="right"/>
              <w:rPr>
                <w:rFonts w:ascii="方正书宋_GBK" w:eastAsia="方正书宋_GBK"/>
              </w:rPr>
            </w:pPr>
          </w:p>
        </w:tc>
        <w:tc>
          <w:tcPr>
            <w:tcW w:w="682" w:type="dxa"/>
            <w:vAlign w:val="center"/>
          </w:tcPr>
          <w:p>
            <w:pPr>
              <w:spacing w:line="300" w:lineRule="exact"/>
              <w:jc w:val="right"/>
              <w:rPr>
                <w:rFonts w:ascii="方正书宋_GBK" w:eastAsia="方正书宋_GBK"/>
              </w:rPr>
            </w:pPr>
          </w:p>
        </w:tc>
        <w:tc>
          <w:tcPr>
            <w:tcW w:w="67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left"/>
              <w:rPr>
                <w:rFonts w:ascii="方正书宋_GBK" w:eastAsia="方正书宋_GBK"/>
              </w:rPr>
            </w:pPr>
            <w:r>
              <w:rPr>
                <w:rFonts w:hint="eastAsia" w:ascii="方正书宋_GBK" w:eastAsia="方正书宋_GBK"/>
              </w:rPr>
              <w:t>市主城区公共场所免费</w:t>
            </w:r>
            <w:r>
              <w:rPr>
                <w:rFonts w:ascii="方正书宋_GBK" w:eastAsia="方正书宋_GBK"/>
              </w:rPr>
              <w:t>wifi</w:t>
            </w:r>
            <w:r>
              <w:rPr>
                <w:rFonts w:hint="eastAsia" w:ascii="方正书宋_GBK" w:eastAsia="方正书宋_GBK"/>
              </w:rPr>
              <w:t>检测费</w:t>
            </w:r>
          </w:p>
        </w:tc>
        <w:tc>
          <w:tcPr>
            <w:tcW w:w="1123" w:type="dxa"/>
            <w:vAlign w:val="center"/>
          </w:tcPr>
          <w:p>
            <w:pPr>
              <w:spacing w:line="300" w:lineRule="exact"/>
              <w:jc w:val="right"/>
              <w:rPr>
                <w:rFonts w:ascii="方正书宋_GBK" w:eastAsia="方正书宋_GBK"/>
              </w:rPr>
            </w:pPr>
            <w:r>
              <w:rPr>
                <w:rFonts w:ascii="方正书宋_GBK" w:eastAsia="方正书宋_GBK"/>
              </w:rPr>
              <w:t>133.50</w:t>
            </w:r>
          </w:p>
        </w:tc>
        <w:tc>
          <w:tcPr>
            <w:tcW w:w="1179" w:type="dxa"/>
            <w:vAlign w:val="center"/>
          </w:tcPr>
          <w:p>
            <w:pPr>
              <w:spacing w:line="300" w:lineRule="exact"/>
              <w:jc w:val="left"/>
              <w:rPr>
                <w:rFonts w:ascii="方正书宋_GBK" w:eastAsia="方正书宋_GBK"/>
              </w:rPr>
            </w:pPr>
            <w:r>
              <w:rPr>
                <w:rFonts w:hint="eastAsia" w:ascii="方正书宋_GBK" w:eastAsia="方正书宋_GBK"/>
              </w:rPr>
              <w:t>技术测试和分析服务</w:t>
            </w:r>
          </w:p>
        </w:tc>
        <w:tc>
          <w:tcPr>
            <w:tcW w:w="1550" w:type="dxa"/>
            <w:vAlign w:val="center"/>
          </w:tcPr>
          <w:p>
            <w:pPr>
              <w:spacing w:line="300" w:lineRule="exact"/>
              <w:jc w:val="left"/>
              <w:rPr>
                <w:rFonts w:ascii="方正书宋_GBK" w:eastAsia="方正书宋_GBK"/>
              </w:rPr>
            </w:pPr>
            <w:r>
              <w:rPr>
                <w:rFonts w:ascii="方正书宋_GBK" w:eastAsia="方正书宋_GBK"/>
              </w:rPr>
              <w:t>C0901</w:t>
            </w:r>
          </w:p>
        </w:tc>
        <w:tc>
          <w:tcPr>
            <w:tcW w:w="673" w:type="dxa"/>
            <w:vAlign w:val="center"/>
          </w:tcPr>
          <w:p>
            <w:pPr>
              <w:spacing w:line="300" w:lineRule="exact"/>
              <w:jc w:val="left"/>
              <w:rPr>
                <w:rFonts w:ascii="方正书宋_GBK" w:eastAsia="方正书宋_GBK"/>
              </w:rPr>
            </w:pPr>
          </w:p>
        </w:tc>
        <w:tc>
          <w:tcPr>
            <w:tcW w:w="1082" w:type="dxa"/>
            <w:vAlign w:val="center"/>
          </w:tcPr>
          <w:p>
            <w:pPr>
              <w:spacing w:line="300" w:lineRule="exact"/>
              <w:jc w:val="right"/>
              <w:rPr>
                <w:rFonts w:ascii="方正书宋_GBK" w:eastAsia="方正书宋_GBK"/>
              </w:rPr>
            </w:pPr>
            <w:r>
              <w:rPr>
                <w:rFonts w:ascii="方正书宋_GBK" w:eastAsia="方正书宋_GBK"/>
              </w:rPr>
              <w:t>1.00</w:t>
            </w:r>
          </w:p>
        </w:tc>
        <w:tc>
          <w:tcPr>
            <w:tcW w:w="1251" w:type="dxa"/>
            <w:vAlign w:val="center"/>
          </w:tcPr>
          <w:p>
            <w:pPr>
              <w:spacing w:line="300" w:lineRule="exact"/>
              <w:jc w:val="right"/>
              <w:rPr>
                <w:rFonts w:ascii="方正书宋_GBK" w:eastAsia="方正书宋_GBK"/>
              </w:rPr>
            </w:pPr>
            <w:r>
              <w:rPr>
                <w:rFonts w:ascii="方正书宋_GBK" w:eastAsia="方正书宋_GBK"/>
              </w:rPr>
              <w:t>133.50</w:t>
            </w:r>
          </w:p>
        </w:tc>
        <w:tc>
          <w:tcPr>
            <w:tcW w:w="1256" w:type="dxa"/>
            <w:vAlign w:val="center"/>
          </w:tcPr>
          <w:p>
            <w:pPr>
              <w:spacing w:line="300" w:lineRule="exact"/>
              <w:jc w:val="right"/>
              <w:rPr>
                <w:rFonts w:ascii="方正书宋_GBK" w:eastAsia="方正书宋_GBK"/>
              </w:rPr>
            </w:pPr>
            <w:r>
              <w:rPr>
                <w:rFonts w:ascii="方正书宋_GBK" w:eastAsia="方正书宋_GBK"/>
              </w:rPr>
              <w:t>133.50</w:t>
            </w:r>
          </w:p>
        </w:tc>
        <w:tc>
          <w:tcPr>
            <w:tcW w:w="1256" w:type="dxa"/>
            <w:vAlign w:val="center"/>
          </w:tcPr>
          <w:p>
            <w:pPr>
              <w:spacing w:line="300" w:lineRule="exact"/>
              <w:jc w:val="right"/>
              <w:rPr>
                <w:rFonts w:ascii="方正书宋_GBK" w:eastAsia="方正书宋_GBK"/>
              </w:rPr>
            </w:pPr>
            <w:r>
              <w:rPr>
                <w:rFonts w:ascii="方正书宋_GBK" w:eastAsia="方正书宋_GBK"/>
              </w:rPr>
              <w:t>133.50</w:t>
            </w:r>
          </w:p>
        </w:tc>
        <w:tc>
          <w:tcPr>
            <w:tcW w:w="1256" w:type="dxa"/>
            <w:vAlign w:val="center"/>
          </w:tcPr>
          <w:p>
            <w:pPr>
              <w:spacing w:line="300" w:lineRule="exact"/>
              <w:jc w:val="right"/>
              <w:rPr>
                <w:rFonts w:ascii="方正书宋_GBK" w:eastAsia="方正书宋_GBK"/>
              </w:rPr>
            </w:pPr>
            <w:r>
              <w:rPr>
                <w:rFonts w:ascii="方正书宋_GBK" w:eastAsia="方正书宋_GBK"/>
              </w:rPr>
              <w:t>133.50</w:t>
            </w:r>
          </w:p>
        </w:tc>
        <w:tc>
          <w:tcPr>
            <w:tcW w:w="673" w:type="dxa"/>
            <w:vAlign w:val="center"/>
          </w:tcPr>
          <w:p>
            <w:pPr>
              <w:spacing w:line="300" w:lineRule="exact"/>
              <w:jc w:val="right"/>
              <w:rPr>
                <w:rFonts w:ascii="方正书宋_GBK" w:eastAsia="方正书宋_GBK"/>
              </w:rPr>
            </w:pPr>
          </w:p>
        </w:tc>
        <w:tc>
          <w:tcPr>
            <w:tcW w:w="673" w:type="dxa"/>
            <w:vAlign w:val="center"/>
          </w:tcPr>
          <w:p>
            <w:pPr>
              <w:spacing w:line="300" w:lineRule="exact"/>
              <w:jc w:val="right"/>
              <w:rPr>
                <w:rFonts w:ascii="方正书宋_GBK" w:eastAsia="方正书宋_GBK"/>
              </w:rPr>
            </w:pPr>
          </w:p>
        </w:tc>
        <w:tc>
          <w:tcPr>
            <w:tcW w:w="682" w:type="dxa"/>
            <w:vAlign w:val="center"/>
          </w:tcPr>
          <w:p>
            <w:pPr>
              <w:spacing w:line="300" w:lineRule="exact"/>
              <w:jc w:val="right"/>
              <w:rPr>
                <w:rFonts w:ascii="方正书宋_GBK" w:eastAsia="方正书宋_GBK"/>
              </w:rPr>
            </w:pPr>
          </w:p>
        </w:tc>
        <w:tc>
          <w:tcPr>
            <w:tcW w:w="67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left"/>
              <w:rPr>
                <w:rFonts w:ascii="方正书宋_GBK" w:eastAsia="方正书宋_GBK"/>
              </w:rPr>
            </w:pPr>
            <w:r>
              <w:rPr>
                <w:rFonts w:hint="eastAsia" w:ascii="方正书宋_GBK" w:eastAsia="方正书宋_GBK"/>
              </w:rPr>
              <w:t>市主城区公共场所免费</w:t>
            </w:r>
            <w:r>
              <w:rPr>
                <w:rFonts w:ascii="方正书宋_GBK" w:eastAsia="方正书宋_GBK"/>
              </w:rPr>
              <w:t>wifi</w:t>
            </w:r>
            <w:r>
              <w:rPr>
                <w:rFonts w:hint="eastAsia" w:ascii="方正书宋_GBK" w:eastAsia="方正书宋_GBK"/>
              </w:rPr>
              <w:t>二期购买服务项目</w:t>
            </w:r>
          </w:p>
        </w:tc>
        <w:tc>
          <w:tcPr>
            <w:tcW w:w="1123" w:type="dxa"/>
            <w:vAlign w:val="center"/>
          </w:tcPr>
          <w:p>
            <w:pPr>
              <w:spacing w:line="300" w:lineRule="exact"/>
              <w:jc w:val="right"/>
              <w:rPr>
                <w:rFonts w:ascii="方正书宋_GBK" w:eastAsia="方正书宋_GBK"/>
                <w:w w:val="80"/>
              </w:rPr>
            </w:pPr>
            <w:r>
              <w:rPr>
                <w:rFonts w:ascii="方正书宋_GBK" w:eastAsia="方正书宋_GBK"/>
                <w:w w:val="80"/>
              </w:rPr>
              <w:t>150.00</w:t>
            </w:r>
          </w:p>
        </w:tc>
        <w:tc>
          <w:tcPr>
            <w:tcW w:w="1179" w:type="dxa"/>
            <w:vAlign w:val="center"/>
          </w:tcPr>
          <w:p>
            <w:pPr>
              <w:spacing w:line="300" w:lineRule="exact"/>
              <w:jc w:val="left"/>
              <w:rPr>
                <w:rFonts w:ascii="方正书宋_GBK" w:eastAsia="方正书宋_GBK"/>
              </w:rPr>
            </w:pPr>
            <w:r>
              <w:rPr>
                <w:rFonts w:hint="eastAsia" w:ascii="方正书宋_GBK" w:eastAsia="方正书宋_GBK"/>
              </w:rPr>
              <w:t>信息化工程监理服务</w:t>
            </w:r>
          </w:p>
        </w:tc>
        <w:tc>
          <w:tcPr>
            <w:tcW w:w="1550" w:type="dxa"/>
            <w:vAlign w:val="center"/>
          </w:tcPr>
          <w:p>
            <w:pPr>
              <w:spacing w:line="300" w:lineRule="exact"/>
              <w:jc w:val="left"/>
              <w:rPr>
                <w:rFonts w:ascii="方正书宋_GBK" w:eastAsia="方正书宋_GBK"/>
              </w:rPr>
            </w:pPr>
            <w:r>
              <w:rPr>
                <w:rFonts w:ascii="方正书宋_GBK" w:eastAsia="方正书宋_GBK"/>
              </w:rPr>
              <w:t>C0204</w:t>
            </w:r>
          </w:p>
        </w:tc>
        <w:tc>
          <w:tcPr>
            <w:tcW w:w="673" w:type="dxa"/>
            <w:vAlign w:val="center"/>
          </w:tcPr>
          <w:p>
            <w:pPr>
              <w:spacing w:line="300" w:lineRule="exact"/>
              <w:jc w:val="left"/>
              <w:rPr>
                <w:rFonts w:ascii="方正书宋_GBK" w:eastAsia="方正书宋_GBK"/>
              </w:rPr>
            </w:pPr>
          </w:p>
        </w:tc>
        <w:tc>
          <w:tcPr>
            <w:tcW w:w="1082" w:type="dxa"/>
            <w:vAlign w:val="center"/>
          </w:tcPr>
          <w:p>
            <w:pPr>
              <w:spacing w:line="300" w:lineRule="exact"/>
              <w:jc w:val="right"/>
              <w:rPr>
                <w:rFonts w:ascii="方正书宋_GBK" w:eastAsia="方正书宋_GBK"/>
              </w:rPr>
            </w:pPr>
            <w:r>
              <w:rPr>
                <w:rFonts w:ascii="方正书宋_GBK" w:eastAsia="方正书宋_GBK"/>
              </w:rPr>
              <w:t>1.00</w:t>
            </w:r>
          </w:p>
        </w:tc>
        <w:tc>
          <w:tcPr>
            <w:tcW w:w="1251" w:type="dxa"/>
            <w:vAlign w:val="center"/>
          </w:tcPr>
          <w:p>
            <w:pPr>
              <w:spacing w:line="300" w:lineRule="exact"/>
              <w:jc w:val="right"/>
              <w:rPr>
                <w:rFonts w:ascii="方正书宋_GBK" w:eastAsia="方正书宋_GBK"/>
              </w:rPr>
            </w:pPr>
            <w:r>
              <w:rPr>
                <w:rFonts w:ascii="方正书宋_GBK" w:eastAsia="方正书宋_GBK"/>
              </w:rPr>
              <w:t>150.00</w:t>
            </w:r>
          </w:p>
        </w:tc>
        <w:tc>
          <w:tcPr>
            <w:tcW w:w="1256" w:type="dxa"/>
            <w:vAlign w:val="center"/>
          </w:tcPr>
          <w:p>
            <w:pPr>
              <w:spacing w:line="300" w:lineRule="exact"/>
              <w:jc w:val="right"/>
              <w:rPr>
                <w:rFonts w:ascii="方正书宋_GBK" w:eastAsia="方正书宋_GBK"/>
              </w:rPr>
            </w:pPr>
            <w:r>
              <w:rPr>
                <w:rFonts w:ascii="方正书宋_GBK" w:eastAsia="方正书宋_GBK"/>
              </w:rPr>
              <w:t>150.00</w:t>
            </w:r>
          </w:p>
        </w:tc>
        <w:tc>
          <w:tcPr>
            <w:tcW w:w="1256" w:type="dxa"/>
            <w:vAlign w:val="center"/>
          </w:tcPr>
          <w:p>
            <w:pPr>
              <w:spacing w:line="300" w:lineRule="exact"/>
              <w:jc w:val="right"/>
              <w:rPr>
                <w:rFonts w:ascii="方正书宋_GBK" w:eastAsia="方正书宋_GBK"/>
              </w:rPr>
            </w:pPr>
            <w:r>
              <w:rPr>
                <w:rFonts w:ascii="方正书宋_GBK" w:eastAsia="方正书宋_GBK"/>
              </w:rPr>
              <w:t>150.00</w:t>
            </w:r>
          </w:p>
        </w:tc>
        <w:tc>
          <w:tcPr>
            <w:tcW w:w="1256" w:type="dxa"/>
            <w:vAlign w:val="center"/>
          </w:tcPr>
          <w:p>
            <w:pPr>
              <w:spacing w:line="300" w:lineRule="exact"/>
              <w:jc w:val="right"/>
              <w:rPr>
                <w:rFonts w:ascii="方正书宋_GBK" w:eastAsia="方正书宋_GBK"/>
              </w:rPr>
            </w:pPr>
            <w:r>
              <w:rPr>
                <w:rFonts w:ascii="方正书宋_GBK" w:eastAsia="方正书宋_GBK"/>
              </w:rPr>
              <w:t>150.00</w:t>
            </w:r>
          </w:p>
        </w:tc>
        <w:tc>
          <w:tcPr>
            <w:tcW w:w="673" w:type="dxa"/>
            <w:vAlign w:val="center"/>
          </w:tcPr>
          <w:p>
            <w:pPr>
              <w:spacing w:line="300" w:lineRule="exact"/>
              <w:jc w:val="right"/>
              <w:rPr>
                <w:rFonts w:ascii="方正书宋_GBK" w:eastAsia="方正书宋_GBK"/>
              </w:rPr>
            </w:pPr>
          </w:p>
        </w:tc>
        <w:tc>
          <w:tcPr>
            <w:tcW w:w="673" w:type="dxa"/>
            <w:vAlign w:val="center"/>
          </w:tcPr>
          <w:p>
            <w:pPr>
              <w:spacing w:line="300" w:lineRule="exact"/>
              <w:jc w:val="right"/>
              <w:rPr>
                <w:rFonts w:ascii="方正书宋_GBK" w:eastAsia="方正书宋_GBK"/>
              </w:rPr>
            </w:pPr>
          </w:p>
        </w:tc>
        <w:tc>
          <w:tcPr>
            <w:tcW w:w="682" w:type="dxa"/>
            <w:vAlign w:val="center"/>
          </w:tcPr>
          <w:p>
            <w:pPr>
              <w:spacing w:line="300" w:lineRule="exact"/>
              <w:jc w:val="right"/>
              <w:rPr>
                <w:rFonts w:ascii="方正书宋_GBK" w:eastAsia="方正书宋_GBK"/>
              </w:rPr>
            </w:pPr>
          </w:p>
        </w:tc>
        <w:tc>
          <w:tcPr>
            <w:tcW w:w="67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87" w:type="dxa"/>
            <w:vAlign w:val="center"/>
          </w:tcPr>
          <w:p>
            <w:pPr>
              <w:spacing w:line="300" w:lineRule="exact"/>
              <w:jc w:val="left"/>
              <w:rPr>
                <w:rFonts w:ascii="方正书宋_GBK" w:eastAsia="方正书宋_GBK"/>
              </w:rPr>
            </w:pPr>
            <w:r>
              <w:rPr>
                <w:rFonts w:hint="eastAsia" w:ascii="方正书宋_GBK" w:eastAsia="方正书宋_GBK"/>
              </w:rPr>
              <w:t>购置电脑打印机等办公设备</w:t>
            </w:r>
          </w:p>
        </w:tc>
        <w:tc>
          <w:tcPr>
            <w:tcW w:w="1123" w:type="dxa"/>
            <w:vAlign w:val="center"/>
          </w:tcPr>
          <w:p>
            <w:pPr>
              <w:spacing w:line="300" w:lineRule="exact"/>
              <w:jc w:val="right"/>
              <w:rPr>
                <w:rFonts w:ascii="方正书宋_GBK" w:eastAsia="方正书宋_GBK"/>
              </w:rPr>
            </w:pPr>
            <w:r>
              <w:rPr>
                <w:rFonts w:ascii="方正书宋_GBK" w:eastAsia="方正书宋_GBK"/>
              </w:rPr>
              <w:t>24.00</w:t>
            </w:r>
          </w:p>
        </w:tc>
        <w:tc>
          <w:tcPr>
            <w:tcW w:w="1179"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550" w:type="dxa"/>
            <w:vAlign w:val="center"/>
          </w:tcPr>
          <w:p>
            <w:pPr>
              <w:spacing w:line="300" w:lineRule="exact"/>
              <w:jc w:val="left"/>
              <w:rPr>
                <w:rFonts w:ascii="方正书宋_GBK" w:eastAsia="方正书宋_GBK"/>
              </w:rPr>
            </w:pPr>
            <w:r>
              <w:rPr>
                <w:rFonts w:ascii="方正书宋_GBK" w:eastAsia="方正书宋_GBK"/>
              </w:rPr>
              <w:t>A020101</w:t>
            </w:r>
          </w:p>
        </w:tc>
        <w:tc>
          <w:tcPr>
            <w:tcW w:w="673" w:type="dxa"/>
            <w:vAlign w:val="center"/>
          </w:tcPr>
          <w:p>
            <w:pPr>
              <w:spacing w:line="300" w:lineRule="exact"/>
              <w:jc w:val="left"/>
              <w:rPr>
                <w:rFonts w:ascii="方正书宋_GBK" w:eastAsia="方正书宋_GBK"/>
              </w:rPr>
            </w:pPr>
          </w:p>
        </w:tc>
        <w:tc>
          <w:tcPr>
            <w:tcW w:w="1082" w:type="dxa"/>
            <w:vAlign w:val="center"/>
          </w:tcPr>
          <w:p>
            <w:pPr>
              <w:spacing w:line="300" w:lineRule="exact"/>
              <w:jc w:val="right"/>
              <w:rPr>
                <w:rFonts w:ascii="方正书宋_GBK" w:eastAsia="方正书宋_GBK"/>
              </w:rPr>
            </w:pPr>
            <w:r>
              <w:rPr>
                <w:rFonts w:ascii="方正书宋_GBK" w:eastAsia="方正书宋_GBK"/>
              </w:rPr>
              <w:t>60.00</w:t>
            </w:r>
          </w:p>
        </w:tc>
        <w:tc>
          <w:tcPr>
            <w:tcW w:w="1251" w:type="dxa"/>
            <w:vAlign w:val="center"/>
          </w:tcPr>
          <w:p>
            <w:pPr>
              <w:spacing w:line="300" w:lineRule="exact"/>
              <w:jc w:val="right"/>
              <w:rPr>
                <w:rFonts w:ascii="方正书宋_GBK" w:eastAsia="方正书宋_GBK"/>
              </w:rPr>
            </w:pPr>
            <w:r>
              <w:rPr>
                <w:rFonts w:ascii="方正书宋_GBK" w:eastAsia="方正书宋_GBK"/>
              </w:rPr>
              <w:t>0.40</w:t>
            </w:r>
          </w:p>
        </w:tc>
        <w:tc>
          <w:tcPr>
            <w:tcW w:w="1256" w:type="dxa"/>
            <w:vAlign w:val="center"/>
          </w:tcPr>
          <w:p>
            <w:pPr>
              <w:spacing w:line="300" w:lineRule="exact"/>
              <w:jc w:val="right"/>
              <w:rPr>
                <w:rFonts w:ascii="方正书宋_GBK" w:eastAsia="方正书宋_GBK"/>
              </w:rPr>
            </w:pPr>
            <w:r>
              <w:rPr>
                <w:rFonts w:ascii="方正书宋_GBK" w:eastAsia="方正书宋_GBK"/>
              </w:rPr>
              <w:t>24.00</w:t>
            </w:r>
          </w:p>
        </w:tc>
        <w:tc>
          <w:tcPr>
            <w:tcW w:w="1256" w:type="dxa"/>
            <w:vAlign w:val="center"/>
          </w:tcPr>
          <w:p>
            <w:pPr>
              <w:spacing w:line="300" w:lineRule="exact"/>
              <w:jc w:val="right"/>
              <w:rPr>
                <w:rFonts w:ascii="方正书宋_GBK" w:eastAsia="方正书宋_GBK"/>
              </w:rPr>
            </w:pPr>
            <w:r>
              <w:rPr>
                <w:rFonts w:ascii="方正书宋_GBK" w:eastAsia="方正书宋_GBK"/>
              </w:rPr>
              <w:t>24.00</w:t>
            </w:r>
          </w:p>
        </w:tc>
        <w:tc>
          <w:tcPr>
            <w:tcW w:w="1256" w:type="dxa"/>
            <w:vAlign w:val="center"/>
          </w:tcPr>
          <w:p>
            <w:pPr>
              <w:spacing w:line="300" w:lineRule="exact"/>
              <w:jc w:val="right"/>
              <w:rPr>
                <w:rFonts w:ascii="方正书宋_GBK" w:eastAsia="方正书宋_GBK"/>
              </w:rPr>
            </w:pPr>
            <w:r>
              <w:rPr>
                <w:rFonts w:ascii="方正书宋_GBK" w:eastAsia="方正书宋_GBK"/>
              </w:rPr>
              <w:t>24.00</w:t>
            </w:r>
          </w:p>
        </w:tc>
        <w:tc>
          <w:tcPr>
            <w:tcW w:w="673" w:type="dxa"/>
            <w:vAlign w:val="center"/>
          </w:tcPr>
          <w:p>
            <w:pPr>
              <w:spacing w:line="300" w:lineRule="exact"/>
              <w:jc w:val="right"/>
              <w:rPr>
                <w:rFonts w:ascii="方正书宋_GBK" w:eastAsia="方正书宋_GBK"/>
              </w:rPr>
            </w:pPr>
          </w:p>
        </w:tc>
        <w:tc>
          <w:tcPr>
            <w:tcW w:w="673" w:type="dxa"/>
            <w:vAlign w:val="center"/>
          </w:tcPr>
          <w:p>
            <w:pPr>
              <w:spacing w:line="300" w:lineRule="exact"/>
              <w:jc w:val="right"/>
              <w:rPr>
                <w:rFonts w:ascii="方正书宋_GBK" w:eastAsia="方正书宋_GBK"/>
              </w:rPr>
            </w:pPr>
          </w:p>
        </w:tc>
        <w:tc>
          <w:tcPr>
            <w:tcW w:w="682" w:type="dxa"/>
            <w:vAlign w:val="center"/>
          </w:tcPr>
          <w:p>
            <w:pPr>
              <w:spacing w:line="300" w:lineRule="exact"/>
              <w:jc w:val="right"/>
              <w:rPr>
                <w:rFonts w:ascii="方正书宋_GBK" w:eastAsia="方正书宋_GBK"/>
              </w:rPr>
            </w:pPr>
          </w:p>
        </w:tc>
        <w:tc>
          <w:tcPr>
            <w:tcW w:w="676" w:type="dxa"/>
            <w:vAlign w:val="center"/>
          </w:tcPr>
          <w:p>
            <w:pPr>
              <w:spacing w:line="300" w:lineRule="exact"/>
              <w:jc w:val="right"/>
              <w:rPr>
                <w:rFonts w:ascii="方正书宋_GBK" w:eastAsia="方正书宋_GBK"/>
              </w:rPr>
            </w:pPr>
          </w:p>
        </w:tc>
      </w:tr>
    </w:tbl>
    <w:p>
      <w:pPr>
        <w:rPr>
          <w:rFonts w:ascii="仿宋_GB2312" w:eastAsia="仿宋_GB2312"/>
          <w:sz w:val="32"/>
          <w:szCs w:val="32"/>
        </w:rPr>
      </w:pPr>
      <w:r>
        <w:rPr>
          <w:rFonts w:hint="eastAsia"/>
        </w:rPr>
        <w:t xml:space="preserve">  </w:t>
      </w:r>
      <w:r>
        <w:rPr>
          <w:rFonts w:hint="eastAsia" w:ascii="仿宋_GB2312" w:eastAsia="仿宋_GB2312"/>
          <w:sz w:val="32"/>
          <w:szCs w:val="32"/>
        </w:rPr>
        <w:t xml:space="preserve"> </w:t>
      </w:r>
    </w:p>
    <w:p>
      <w:pPr>
        <w:pStyle w:val="6"/>
        <w:ind w:left="710" w:firstLine="0" w:firstLineChars="0"/>
        <w:rPr>
          <w:rFonts w:ascii="黑体" w:hAnsi="黑体" w:eastAsia="黑体" w:cs="黑体"/>
          <w:sz w:val="32"/>
          <w:szCs w:val="32"/>
        </w:rPr>
      </w:pPr>
      <w:r>
        <w:rPr>
          <w:rFonts w:hint="eastAsia" w:ascii="黑体" w:hAnsi="黑体" w:eastAsia="黑体" w:cs="黑体"/>
          <w:sz w:val="32"/>
          <w:szCs w:val="32"/>
        </w:rPr>
        <w:t>七、国有资产信息</w:t>
      </w:r>
    </w:p>
    <w:p>
      <w:pPr>
        <w:ind w:firstLine="707" w:firstLineChars="221"/>
        <w:rPr>
          <w:rFonts w:ascii="仿宋_GB2312" w:eastAsia="仿宋_GB2312"/>
          <w:sz w:val="32"/>
          <w:szCs w:val="32"/>
        </w:rPr>
      </w:pPr>
      <w:r>
        <w:rPr>
          <w:rFonts w:hint="eastAsia" w:ascii="仿宋_GB2312" w:eastAsia="仿宋_GB2312"/>
          <w:sz w:val="32"/>
          <w:szCs w:val="32"/>
        </w:rPr>
        <w:t>石家庄市工信局上年末固定资产金额为1004.40万元（详见下表），本年度拟购置固定资产24万元，主要为计算机设备、打印设备、空调、办公家具等，已列入政府采购预算，详见政府采购预算表。</w:t>
      </w:r>
    </w:p>
    <w:tbl>
      <w:tblPr>
        <w:tblStyle w:val="4"/>
        <w:tblW w:w="13922" w:type="dxa"/>
        <w:tblInd w:w="0" w:type="dxa"/>
        <w:tblLayout w:type="fixed"/>
        <w:tblCellMar>
          <w:top w:w="0" w:type="dxa"/>
          <w:left w:w="30" w:type="dxa"/>
          <w:bottom w:w="0" w:type="dxa"/>
          <w:right w:w="30" w:type="dxa"/>
        </w:tblCellMar>
      </w:tblPr>
      <w:tblGrid>
        <w:gridCol w:w="4425"/>
        <w:gridCol w:w="1417"/>
        <w:gridCol w:w="8080"/>
      </w:tblGrid>
      <w:tr>
        <w:tblPrEx>
          <w:tblCellMar>
            <w:top w:w="0" w:type="dxa"/>
            <w:left w:w="30" w:type="dxa"/>
            <w:bottom w:w="0" w:type="dxa"/>
            <w:right w:w="30" w:type="dxa"/>
          </w:tblCellMar>
        </w:tblPrEx>
        <w:trPr>
          <w:trHeight w:val="557" w:hRule="atLeast"/>
        </w:trPr>
        <w:tc>
          <w:tcPr>
            <w:tcW w:w="13922" w:type="dxa"/>
            <w:gridSpan w:val="3"/>
            <w:tcBorders>
              <w:top w:val="nil"/>
              <w:left w:val="nil"/>
              <w:bottom w:val="nil"/>
              <w:right w:val="nil"/>
            </w:tcBorders>
            <w:vAlign w:val="center"/>
          </w:tcPr>
          <w:p>
            <w:pPr>
              <w:autoSpaceDE w:val="0"/>
              <w:autoSpaceDN w:val="0"/>
              <w:adjustRightInd w:val="0"/>
              <w:jc w:val="center"/>
              <w:rPr>
                <w:rFonts w:ascii="宋体" w:eastAsia="宋体" w:cs="宋体"/>
                <w:color w:val="000000"/>
                <w:kern w:val="0"/>
                <w:sz w:val="22"/>
              </w:rPr>
            </w:pPr>
            <w:r>
              <w:rPr>
                <w:rFonts w:hint="eastAsia" w:ascii="方正小标宋_GBK" w:eastAsia="方正小标宋_GBK"/>
                <w:sz w:val="32"/>
              </w:rPr>
              <w:t>石家庄市市直部门固定资产占用情况表</w:t>
            </w:r>
          </w:p>
        </w:tc>
      </w:tr>
      <w:tr>
        <w:tblPrEx>
          <w:tblCellMar>
            <w:top w:w="0" w:type="dxa"/>
            <w:left w:w="30" w:type="dxa"/>
            <w:bottom w:w="0" w:type="dxa"/>
            <w:right w:w="30" w:type="dxa"/>
          </w:tblCellMar>
        </w:tblPrEx>
        <w:trPr>
          <w:trHeight w:val="586" w:hRule="atLeast"/>
        </w:trPr>
        <w:tc>
          <w:tcPr>
            <w:tcW w:w="13922" w:type="dxa"/>
            <w:gridSpan w:val="3"/>
            <w:tcBorders>
              <w:top w:val="nil"/>
              <w:left w:val="nil"/>
              <w:bottom w:val="single" w:color="auto" w:sz="6" w:space="0"/>
              <w:right w:val="nil"/>
            </w:tcBorders>
            <w:vAlign w:val="center"/>
          </w:tcPr>
          <w:p>
            <w:pPr>
              <w:autoSpaceDE w:val="0"/>
              <w:autoSpaceDN w:val="0"/>
              <w:adjustRightInd w:val="0"/>
              <w:jc w:val="left"/>
              <w:rPr>
                <w:rFonts w:ascii="宋体" w:eastAsia="宋体" w:cs="宋体"/>
                <w:color w:val="000000"/>
                <w:kern w:val="0"/>
                <w:sz w:val="22"/>
              </w:rPr>
            </w:pPr>
            <w:r>
              <w:rPr>
                <w:rFonts w:hint="eastAsia" w:ascii="宋体" w:eastAsia="宋体" w:cs="宋体"/>
                <w:color w:val="000000"/>
                <w:kern w:val="0"/>
                <w:sz w:val="22"/>
              </w:rPr>
              <w:t>编制部门：河北省财政厅</w:t>
            </w:r>
            <w:r>
              <w:rPr>
                <w:rFonts w:ascii="宋体" w:eastAsia="宋体" w:cs="宋体"/>
                <w:color w:val="000000"/>
                <w:kern w:val="0"/>
                <w:sz w:val="22"/>
              </w:rPr>
              <w:t xml:space="preserve">                                    </w:t>
            </w:r>
            <w:r>
              <w:rPr>
                <w:rFonts w:hint="eastAsia" w:ascii="宋体" w:eastAsia="宋体" w:cs="宋体"/>
                <w:color w:val="000000"/>
                <w:kern w:val="0"/>
                <w:sz w:val="22"/>
              </w:rPr>
              <w:t xml:space="preserve">                                    </w:t>
            </w:r>
            <w:r>
              <w:rPr>
                <w:rFonts w:ascii="宋体" w:eastAsia="宋体" w:cs="宋体"/>
                <w:color w:val="000000"/>
                <w:kern w:val="0"/>
                <w:sz w:val="22"/>
              </w:rPr>
              <w:t xml:space="preserve">    </w:t>
            </w:r>
            <w:r>
              <w:rPr>
                <w:rFonts w:hint="eastAsia" w:ascii="宋体" w:eastAsia="宋体" w:cs="宋体"/>
                <w:color w:val="000000"/>
                <w:kern w:val="0"/>
                <w:sz w:val="22"/>
              </w:rPr>
              <w:t>截止时间：</w:t>
            </w:r>
            <w:r>
              <w:rPr>
                <w:rFonts w:ascii="宋体" w:eastAsia="宋体" w:cs="宋体"/>
                <w:color w:val="000000"/>
                <w:kern w:val="0"/>
                <w:sz w:val="22"/>
              </w:rPr>
              <w:t>2017</w:t>
            </w:r>
            <w:r>
              <w:rPr>
                <w:rFonts w:hint="eastAsia" w:ascii="宋体" w:eastAsia="宋体" w:cs="宋体"/>
                <w:color w:val="000000"/>
                <w:kern w:val="0"/>
                <w:sz w:val="22"/>
              </w:rPr>
              <w:t>年</w:t>
            </w:r>
            <w:r>
              <w:rPr>
                <w:rFonts w:ascii="宋体" w:eastAsia="宋体" w:cs="宋体"/>
                <w:color w:val="000000"/>
                <w:kern w:val="0"/>
                <w:sz w:val="22"/>
              </w:rPr>
              <w:t>12</w:t>
            </w:r>
            <w:r>
              <w:rPr>
                <w:rFonts w:hint="eastAsia" w:ascii="宋体" w:eastAsia="宋体" w:cs="宋体"/>
                <w:color w:val="000000"/>
                <w:kern w:val="0"/>
                <w:sz w:val="22"/>
              </w:rPr>
              <w:t>月</w:t>
            </w:r>
            <w:r>
              <w:rPr>
                <w:rFonts w:ascii="宋体" w:eastAsia="宋体" w:cs="宋体"/>
                <w:color w:val="000000"/>
                <w:kern w:val="0"/>
                <w:sz w:val="22"/>
              </w:rPr>
              <w:t>31</w:t>
            </w:r>
            <w:r>
              <w:rPr>
                <w:rFonts w:hint="eastAsia" w:ascii="宋体" w:eastAsia="宋体" w:cs="宋体"/>
                <w:color w:val="000000"/>
                <w:kern w:val="0"/>
                <w:sz w:val="22"/>
              </w:rPr>
              <w:t>日</w:t>
            </w:r>
          </w:p>
        </w:tc>
      </w:tr>
      <w:tr>
        <w:tblPrEx>
          <w:tblCellMar>
            <w:top w:w="0" w:type="dxa"/>
            <w:left w:w="30" w:type="dxa"/>
            <w:bottom w:w="0" w:type="dxa"/>
            <w:right w:w="30" w:type="dxa"/>
          </w:tblCellMar>
        </w:tblPrEx>
        <w:trPr>
          <w:trHeight w:val="557"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hint="eastAsia" w:ascii="宋体" w:eastAsia="宋体" w:cs="宋体"/>
                <w:color w:val="000000"/>
                <w:kern w:val="0"/>
                <w:sz w:val="22"/>
              </w:rPr>
              <w:t>项目</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hint="eastAsia" w:ascii="宋体" w:eastAsia="宋体" w:cs="宋体"/>
                <w:color w:val="000000"/>
                <w:kern w:val="0"/>
                <w:sz w:val="22"/>
              </w:rPr>
              <w:t>数量</w:t>
            </w: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hint="eastAsia" w:ascii="宋体" w:eastAsia="宋体" w:cs="宋体"/>
                <w:color w:val="000000"/>
                <w:kern w:val="0"/>
                <w:sz w:val="22"/>
              </w:rPr>
              <w:t>价值（金额单位：万元）</w:t>
            </w:r>
          </w:p>
        </w:tc>
      </w:tr>
      <w:tr>
        <w:tblPrEx>
          <w:tblCellMar>
            <w:top w:w="0" w:type="dxa"/>
            <w:left w:w="30" w:type="dxa"/>
            <w:bottom w:w="0" w:type="dxa"/>
            <w:right w:w="30" w:type="dxa"/>
          </w:tblCellMar>
        </w:tblPrEx>
        <w:trPr>
          <w:trHeight w:val="406"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hint="eastAsia" w:ascii="宋体" w:eastAsia="宋体" w:cs="宋体"/>
                <w:color w:val="000000"/>
                <w:kern w:val="0"/>
                <w:sz w:val="22"/>
              </w:rPr>
              <w:t>资产总额</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ascii="宋体" w:eastAsia="宋体" w:cs="宋体"/>
                <w:color w:val="000000"/>
                <w:kern w:val="0"/>
                <w:sz w:val="22"/>
              </w:rPr>
              <w:t>1004.4</w:t>
            </w:r>
          </w:p>
        </w:tc>
      </w:tr>
      <w:tr>
        <w:tblPrEx>
          <w:tblCellMar>
            <w:top w:w="0" w:type="dxa"/>
            <w:left w:w="30" w:type="dxa"/>
            <w:bottom w:w="0" w:type="dxa"/>
            <w:right w:w="30" w:type="dxa"/>
          </w:tblCellMar>
        </w:tblPrEx>
        <w:trPr>
          <w:trHeight w:val="420"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ascii="宋体" w:eastAsia="宋体" w:cs="宋体"/>
                <w:color w:val="000000"/>
                <w:kern w:val="0"/>
                <w:sz w:val="22"/>
              </w:rPr>
              <w:t>1</w:t>
            </w:r>
            <w:r>
              <w:rPr>
                <w:rFonts w:hint="eastAsia" w:ascii="宋体" w:eastAsia="宋体" w:cs="宋体"/>
                <w:color w:val="000000"/>
                <w:kern w:val="0"/>
                <w:sz w:val="22"/>
              </w:rPr>
              <w:t>、房屋（平方米）</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r>
      <w:tr>
        <w:tblPrEx>
          <w:tblCellMar>
            <w:top w:w="0" w:type="dxa"/>
            <w:left w:w="30" w:type="dxa"/>
            <w:bottom w:w="0" w:type="dxa"/>
            <w:right w:w="30" w:type="dxa"/>
          </w:tblCellMar>
        </w:tblPrEx>
        <w:trPr>
          <w:trHeight w:val="406"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hint="eastAsia" w:ascii="宋体" w:eastAsia="宋体" w:cs="宋体"/>
                <w:color w:val="000000"/>
                <w:kern w:val="0"/>
                <w:sz w:val="22"/>
              </w:rPr>
              <w:t>其中：办公用房（平方米）</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r>
      <w:tr>
        <w:tblPrEx>
          <w:tblCellMar>
            <w:top w:w="0" w:type="dxa"/>
            <w:left w:w="30" w:type="dxa"/>
            <w:bottom w:w="0" w:type="dxa"/>
            <w:right w:w="30" w:type="dxa"/>
          </w:tblCellMar>
        </w:tblPrEx>
        <w:trPr>
          <w:trHeight w:val="451"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ascii="宋体" w:eastAsia="宋体" w:cs="宋体"/>
                <w:color w:val="000000"/>
                <w:kern w:val="0"/>
                <w:sz w:val="22"/>
              </w:rPr>
              <w:t>2</w:t>
            </w:r>
            <w:r>
              <w:rPr>
                <w:rFonts w:hint="eastAsia" w:ascii="宋体" w:eastAsia="宋体" w:cs="宋体"/>
                <w:color w:val="000000"/>
                <w:kern w:val="0"/>
                <w:sz w:val="22"/>
              </w:rPr>
              <w:t>、车辆（台、辆）</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ascii="宋体" w:eastAsia="宋体" w:cs="宋体"/>
                <w:color w:val="000000"/>
                <w:kern w:val="0"/>
                <w:sz w:val="22"/>
              </w:rPr>
              <w:t>9</w:t>
            </w: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ascii="宋体" w:eastAsia="宋体" w:cs="宋体"/>
                <w:color w:val="000000"/>
                <w:kern w:val="0"/>
                <w:sz w:val="22"/>
              </w:rPr>
              <w:t>189.38</w:t>
            </w:r>
          </w:p>
        </w:tc>
      </w:tr>
      <w:tr>
        <w:tblPrEx>
          <w:tblCellMar>
            <w:top w:w="0" w:type="dxa"/>
            <w:left w:w="30" w:type="dxa"/>
            <w:bottom w:w="0" w:type="dxa"/>
            <w:right w:w="30" w:type="dxa"/>
          </w:tblCellMar>
        </w:tblPrEx>
        <w:trPr>
          <w:trHeight w:val="420"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ascii="宋体" w:eastAsia="宋体" w:cs="宋体"/>
                <w:color w:val="000000"/>
                <w:kern w:val="0"/>
                <w:sz w:val="22"/>
              </w:rPr>
              <w:t>3</w:t>
            </w:r>
            <w:r>
              <w:rPr>
                <w:rFonts w:hint="eastAsia" w:ascii="宋体" w:eastAsia="宋体" w:cs="宋体"/>
                <w:color w:val="000000"/>
                <w:kern w:val="0"/>
                <w:sz w:val="22"/>
              </w:rPr>
              <w:t>、单价在</w:t>
            </w:r>
            <w:r>
              <w:rPr>
                <w:rFonts w:ascii="宋体" w:eastAsia="宋体" w:cs="宋体"/>
                <w:color w:val="000000"/>
                <w:kern w:val="0"/>
                <w:sz w:val="22"/>
              </w:rPr>
              <w:t>20</w:t>
            </w:r>
            <w:r>
              <w:rPr>
                <w:rFonts w:hint="eastAsia" w:ascii="宋体" w:eastAsia="宋体" w:cs="宋体"/>
                <w:color w:val="000000"/>
                <w:kern w:val="0"/>
                <w:sz w:val="22"/>
              </w:rPr>
              <w:t>万元以上的设备</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r>
      <w:tr>
        <w:tblPrEx>
          <w:tblCellMar>
            <w:top w:w="0" w:type="dxa"/>
            <w:left w:w="30" w:type="dxa"/>
            <w:bottom w:w="0" w:type="dxa"/>
            <w:right w:w="30" w:type="dxa"/>
          </w:tblCellMar>
        </w:tblPrEx>
        <w:trPr>
          <w:trHeight w:val="482" w:hRule="atLeast"/>
        </w:trPr>
        <w:tc>
          <w:tcPr>
            <w:tcW w:w="44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eastAsia="宋体" w:cs="宋体"/>
                <w:color w:val="000000"/>
                <w:kern w:val="0"/>
                <w:sz w:val="22"/>
              </w:rPr>
            </w:pPr>
            <w:r>
              <w:rPr>
                <w:rFonts w:ascii="宋体" w:eastAsia="宋体" w:cs="宋体"/>
                <w:color w:val="000000"/>
                <w:kern w:val="0"/>
                <w:sz w:val="22"/>
              </w:rPr>
              <w:t>4</w:t>
            </w:r>
            <w:r>
              <w:rPr>
                <w:rFonts w:hint="eastAsia" w:ascii="宋体" w:eastAsia="宋体" w:cs="宋体"/>
                <w:color w:val="000000"/>
                <w:kern w:val="0"/>
                <w:sz w:val="22"/>
              </w:rPr>
              <w:t>、其他固定资产</w:t>
            </w:r>
          </w:p>
        </w:tc>
        <w:tc>
          <w:tcPr>
            <w:tcW w:w="141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p>
        </w:tc>
        <w:tc>
          <w:tcPr>
            <w:tcW w:w="808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eastAsia="宋体" w:cs="宋体"/>
                <w:color w:val="000000"/>
                <w:kern w:val="0"/>
                <w:sz w:val="22"/>
              </w:rPr>
            </w:pPr>
            <w:r>
              <w:rPr>
                <w:rFonts w:ascii="宋体" w:eastAsia="宋体" w:cs="宋体"/>
                <w:color w:val="000000"/>
                <w:kern w:val="0"/>
                <w:sz w:val="22"/>
              </w:rPr>
              <w:t>815.02</w:t>
            </w:r>
          </w:p>
        </w:tc>
      </w:tr>
    </w:tbl>
    <w:p>
      <w:pPr>
        <w:pStyle w:val="6"/>
        <w:ind w:left="710" w:firstLine="0" w:firstLineChars="0"/>
        <w:rPr>
          <w:rFonts w:ascii="黑体" w:hAnsi="黑体" w:eastAsia="黑体" w:cs="黑体"/>
          <w:sz w:val="32"/>
          <w:szCs w:val="32"/>
        </w:rPr>
      </w:pPr>
      <w:r>
        <w:rPr>
          <w:rFonts w:hint="eastAsia" w:ascii="黑体" w:hAnsi="黑体" w:eastAsia="黑体" w:cs="黑体"/>
          <w:sz w:val="32"/>
          <w:szCs w:val="32"/>
        </w:rPr>
        <w:t>八、名词解释</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1.一般公共预算拨款收入：指市级财政当年拨付的资金。</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2.其他收入：指除“一般公共预算拨款收入”、“事业收入”等以外的收入。主要是按规定动用的租房收入、存款利息收入等。</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3.基本支出：指为保障机构正常运转、完成日常工作任务而发生的人员支出和公用支出。</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4.项目支出：指在基本支出之外为完成特定行政任务和事业发展目标所发生的支出。</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5.“三公”经费：纳入市级财政预算管理的“三公”经费，是指市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pStyle w:val="6"/>
        <w:tabs>
          <w:tab w:val="left" w:pos="11490"/>
        </w:tabs>
        <w:ind w:left="10" w:firstLine="697" w:firstLineChars="218"/>
        <w:rPr>
          <w:rFonts w:ascii="仿宋_GB2312" w:hAnsi="Times New Roman" w:eastAsia="仿宋_GB2312" w:cs="Times New Roman"/>
          <w:bCs/>
          <w:sz w:val="32"/>
          <w:szCs w:val="32"/>
        </w:rPr>
      </w:pPr>
      <w:r>
        <w:rPr>
          <w:rFonts w:hint="eastAsia" w:ascii="仿宋_GB2312" w:hAnsi="Times New Roman" w:eastAsia="仿宋_GB2312" w:cs="Times New Roman"/>
          <w:bCs/>
          <w:sz w:val="32"/>
          <w:szCs w:val="32"/>
        </w:rPr>
        <w:t>6.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6"/>
        <w:tabs>
          <w:tab w:val="left" w:pos="11490"/>
        </w:tabs>
        <w:ind w:left="10" w:firstLine="697" w:firstLineChars="218"/>
        <w:rPr>
          <w:rFonts w:ascii="仿宋_GB2312" w:hAnsi="Times New Roman" w:eastAsia="仿宋_GB2312" w:cs="Times New Roman"/>
          <w:sz w:val="32"/>
          <w:szCs w:val="32"/>
        </w:rPr>
      </w:pPr>
      <w:r>
        <w:rPr>
          <w:rFonts w:hint="eastAsia" w:ascii="仿宋_GB2312" w:hAnsi="Times New Roman" w:eastAsia="仿宋_GB2312" w:cs="Times New Roman"/>
          <w:bCs/>
          <w:sz w:val="32"/>
          <w:szCs w:val="32"/>
        </w:rPr>
        <w:t>7.上年结转：指以前年度尚</w:t>
      </w:r>
      <w:r>
        <w:rPr>
          <w:rFonts w:hint="eastAsia" w:ascii="仿宋_GB2312" w:hAnsi="Times New Roman" w:eastAsia="仿宋_GB2312" w:cs="Times New Roman"/>
          <w:sz w:val="32"/>
          <w:szCs w:val="32"/>
        </w:rPr>
        <w:t>未完成、结转到本年仍按原规定用途继续使用的资金。</w:t>
      </w:r>
    </w:p>
    <w:p>
      <w:pPr>
        <w:autoSpaceDE w:val="0"/>
        <w:autoSpaceDN w:val="0"/>
        <w:adjustRightInd w:val="0"/>
        <w:jc w:val="left"/>
        <w:rPr>
          <w:rFonts w:ascii="黑体" w:hAnsi="黑体" w:eastAsia="黑体" w:cs="黑体"/>
          <w:sz w:val="32"/>
          <w:szCs w:val="32"/>
        </w:rPr>
      </w:pPr>
      <w:r>
        <w:rPr>
          <w:rFonts w:hint="eastAsia" w:ascii="黑体" w:hAnsi="黑体" w:eastAsia="黑体" w:cs="黑体"/>
          <w:sz w:val="32"/>
          <w:szCs w:val="32"/>
        </w:rPr>
        <w:t xml:space="preserve">    九、其他需要说明的事项</w:t>
      </w:r>
    </w:p>
    <w:p>
      <w:pPr>
        <w:pStyle w:val="6"/>
        <w:ind w:firstLine="0" w:firstLineChars="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我部门无其他需要说明的事项。</w:t>
      </w:r>
    </w:p>
    <w:p>
      <w:pPr>
        <w:ind w:left="710"/>
        <w:rPr>
          <w:rFonts w:ascii="仿宋_GB2312" w:eastAsia="仿宋_GB2312"/>
          <w:sz w:val="32"/>
          <w:szCs w:val="32"/>
        </w:rPr>
      </w:pPr>
    </w:p>
    <w:p>
      <w:pPr>
        <w:autoSpaceDE w:val="0"/>
        <w:autoSpaceDN w:val="0"/>
        <w:adjustRightInd w:val="0"/>
        <w:ind w:left="710"/>
        <w:jc w:val="left"/>
        <w:rPr>
          <w:rFonts w:ascii="仿宋_GB2312" w:hAnsi="Times New Roman" w:eastAsia="仿宋_GB2312" w:cs="Times New Roman"/>
          <w:sz w:val="32"/>
          <w:szCs w:val="32"/>
        </w:rPr>
      </w:pPr>
    </w:p>
    <w:p>
      <w:pPr>
        <w:ind w:left="645"/>
        <w:jc w:val="left"/>
        <w:rPr>
          <w:rFonts w:ascii="仿宋_GB2312" w:eastAsia="仿宋_GB2312"/>
          <w:sz w:val="32"/>
          <w:szCs w:val="32"/>
        </w:rPr>
      </w:pPr>
    </w:p>
    <w:sectPr>
      <w:footerReference r:id="rId3" w:type="default"/>
      <w:pgSz w:w="16838" w:h="11906" w:orient="landscape"/>
      <w:pgMar w:top="1800" w:right="1440" w:bottom="1800"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6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- 8 -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BhYzc4ZWU3YzJlZmFkNjI5YjcxNjZhYTUyNWFkOGQifQ=="/>
  </w:docVars>
  <w:rsids>
    <w:rsidRoot w:val="00ED5432"/>
    <w:rsid w:val="0001009F"/>
    <w:rsid w:val="000308BD"/>
    <w:rsid w:val="000615E4"/>
    <w:rsid w:val="00061E8E"/>
    <w:rsid w:val="000A7EE0"/>
    <w:rsid w:val="00113691"/>
    <w:rsid w:val="00136A5F"/>
    <w:rsid w:val="001B589B"/>
    <w:rsid w:val="001C2BB7"/>
    <w:rsid w:val="00243FB4"/>
    <w:rsid w:val="00263260"/>
    <w:rsid w:val="00263E2C"/>
    <w:rsid w:val="002934B2"/>
    <w:rsid w:val="002A1288"/>
    <w:rsid w:val="002B57BE"/>
    <w:rsid w:val="002C2939"/>
    <w:rsid w:val="003060E3"/>
    <w:rsid w:val="003143EB"/>
    <w:rsid w:val="003B11A9"/>
    <w:rsid w:val="003C3679"/>
    <w:rsid w:val="003D58A2"/>
    <w:rsid w:val="0045127E"/>
    <w:rsid w:val="004C3285"/>
    <w:rsid w:val="004C75F7"/>
    <w:rsid w:val="005079A0"/>
    <w:rsid w:val="00530237"/>
    <w:rsid w:val="005478D2"/>
    <w:rsid w:val="00597CE7"/>
    <w:rsid w:val="005C7FBB"/>
    <w:rsid w:val="00603152"/>
    <w:rsid w:val="0063301F"/>
    <w:rsid w:val="0066019F"/>
    <w:rsid w:val="00663632"/>
    <w:rsid w:val="006924F0"/>
    <w:rsid w:val="0073427D"/>
    <w:rsid w:val="00745779"/>
    <w:rsid w:val="007533A4"/>
    <w:rsid w:val="00754BF8"/>
    <w:rsid w:val="00766527"/>
    <w:rsid w:val="007C4021"/>
    <w:rsid w:val="007D7C4B"/>
    <w:rsid w:val="007E161F"/>
    <w:rsid w:val="007F52EE"/>
    <w:rsid w:val="007F5AD2"/>
    <w:rsid w:val="00832950"/>
    <w:rsid w:val="00892418"/>
    <w:rsid w:val="008E207C"/>
    <w:rsid w:val="009304AE"/>
    <w:rsid w:val="009361F9"/>
    <w:rsid w:val="00941B1A"/>
    <w:rsid w:val="009E2239"/>
    <w:rsid w:val="00AB1495"/>
    <w:rsid w:val="00AD5A9B"/>
    <w:rsid w:val="00B12C06"/>
    <w:rsid w:val="00B1516F"/>
    <w:rsid w:val="00B213A1"/>
    <w:rsid w:val="00B90BEB"/>
    <w:rsid w:val="00BD4085"/>
    <w:rsid w:val="00BF7F9F"/>
    <w:rsid w:val="00C567CD"/>
    <w:rsid w:val="00C61C2F"/>
    <w:rsid w:val="00CA2CA0"/>
    <w:rsid w:val="00CB307B"/>
    <w:rsid w:val="00D01E9A"/>
    <w:rsid w:val="00D25E19"/>
    <w:rsid w:val="00D44E49"/>
    <w:rsid w:val="00D60838"/>
    <w:rsid w:val="00D8274C"/>
    <w:rsid w:val="00D96997"/>
    <w:rsid w:val="00DC7D6C"/>
    <w:rsid w:val="00EA1EAF"/>
    <w:rsid w:val="00EA3440"/>
    <w:rsid w:val="00ED3C1B"/>
    <w:rsid w:val="00ED5432"/>
    <w:rsid w:val="00EE7A43"/>
    <w:rsid w:val="00F479B3"/>
    <w:rsid w:val="00F9572D"/>
    <w:rsid w:val="00FA692B"/>
    <w:rsid w:val="00FC178F"/>
    <w:rsid w:val="00FD3CBF"/>
    <w:rsid w:val="22B30746"/>
    <w:rsid w:val="23F052BA"/>
    <w:rsid w:val="4DEF2733"/>
    <w:rsid w:val="56D66B8A"/>
    <w:rsid w:val="7FDF1E35"/>
    <w:rsid w:val="ADFB3873"/>
    <w:rsid w:val="FFF735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34"/>
    <w:pPr>
      <w:ind w:firstLine="420" w:firstLineChars="200"/>
    </w:p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29</Pages>
  <Words>1904</Words>
  <Characters>10857</Characters>
  <Lines>90</Lines>
  <Paragraphs>25</Paragraphs>
  <TotalTime>5</TotalTime>
  <ScaleCrop>false</ScaleCrop>
  <LinksUpToDate>false</LinksUpToDate>
  <CharactersWithSpaces>12736</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2018-02-27T02:38:00Z</dcterms:created>
  <dc:creator>贾利</dc:creator>
  <cp:lastModifiedBy>uos</cp:lastModifiedBy>
  <dcterms:modified xsi:type="dcterms:W3CDTF">2024-03-27T17:39:03Z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ICV">
    <vt:lpwstr>3C0D7FC93C8E4701A0CCB1BAB211DEB4_12</vt:lpwstr>
  </property>
</Properties>
</file>