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2024年部门预算信息公开目录</w:t>
      </w:r>
    </w:p>
    <w:p>
      <w:pPr>
        <w:spacing w:before="0" w:after="0" w:line="240" w:lineRule="auto"/>
        <w:ind w:firstLine="0"/>
        <w:jc w:val="center"/>
        <w:outlineLvl w:val="9"/>
        <w:rPr>
          <w:rFonts w:ascii="黑体" w:hAnsi="黑体" w:eastAsia="黑体" w:cs="黑体"/>
          <w:b/>
          <w:color w:val="000000"/>
          <w:sz w:val="30"/>
        </w:rPr>
      </w:pP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rPr>
          <w:color w:val="auto"/>
        </w:rPr>
      </w:pPr>
      <w:r>
        <w:rPr>
          <w:color w:val="auto"/>
        </w:rPr>
        <w:fldChar w:fldCharType="begin"/>
      </w:r>
      <w:r>
        <w:rPr>
          <w:color w:val="auto"/>
        </w:rPr>
        <w:instrText xml:space="preserve"> HYPERLINK \l "_Toc_3_3_0000000015" </w:instrText>
      </w:r>
      <w:r>
        <w:rPr>
          <w:color w:val="auto"/>
        </w:rPr>
        <w:fldChar w:fldCharType="separate"/>
      </w:r>
      <w:r>
        <w:rPr>
          <w:color w:val="auto"/>
        </w:rPr>
        <w:t>六、部门主管专项资金预算安排情况及绩效目标</w:t>
      </w:r>
      <w:r>
        <w:rPr>
          <w:color w:val="auto"/>
        </w:rPr>
        <w:tab/>
      </w:r>
      <w:r>
        <w:rPr>
          <w:color w:val="auto"/>
        </w:rPr>
        <w:fldChar w:fldCharType="begin"/>
      </w:r>
      <w:r>
        <w:rPr>
          <w:color w:val="auto"/>
        </w:rPr>
        <w:instrText xml:space="preserve">PAGEREF _Toc_3_3_0000000015 \h</w:instrText>
      </w:r>
      <w:r>
        <w:rPr>
          <w:color w:val="auto"/>
        </w:rPr>
        <w:fldChar w:fldCharType="separate"/>
      </w:r>
      <w:r>
        <w:rPr>
          <w:color w:val="auto"/>
        </w:rPr>
        <w:t>25</w:t>
      </w:r>
      <w:r>
        <w:rPr>
          <w:color w:val="auto"/>
        </w:rPr>
        <w:fldChar w:fldCharType="end"/>
      </w:r>
      <w:r>
        <w:rPr>
          <w:color w:val="auto"/>
        </w:rPr>
        <w:fldChar w:fldCharType="end"/>
      </w:r>
    </w:p>
    <w:p>
      <w:pPr>
        <w:pStyle w:val="3"/>
        <w:tabs>
          <w:tab w:val="right" w:leader="dot" w:pos="14562"/>
        </w:tabs>
      </w:pPr>
      <w:r>
        <w:rPr>
          <w:color w:val="auto"/>
        </w:rPr>
        <w:fldChar w:fldCharType="begin"/>
      </w:r>
      <w:r>
        <w:rPr>
          <w:color w:val="auto"/>
        </w:rPr>
        <w:instrText xml:space="preserve"> HYPERLINK \l "_Toc_3_3_0000000016" </w:instrText>
      </w:r>
      <w:r>
        <w:rPr>
          <w:color w:val="auto"/>
        </w:rPr>
        <w:fldChar w:fldCharType="separate"/>
      </w:r>
      <w:r>
        <w:rPr>
          <w:color w:val="auto"/>
        </w:rPr>
        <w:t>七、部门项目预算安排情况及绩效目标</w:t>
      </w:r>
      <w:r>
        <w:rPr>
          <w:color w:val="auto"/>
        </w:rPr>
        <w:tab/>
      </w:r>
      <w:r>
        <w:rPr>
          <w:color w:val="auto"/>
        </w:rPr>
        <w:fldChar w:fldCharType="begin"/>
      </w:r>
      <w:r>
        <w:rPr>
          <w:color w:val="auto"/>
        </w:rPr>
        <w:instrText xml:space="preserve">PAGEREF _Toc_3_3_0000000016 \h</w:instrText>
      </w:r>
      <w:r>
        <w:rPr>
          <w:color w:val="auto"/>
        </w:rPr>
        <w:fldChar w:fldCharType="separate"/>
      </w:r>
      <w:r>
        <w:rPr>
          <w:color w:val="auto"/>
        </w:rPr>
        <w:t>26</w:t>
      </w:r>
      <w:r>
        <w:rPr>
          <w:color w:val="auto"/>
        </w:rPr>
        <w:fldChar w:fldCharType="end"/>
      </w:r>
      <w:r>
        <w:rPr>
          <w:color w:val="auto"/>
        </w:rP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bookmarkStart w:id="20" w:name="_GoBack"/>
      <w:bookmarkEnd w:id="20"/>
      <w:r>
        <w:fldChar w:fldCharType="begin"/>
      </w:r>
      <w:r>
        <w:instrText xml:space="preserve">PAGEREF _Toc_3_3_0000000020 \h</w:instrText>
      </w:r>
      <w:r>
        <w:fldChar w:fldCharType="separate"/>
      </w:r>
      <w:r>
        <w:t>36</w:t>
      </w:r>
      <w:r>
        <w:fldChar w:fldCharType="end"/>
      </w:r>
      <w:r>
        <w:fldChar w:fldCharType="end"/>
      </w:r>
    </w:p>
    <w:p>
      <w:r>
        <w:fldChar w:fldCharType="end"/>
      </w:r>
    </w:p>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一、石家庄广播电视台本级收支预算</w:t>
      </w:r>
      <w:r>
        <w:tab/>
      </w:r>
      <w:r>
        <w:fldChar w:fldCharType="end"/>
      </w:r>
      <w:r>
        <w:rPr>
          <w:rFonts w:hint="eastAsia"/>
          <w:lang w:val="en-US" w:eastAsia="zh-CN"/>
        </w:rPr>
        <w:t>1</w:t>
      </w:r>
    </w:p>
    <w:p>
      <w:r>
        <w:fldChar w:fldCharType="end"/>
      </w:r>
    </w:p>
    <w:p/>
    <w:p/>
    <w:p/>
    <w:p/>
    <w:p/>
    <w:p/>
    <w:p/>
    <w:p/>
    <w:p/>
    <w:p/>
    <w:p>
      <w:pPr>
        <w:rPr>
          <w:sz w:val="44"/>
          <w:szCs w:val="44"/>
        </w:rPr>
      </w:pPr>
    </w:p>
    <w:p/>
    <w:p>
      <w:pPr>
        <w:jc w:val="center"/>
        <w:sectPr>
          <w:pgSz w:w="16840" w:h="11900" w:orient="landscape"/>
          <w:pgMar w:top="1587" w:right="1134" w:bottom="1361" w:left="1134"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0"/>
        <w:gridCol w:w="3507"/>
        <w:gridCol w:w="2178"/>
        <w:gridCol w:w="2996"/>
        <w:gridCol w:w="27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7" w:type="dxa"/>
            <w:gridSpan w:val="2"/>
            <w:tcBorders>
              <w:top w:val="single" w:color="FFFFFF" w:sz="6" w:space="0"/>
              <w:left w:val="single" w:color="FFFFFF" w:sz="6" w:space="0"/>
              <w:right w:val="single" w:color="FFFFFF" w:sz="6" w:space="0"/>
            </w:tcBorders>
            <w:vAlign w:val="center"/>
          </w:tcPr>
          <w:p>
            <w:pPr>
              <w:pStyle w:val="10"/>
            </w:pPr>
            <w:r>
              <w:t>359石家庄广播电视台</w:t>
            </w:r>
          </w:p>
        </w:tc>
        <w:tc>
          <w:tcPr>
            <w:tcW w:w="2178" w:type="dxa"/>
            <w:tcBorders>
              <w:top w:val="single" w:color="FFFFFF" w:sz="6" w:space="0"/>
              <w:left w:val="single" w:color="FFFFFF" w:sz="6" w:space="0"/>
              <w:right w:val="single" w:color="FFFFFF" w:sz="6" w:space="0"/>
            </w:tcBorders>
            <w:vAlign w:val="center"/>
          </w:tcPr>
          <w:p>
            <w:pPr>
              <w:pStyle w:val="9"/>
            </w:pPr>
            <w:r>
              <w:t>预算年度：2024</w:t>
            </w:r>
          </w:p>
        </w:tc>
        <w:tc>
          <w:tcPr>
            <w:tcW w:w="573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0" w:type="dxa"/>
            <w:vMerge w:val="restart"/>
            <w:vAlign w:val="center"/>
          </w:tcPr>
          <w:p>
            <w:pPr>
              <w:pStyle w:val="11"/>
            </w:pPr>
            <w:r>
              <w:t>序号</w:t>
            </w:r>
          </w:p>
        </w:tc>
        <w:tc>
          <w:tcPr>
            <w:tcW w:w="5685" w:type="dxa"/>
            <w:gridSpan w:val="2"/>
            <w:vAlign w:val="center"/>
          </w:tcPr>
          <w:p>
            <w:pPr>
              <w:pStyle w:val="11"/>
            </w:pPr>
            <w:r>
              <w:t>收入</w:t>
            </w:r>
          </w:p>
        </w:tc>
        <w:tc>
          <w:tcPr>
            <w:tcW w:w="5737"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0" w:type="dxa"/>
            <w:vMerge w:val="continue"/>
          </w:tcPr>
          <w:p/>
        </w:tc>
        <w:tc>
          <w:tcPr>
            <w:tcW w:w="3507" w:type="dxa"/>
            <w:vAlign w:val="center"/>
          </w:tcPr>
          <w:p>
            <w:pPr>
              <w:pStyle w:val="11"/>
            </w:pPr>
            <w:r>
              <w:t>项  目</w:t>
            </w:r>
          </w:p>
        </w:tc>
        <w:tc>
          <w:tcPr>
            <w:tcW w:w="2178" w:type="dxa"/>
            <w:vAlign w:val="center"/>
          </w:tcPr>
          <w:p>
            <w:pPr>
              <w:pStyle w:val="11"/>
            </w:pPr>
            <w:r>
              <w:t>预算数</w:t>
            </w:r>
          </w:p>
        </w:tc>
        <w:tc>
          <w:tcPr>
            <w:tcW w:w="2996" w:type="dxa"/>
            <w:vAlign w:val="center"/>
          </w:tcPr>
          <w:p>
            <w:pPr>
              <w:pStyle w:val="11"/>
            </w:pPr>
            <w:r>
              <w:t>项  目</w:t>
            </w:r>
          </w:p>
        </w:tc>
        <w:tc>
          <w:tcPr>
            <w:tcW w:w="274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0" w:type="dxa"/>
            <w:vAlign w:val="center"/>
          </w:tcPr>
          <w:p>
            <w:pPr>
              <w:pStyle w:val="11"/>
            </w:pPr>
            <w:r>
              <w:t>栏次</w:t>
            </w:r>
          </w:p>
        </w:tc>
        <w:tc>
          <w:tcPr>
            <w:tcW w:w="3507" w:type="dxa"/>
            <w:vAlign w:val="center"/>
          </w:tcPr>
          <w:p>
            <w:pPr>
              <w:pStyle w:val="11"/>
            </w:pPr>
            <w:r>
              <w:t>1</w:t>
            </w:r>
          </w:p>
        </w:tc>
        <w:tc>
          <w:tcPr>
            <w:tcW w:w="2178" w:type="dxa"/>
            <w:vAlign w:val="center"/>
          </w:tcPr>
          <w:p>
            <w:pPr>
              <w:pStyle w:val="11"/>
            </w:pPr>
            <w:r>
              <w:t>2</w:t>
            </w:r>
          </w:p>
        </w:tc>
        <w:tc>
          <w:tcPr>
            <w:tcW w:w="2996" w:type="dxa"/>
            <w:vAlign w:val="center"/>
          </w:tcPr>
          <w:p>
            <w:pPr>
              <w:pStyle w:val="11"/>
            </w:pPr>
            <w:r>
              <w:t>3</w:t>
            </w:r>
          </w:p>
        </w:tc>
        <w:tc>
          <w:tcPr>
            <w:tcW w:w="274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w:t>
            </w:r>
          </w:p>
        </w:tc>
        <w:tc>
          <w:tcPr>
            <w:tcW w:w="3507" w:type="dxa"/>
            <w:vAlign w:val="center"/>
          </w:tcPr>
          <w:p>
            <w:pPr>
              <w:pStyle w:val="13"/>
            </w:pPr>
            <w:r>
              <w:t>一、一般公共预算拨款收入</w:t>
            </w:r>
          </w:p>
        </w:tc>
        <w:tc>
          <w:tcPr>
            <w:tcW w:w="2178" w:type="dxa"/>
            <w:vAlign w:val="center"/>
          </w:tcPr>
          <w:p>
            <w:pPr>
              <w:pStyle w:val="12"/>
            </w:pPr>
            <w:r>
              <w:t>8470.18</w:t>
            </w:r>
          </w:p>
        </w:tc>
        <w:tc>
          <w:tcPr>
            <w:tcW w:w="2996" w:type="dxa"/>
            <w:vAlign w:val="center"/>
          </w:tcPr>
          <w:p>
            <w:pPr>
              <w:pStyle w:val="13"/>
            </w:pPr>
            <w:r>
              <w:t>一、一般公共服务支出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w:t>
            </w:r>
          </w:p>
        </w:tc>
        <w:tc>
          <w:tcPr>
            <w:tcW w:w="3507" w:type="dxa"/>
            <w:vAlign w:val="center"/>
          </w:tcPr>
          <w:p>
            <w:pPr>
              <w:pStyle w:val="13"/>
            </w:pPr>
            <w:r>
              <w:t>二、政府性基金预算拨款收入</w:t>
            </w:r>
          </w:p>
        </w:tc>
        <w:tc>
          <w:tcPr>
            <w:tcW w:w="2178" w:type="dxa"/>
            <w:vAlign w:val="center"/>
          </w:tcPr>
          <w:p>
            <w:pPr>
              <w:pStyle w:val="12"/>
            </w:pPr>
            <w:r>
              <w:t>136.81</w:t>
            </w:r>
          </w:p>
        </w:tc>
        <w:tc>
          <w:tcPr>
            <w:tcW w:w="2996" w:type="dxa"/>
            <w:vAlign w:val="center"/>
          </w:tcPr>
          <w:p>
            <w:pPr>
              <w:pStyle w:val="13"/>
            </w:pPr>
            <w:r>
              <w:t>二、外交支出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w:t>
            </w:r>
          </w:p>
        </w:tc>
        <w:tc>
          <w:tcPr>
            <w:tcW w:w="3507" w:type="dxa"/>
            <w:vAlign w:val="center"/>
          </w:tcPr>
          <w:p>
            <w:pPr>
              <w:pStyle w:val="13"/>
            </w:pPr>
            <w:r>
              <w:t>三、国有资本经营预算拨款收入</w:t>
            </w:r>
          </w:p>
        </w:tc>
        <w:tc>
          <w:tcPr>
            <w:tcW w:w="2178" w:type="dxa"/>
            <w:vAlign w:val="center"/>
          </w:tcPr>
          <w:p>
            <w:pPr>
              <w:pStyle w:val="12"/>
            </w:pPr>
          </w:p>
        </w:tc>
        <w:tc>
          <w:tcPr>
            <w:tcW w:w="2996" w:type="dxa"/>
            <w:vAlign w:val="center"/>
          </w:tcPr>
          <w:p>
            <w:pPr>
              <w:pStyle w:val="13"/>
            </w:pPr>
            <w:r>
              <w:t>三、国防支出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4</w:t>
            </w:r>
          </w:p>
        </w:tc>
        <w:tc>
          <w:tcPr>
            <w:tcW w:w="3507" w:type="dxa"/>
            <w:vAlign w:val="center"/>
          </w:tcPr>
          <w:p>
            <w:pPr>
              <w:pStyle w:val="13"/>
            </w:pPr>
            <w:r>
              <w:t>四、财政专户管理资金收入</w:t>
            </w:r>
          </w:p>
        </w:tc>
        <w:tc>
          <w:tcPr>
            <w:tcW w:w="2178" w:type="dxa"/>
            <w:vAlign w:val="center"/>
          </w:tcPr>
          <w:p>
            <w:pPr>
              <w:pStyle w:val="12"/>
            </w:pPr>
          </w:p>
        </w:tc>
        <w:tc>
          <w:tcPr>
            <w:tcW w:w="2996" w:type="dxa"/>
            <w:vAlign w:val="center"/>
          </w:tcPr>
          <w:p>
            <w:pPr>
              <w:pStyle w:val="13"/>
            </w:pPr>
            <w:r>
              <w:t>四、公共安全支出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5</w:t>
            </w:r>
          </w:p>
        </w:tc>
        <w:tc>
          <w:tcPr>
            <w:tcW w:w="3507" w:type="dxa"/>
            <w:vAlign w:val="center"/>
          </w:tcPr>
          <w:p>
            <w:pPr>
              <w:pStyle w:val="13"/>
            </w:pPr>
            <w:r>
              <w:t>五、单位资金</w:t>
            </w:r>
          </w:p>
        </w:tc>
        <w:tc>
          <w:tcPr>
            <w:tcW w:w="2178" w:type="dxa"/>
            <w:vAlign w:val="center"/>
          </w:tcPr>
          <w:p>
            <w:pPr>
              <w:pStyle w:val="12"/>
            </w:pPr>
          </w:p>
        </w:tc>
        <w:tc>
          <w:tcPr>
            <w:tcW w:w="2996" w:type="dxa"/>
            <w:vAlign w:val="center"/>
          </w:tcPr>
          <w:p>
            <w:pPr>
              <w:pStyle w:val="13"/>
            </w:pPr>
            <w:r>
              <w:t>五、教育支出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6</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六、科学技术支出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7</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七、文化旅游体育与传媒支出</w:t>
            </w:r>
          </w:p>
        </w:tc>
        <w:tc>
          <w:tcPr>
            <w:tcW w:w="2741" w:type="dxa"/>
            <w:vAlign w:val="center"/>
          </w:tcPr>
          <w:p>
            <w:pPr>
              <w:pStyle w:val="12"/>
            </w:pPr>
            <w:r>
              <w:t>8470.18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8</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八、社会保障和就业支出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9</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九、社会保险基金支出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10</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十、卫生健康支出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11</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十一、节能环保支出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12</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十二、城乡社区支出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13</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十三、农林水支出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14</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十四、交通运输支出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15</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十五、资源勘探工业信息等支出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16</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十六、商业服务业等支出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17</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十七、金融支出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18</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十八、援助其他地区支出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19</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十九、自然资源海洋气象等支出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20</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二十、住房保障支出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21</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二十一、粮油物资储备支出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22</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二十二、国有资本经营预算支出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23</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二十三、灾害防治及应急管理支出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24</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二十四、预备费</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25</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二十五、其他支出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26</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二十六、转移性支出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27</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二十七、债务还本支出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28</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二十八、债务付息支出</w:t>
            </w:r>
          </w:p>
        </w:tc>
        <w:tc>
          <w:tcPr>
            <w:tcW w:w="2741"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29</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二十九、债务发行费用支出</w:t>
            </w:r>
          </w:p>
        </w:tc>
        <w:tc>
          <w:tcPr>
            <w:tcW w:w="2741"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30</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三十、抗疫特别国债安排的支出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31</w:t>
            </w:r>
          </w:p>
        </w:tc>
        <w:tc>
          <w:tcPr>
            <w:tcW w:w="3507" w:type="dxa"/>
            <w:vAlign w:val="center"/>
          </w:tcPr>
          <w:p>
            <w:pPr>
              <w:pStyle w:val="13"/>
            </w:pPr>
          </w:p>
        </w:tc>
        <w:tc>
          <w:tcPr>
            <w:tcW w:w="2178" w:type="dxa"/>
            <w:vAlign w:val="center"/>
          </w:tcPr>
          <w:p>
            <w:pPr>
              <w:pStyle w:val="12"/>
            </w:pPr>
          </w:p>
        </w:tc>
        <w:tc>
          <w:tcPr>
            <w:tcW w:w="2996" w:type="dxa"/>
            <w:vAlign w:val="center"/>
          </w:tcPr>
          <w:p>
            <w:pPr>
              <w:pStyle w:val="13"/>
            </w:pPr>
            <w:r>
              <w:t>三十一、往来性支出</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32</w:t>
            </w:r>
          </w:p>
        </w:tc>
        <w:tc>
          <w:tcPr>
            <w:tcW w:w="3507" w:type="dxa"/>
            <w:vAlign w:val="center"/>
          </w:tcPr>
          <w:p>
            <w:pPr>
              <w:pStyle w:val="15"/>
            </w:pPr>
            <w:r>
              <w:t>本年收入合计</w:t>
            </w:r>
          </w:p>
        </w:tc>
        <w:tc>
          <w:tcPr>
            <w:tcW w:w="2178" w:type="dxa"/>
            <w:vAlign w:val="center"/>
          </w:tcPr>
          <w:p>
            <w:pPr>
              <w:pStyle w:val="16"/>
            </w:pPr>
            <w:r>
              <w:t>8606.99</w:t>
            </w:r>
          </w:p>
        </w:tc>
        <w:tc>
          <w:tcPr>
            <w:tcW w:w="2996" w:type="dxa"/>
            <w:vAlign w:val="center"/>
          </w:tcPr>
          <w:p>
            <w:pPr>
              <w:pStyle w:val="15"/>
            </w:pPr>
            <w:r>
              <w:t>本年支出合计</w:t>
            </w:r>
          </w:p>
        </w:tc>
        <w:tc>
          <w:tcPr>
            <w:tcW w:w="2741" w:type="dxa"/>
            <w:vAlign w:val="center"/>
          </w:tcPr>
          <w:p>
            <w:pPr>
              <w:pStyle w:val="16"/>
            </w:pPr>
            <w:r>
              <w:t>8606.99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33</w:t>
            </w:r>
          </w:p>
        </w:tc>
        <w:tc>
          <w:tcPr>
            <w:tcW w:w="3507" w:type="dxa"/>
            <w:vAlign w:val="center"/>
          </w:tcPr>
          <w:p>
            <w:pPr>
              <w:pStyle w:val="13"/>
            </w:pPr>
            <w:r>
              <w:t>上年结转结余</w:t>
            </w:r>
          </w:p>
        </w:tc>
        <w:tc>
          <w:tcPr>
            <w:tcW w:w="2178" w:type="dxa"/>
            <w:vAlign w:val="center"/>
          </w:tcPr>
          <w:p>
            <w:pPr>
              <w:pStyle w:val="12"/>
            </w:pPr>
          </w:p>
        </w:tc>
        <w:tc>
          <w:tcPr>
            <w:tcW w:w="2996" w:type="dxa"/>
            <w:vAlign w:val="center"/>
          </w:tcPr>
          <w:p>
            <w:pPr>
              <w:pStyle w:val="13"/>
            </w:pPr>
            <w:r>
              <w:t>年终结转结余</w:t>
            </w:r>
          </w:p>
        </w:tc>
        <w:tc>
          <w:tcPr>
            <w:tcW w:w="274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0" w:type="dxa"/>
            <w:vAlign w:val="center"/>
          </w:tcPr>
          <w:p>
            <w:pPr>
              <w:pStyle w:val="14"/>
            </w:pPr>
            <w:r>
              <w:t>34</w:t>
            </w:r>
          </w:p>
        </w:tc>
        <w:tc>
          <w:tcPr>
            <w:tcW w:w="3507" w:type="dxa"/>
            <w:vAlign w:val="center"/>
          </w:tcPr>
          <w:p>
            <w:pPr>
              <w:pStyle w:val="15"/>
            </w:pPr>
            <w:r>
              <w:t>收入总计</w:t>
            </w:r>
          </w:p>
        </w:tc>
        <w:tc>
          <w:tcPr>
            <w:tcW w:w="2178" w:type="dxa"/>
            <w:vAlign w:val="center"/>
          </w:tcPr>
          <w:p>
            <w:pPr>
              <w:pStyle w:val="16"/>
            </w:pPr>
            <w:r>
              <w:t>8606.99</w:t>
            </w:r>
          </w:p>
        </w:tc>
        <w:tc>
          <w:tcPr>
            <w:tcW w:w="2996" w:type="dxa"/>
            <w:vAlign w:val="center"/>
          </w:tcPr>
          <w:p>
            <w:pPr>
              <w:pStyle w:val="15"/>
            </w:pPr>
            <w:r>
              <w:t>支出总计</w:t>
            </w:r>
          </w:p>
        </w:tc>
        <w:tc>
          <w:tcPr>
            <w:tcW w:w="2741" w:type="dxa"/>
            <w:vAlign w:val="center"/>
          </w:tcPr>
          <w:p>
            <w:pPr>
              <w:pStyle w:val="16"/>
            </w:pPr>
            <w:r>
              <w:t>8606.99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110"/>
        <w:gridCol w:w="1098"/>
        <w:gridCol w:w="990"/>
        <w:gridCol w:w="1042"/>
        <w:gridCol w:w="1163"/>
        <w:gridCol w:w="727"/>
        <w:gridCol w:w="510"/>
        <w:gridCol w:w="735"/>
        <w:gridCol w:w="728"/>
        <w:gridCol w:w="877"/>
        <w:gridCol w:w="1050"/>
        <w:gridCol w:w="14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01" w:type="dxa"/>
            <w:gridSpan w:val="5"/>
            <w:tcBorders>
              <w:top w:val="single" w:color="FFFFFF" w:sz="6" w:space="0"/>
              <w:left w:val="single" w:color="FFFFFF" w:sz="6" w:space="0"/>
              <w:right w:val="single" w:color="FFFFFF" w:sz="6" w:space="0"/>
            </w:tcBorders>
            <w:vAlign w:val="center"/>
          </w:tcPr>
          <w:p>
            <w:pPr>
              <w:pStyle w:val="10"/>
            </w:pPr>
            <w:r>
              <w:t>359石家庄广播电视台</w:t>
            </w:r>
          </w:p>
        </w:tc>
        <w:tc>
          <w:tcPr>
            <w:tcW w:w="2400"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4867"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1"/>
            </w:pPr>
            <w:r>
              <w:t>序号</w:t>
            </w:r>
          </w:p>
        </w:tc>
        <w:tc>
          <w:tcPr>
            <w:tcW w:w="2208" w:type="dxa"/>
            <w:gridSpan w:val="2"/>
            <w:vAlign w:val="center"/>
          </w:tcPr>
          <w:p>
            <w:pPr>
              <w:pStyle w:val="11"/>
            </w:pPr>
            <w:r>
              <w:t>功能分类科目</w:t>
            </w:r>
          </w:p>
        </w:tc>
        <w:tc>
          <w:tcPr>
            <w:tcW w:w="990" w:type="dxa"/>
            <w:vMerge w:val="restart"/>
            <w:vAlign w:val="center"/>
          </w:tcPr>
          <w:p>
            <w:pPr>
              <w:pStyle w:val="11"/>
            </w:pPr>
            <w:r>
              <w:t>合计</w:t>
            </w:r>
          </w:p>
        </w:tc>
        <w:tc>
          <w:tcPr>
            <w:tcW w:w="6832" w:type="dxa"/>
            <w:gridSpan w:val="8"/>
            <w:vAlign w:val="center"/>
          </w:tcPr>
          <w:p>
            <w:pPr>
              <w:pStyle w:val="11"/>
            </w:pPr>
            <w:r>
              <w:t>本年收入</w:t>
            </w:r>
          </w:p>
        </w:tc>
        <w:tc>
          <w:tcPr>
            <w:tcW w:w="1477"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95" w:hRule="atLeast"/>
          <w:tblHeader/>
          <w:jc w:val="center"/>
        </w:trPr>
        <w:tc>
          <w:tcPr>
            <w:tcW w:w="1061" w:type="dxa"/>
            <w:vMerge w:val="continue"/>
          </w:tcPr>
          <w:p/>
        </w:tc>
        <w:tc>
          <w:tcPr>
            <w:tcW w:w="1110" w:type="dxa"/>
            <w:vAlign w:val="center"/>
          </w:tcPr>
          <w:p>
            <w:pPr>
              <w:pStyle w:val="11"/>
            </w:pPr>
            <w:r>
              <w:t>科目    编码</w:t>
            </w:r>
          </w:p>
        </w:tc>
        <w:tc>
          <w:tcPr>
            <w:tcW w:w="1098" w:type="dxa"/>
            <w:vAlign w:val="center"/>
          </w:tcPr>
          <w:p>
            <w:pPr>
              <w:pStyle w:val="11"/>
            </w:pPr>
            <w:r>
              <w:t>科目名称</w:t>
            </w:r>
          </w:p>
        </w:tc>
        <w:tc>
          <w:tcPr>
            <w:tcW w:w="990" w:type="dxa"/>
            <w:vMerge w:val="continue"/>
          </w:tcPr>
          <w:p/>
        </w:tc>
        <w:tc>
          <w:tcPr>
            <w:tcW w:w="1042" w:type="dxa"/>
            <w:vAlign w:val="center"/>
          </w:tcPr>
          <w:p>
            <w:pPr>
              <w:pStyle w:val="11"/>
            </w:pPr>
            <w:r>
              <w:t>小计</w:t>
            </w:r>
          </w:p>
        </w:tc>
        <w:tc>
          <w:tcPr>
            <w:tcW w:w="1163" w:type="dxa"/>
            <w:vAlign w:val="center"/>
          </w:tcPr>
          <w:p>
            <w:pPr>
              <w:pStyle w:val="11"/>
            </w:pPr>
            <w:r>
              <w:t>财政拨款 收入</w:t>
            </w:r>
          </w:p>
        </w:tc>
        <w:tc>
          <w:tcPr>
            <w:tcW w:w="727" w:type="dxa"/>
            <w:vAlign w:val="center"/>
          </w:tcPr>
          <w:p>
            <w:pPr>
              <w:pStyle w:val="11"/>
            </w:pPr>
            <w:r>
              <w:t>财政专户 收入</w:t>
            </w:r>
          </w:p>
        </w:tc>
        <w:tc>
          <w:tcPr>
            <w:tcW w:w="510" w:type="dxa"/>
            <w:vAlign w:val="center"/>
          </w:tcPr>
          <w:p>
            <w:pPr>
              <w:pStyle w:val="11"/>
            </w:pPr>
            <w:r>
              <w:t>事业收入</w:t>
            </w:r>
          </w:p>
        </w:tc>
        <w:tc>
          <w:tcPr>
            <w:tcW w:w="735" w:type="dxa"/>
            <w:vAlign w:val="center"/>
          </w:tcPr>
          <w:p>
            <w:pPr>
              <w:pStyle w:val="11"/>
            </w:pPr>
            <w:r>
              <w:t>经营收入</w:t>
            </w:r>
          </w:p>
        </w:tc>
        <w:tc>
          <w:tcPr>
            <w:tcW w:w="728" w:type="dxa"/>
            <w:vAlign w:val="center"/>
          </w:tcPr>
          <w:p>
            <w:pPr>
              <w:pStyle w:val="11"/>
            </w:pPr>
            <w:r>
              <w:t>上级补助收入</w:t>
            </w:r>
          </w:p>
        </w:tc>
        <w:tc>
          <w:tcPr>
            <w:tcW w:w="877" w:type="dxa"/>
            <w:vAlign w:val="center"/>
          </w:tcPr>
          <w:p>
            <w:pPr>
              <w:pStyle w:val="11"/>
            </w:pPr>
            <w:r>
              <w:t>附属单位上缴收入</w:t>
            </w:r>
          </w:p>
        </w:tc>
        <w:tc>
          <w:tcPr>
            <w:tcW w:w="1050" w:type="dxa"/>
            <w:vAlign w:val="center"/>
          </w:tcPr>
          <w:p>
            <w:pPr>
              <w:pStyle w:val="11"/>
            </w:pPr>
            <w:r>
              <w:t>其他收入</w:t>
            </w:r>
          </w:p>
        </w:tc>
        <w:tc>
          <w:tcPr>
            <w:tcW w:w="147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1"/>
            </w:pPr>
            <w:r>
              <w:t>栏次</w:t>
            </w:r>
          </w:p>
        </w:tc>
        <w:tc>
          <w:tcPr>
            <w:tcW w:w="1110" w:type="dxa"/>
            <w:vAlign w:val="center"/>
          </w:tcPr>
          <w:p>
            <w:pPr>
              <w:pStyle w:val="11"/>
            </w:pPr>
            <w:r>
              <w:t>1</w:t>
            </w:r>
          </w:p>
        </w:tc>
        <w:tc>
          <w:tcPr>
            <w:tcW w:w="1098" w:type="dxa"/>
            <w:vAlign w:val="center"/>
          </w:tcPr>
          <w:p>
            <w:pPr>
              <w:pStyle w:val="11"/>
            </w:pPr>
            <w:r>
              <w:t>2</w:t>
            </w:r>
          </w:p>
        </w:tc>
        <w:tc>
          <w:tcPr>
            <w:tcW w:w="990" w:type="dxa"/>
            <w:vAlign w:val="center"/>
          </w:tcPr>
          <w:p>
            <w:pPr>
              <w:pStyle w:val="11"/>
            </w:pPr>
            <w:r>
              <w:t>3</w:t>
            </w:r>
          </w:p>
        </w:tc>
        <w:tc>
          <w:tcPr>
            <w:tcW w:w="1042" w:type="dxa"/>
            <w:vAlign w:val="center"/>
          </w:tcPr>
          <w:p>
            <w:pPr>
              <w:pStyle w:val="11"/>
            </w:pPr>
            <w:r>
              <w:t>4</w:t>
            </w:r>
          </w:p>
        </w:tc>
        <w:tc>
          <w:tcPr>
            <w:tcW w:w="1163" w:type="dxa"/>
            <w:vAlign w:val="center"/>
          </w:tcPr>
          <w:p>
            <w:pPr>
              <w:pStyle w:val="11"/>
            </w:pPr>
            <w:r>
              <w:t>5</w:t>
            </w:r>
          </w:p>
        </w:tc>
        <w:tc>
          <w:tcPr>
            <w:tcW w:w="727" w:type="dxa"/>
            <w:vAlign w:val="center"/>
          </w:tcPr>
          <w:p>
            <w:pPr>
              <w:pStyle w:val="11"/>
            </w:pPr>
            <w:r>
              <w:t>6</w:t>
            </w:r>
          </w:p>
        </w:tc>
        <w:tc>
          <w:tcPr>
            <w:tcW w:w="510" w:type="dxa"/>
            <w:vAlign w:val="center"/>
          </w:tcPr>
          <w:p>
            <w:pPr>
              <w:pStyle w:val="11"/>
            </w:pPr>
            <w:r>
              <w:t>7</w:t>
            </w:r>
          </w:p>
        </w:tc>
        <w:tc>
          <w:tcPr>
            <w:tcW w:w="735" w:type="dxa"/>
            <w:vAlign w:val="center"/>
          </w:tcPr>
          <w:p>
            <w:pPr>
              <w:pStyle w:val="11"/>
            </w:pPr>
            <w:r>
              <w:t>8</w:t>
            </w:r>
          </w:p>
        </w:tc>
        <w:tc>
          <w:tcPr>
            <w:tcW w:w="728" w:type="dxa"/>
            <w:vAlign w:val="center"/>
          </w:tcPr>
          <w:p>
            <w:pPr>
              <w:pStyle w:val="11"/>
            </w:pPr>
            <w:r>
              <w:t>9</w:t>
            </w:r>
          </w:p>
        </w:tc>
        <w:tc>
          <w:tcPr>
            <w:tcW w:w="877" w:type="dxa"/>
            <w:vAlign w:val="center"/>
          </w:tcPr>
          <w:p>
            <w:pPr>
              <w:pStyle w:val="11"/>
            </w:pPr>
            <w:r>
              <w:t>10</w:t>
            </w:r>
          </w:p>
        </w:tc>
        <w:tc>
          <w:tcPr>
            <w:tcW w:w="1050" w:type="dxa"/>
            <w:vAlign w:val="center"/>
          </w:tcPr>
          <w:p>
            <w:pPr>
              <w:pStyle w:val="11"/>
            </w:pPr>
            <w:r>
              <w:t>11</w:t>
            </w:r>
          </w:p>
        </w:tc>
        <w:tc>
          <w:tcPr>
            <w:tcW w:w="1477"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1</w:t>
            </w:r>
          </w:p>
        </w:tc>
        <w:tc>
          <w:tcPr>
            <w:tcW w:w="1110" w:type="dxa"/>
            <w:vAlign w:val="center"/>
          </w:tcPr>
          <w:p>
            <w:pPr>
              <w:pStyle w:val="17"/>
            </w:pPr>
          </w:p>
        </w:tc>
        <w:tc>
          <w:tcPr>
            <w:tcW w:w="1098" w:type="dxa"/>
            <w:vAlign w:val="center"/>
          </w:tcPr>
          <w:p>
            <w:pPr>
              <w:pStyle w:val="15"/>
            </w:pPr>
            <w:r>
              <w:t>合计</w:t>
            </w:r>
          </w:p>
        </w:tc>
        <w:tc>
          <w:tcPr>
            <w:tcW w:w="990" w:type="dxa"/>
            <w:vAlign w:val="center"/>
          </w:tcPr>
          <w:p>
            <w:pPr>
              <w:pStyle w:val="16"/>
            </w:pPr>
            <w:r>
              <w:t>8606.99</w:t>
            </w:r>
          </w:p>
        </w:tc>
        <w:tc>
          <w:tcPr>
            <w:tcW w:w="1042" w:type="dxa"/>
            <w:vAlign w:val="center"/>
          </w:tcPr>
          <w:p>
            <w:pPr>
              <w:pStyle w:val="16"/>
            </w:pPr>
            <w:r>
              <w:t>8606.99</w:t>
            </w:r>
          </w:p>
        </w:tc>
        <w:tc>
          <w:tcPr>
            <w:tcW w:w="1163" w:type="dxa"/>
            <w:vAlign w:val="center"/>
          </w:tcPr>
          <w:p>
            <w:pPr>
              <w:pStyle w:val="16"/>
            </w:pPr>
            <w:r>
              <w:t>8606.99</w:t>
            </w:r>
          </w:p>
        </w:tc>
        <w:tc>
          <w:tcPr>
            <w:tcW w:w="727" w:type="dxa"/>
            <w:vAlign w:val="center"/>
          </w:tcPr>
          <w:p>
            <w:pPr>
              <w:pStyle w:val="16"/>
            </w:pPr>
          </w:p>
        </w:tc>
        <w:tc>
          <w:tcPr>
            <w:tcW w:w="510" w:type="dxa"/>
            <w:vAlign w:val="center"/>
          </w:tcPr>
          <w:p>
            <w:pPr>
              <w:pStyle w:val="16"/>
            </w:pPr>
          </w:p>
        </w:tc>
        <w:tc>
          <w:tcPr>
            <w:tcW w:w="735" w:type="dxa"/>
            <w:vAlign w:val="center"/>
          </w:tcPr>
          <w:p>
            <w:pPr>
              <w:pStyle w:val="16"/>
            </w:pPr>
          </w:p>
        </w:tc>
        <w:tc>
          <w:tcPr>
            <w:tcW w:w="728" w:type="dxa"/>
            <w:vAlign w:val="center"/>
          </w:tcPr>
          <w:p>
            <w:pPr>
              <w:pStyle w:val="16"/>
            </w:pPr>
          </w:p>
        </w:tc>
        <w:tc>
          <w:tcPr>
            <w:tcW w:w="877" w:type="dxa"/>
            <w:vAlign w:val="center"/>
          </w:tcPr>
          <w:p>
            <w:pPr>
              <w:pStyle w:val="16"/>
            </w:pPr>
          </w:p>
        </w:tc>
        <w:tc>
          <w:tcPr>
            <w:tcW w:w="1050" w:type="dxa"/>
            <w:vAlign w:val="center"/>
          </w:tcPr>
          <w:p>
            <w:pPr>
              <w:pStyle w:val="16"/>
            </w:pPr>
          </w:p>
        </w:tc>
        <w:tc>
          <w:tcPr>
            <w:tcW w:w="147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2</w:t>
            </w:r>
          </w:p>
        </w:tc>
        <w:tc>
          <w:tcPr>
            <w:tcW w:w="1110" w:type="dxa"/>
            <w:vAlign w:val="center"/>
          </w:tcPr>
          <w:p>
            <w:pPr>
              <w:pStyle w:val="13"/>
            </w:pPr>
            <w:r>
              <w:t>207</w:t>
            </w:r>
          </w:p>
        </w:tc>
        <w:tc>
          <w:tcPr>
            <w:tcW w:w="1098" w:type="dxa"/>
            <w:vAlign w:val="center"/>
          </w:tcPr>
          <w:p>
            <w:pPr>
              <w:pStyle w:val="13"/>
            </w:pPr>
            <w:r>
              <w:t>文化旅游体育与传媒支出</w:t>
            </w:r>
          </w:p>
        </w:tc>
        <w:tc>
          <w:tcPr>
            <w:tcW w:w="990" w:type="dxa"/>
            <w:vAlign w:val="center"/>
          </w:tcPr>
          <w:p>
            <w:pPr>
              <w:pStyle w:val="12"/>
            </w:pPr>
            <w:r>
              <w:t>8470.18</w:t>
            </w:r>
          </w:p>
        </w:tc>
        <w:tc>
          <w:tcPr>
            <w:tcW w:w="1042" w:type="dxa"/>
            <w:vAlign w:val="center"/>
          </w:tcPr>
          <w:p>
            <w:pPr>
              <w:pStyle w:val="12"/>
            </w:pPr>
            <w:r>
              <w:t>8470.18</w:t>
            </w:r>
          </w:p>
        </w:tc>
        <w:tc>
          <w:tcPr>
            <w:tcW w:w="1163" w:type="dxa"/>
            <w:vAlign w:val="center"/>
          </w:tcPr>
          <w:p>
            <w:pPr>
              <w:pStyle w:val="12"/>
            </w:pPr>
            <w:r>
              <w:t>8470.18</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3</w:t>
            </w:r>
          </w:p>
        </w:tc>
        <w:tc>
          <w:tcPr>
            <w:tcW w:w="1110" w:type="dxa"/>
            <w:vAlign w:val="center"/>
          </w:tcPr>
          <w:p>
            <w:pPr>
              <w:pStyle w:val="13"/>
            </w:pPr>
            <w:r>
              <w:t>20708</w:t>
            </w:r>
          </w:p>
        </w:tc>
        <w:tc>
          <w:tcPr>
            <w:tcW w:w="1098" w:type="dxa"/>
            <w:vAlign w:val="center"/>
          </w:tcPr>
          <w:p>
            <w:pPr>
              <w:pStyle w:val="13"/>
            </w:pPr>
            <w:r>
              <w:t>广播电视</w:t>
            </w:r>
          </w:p>
        </w:tc>
        <w:tc>
          <w:tcPr>
            <w:tcW w:w="990" w:type="dxa"/>
            <w:vAlign w:val="center"/>
          </w:tcPr>
          <w:p>
            <w:pPr>
              <w:pStyle w:val="12"/>
            </w:pPr>
            <w:r>
              <w:t>8458.18</w:t>
            </w:r>
          </w:p>
        </w:tc>
        <w:tc>
          <w:tcPr>
            <w:tcW w:w="1042" w:type="dxa"/>
            <w:vAlign w:val="center"/>
          </w:tcPr>
          <w:p>
            <w:pPr>
              <w:pStyle w:val="12"/>
            </w:pPr>
            <w:r>
              <w:t>8458.18</w:t>
            </w:r>
          </w:p>
        </w:tc>
        <w:tc>
          <w:tcPr>
            <w:tcW w:w="1163" w:type="dxa"/>
            <w:vAlign w:val="center"/>
          </w:tcPr>
          <w:p>
            <w:pPr>
              <w:pStyle w:val="12"/>
            </w:pPr>
            <w:r>
              <w:t>8458.18</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4</w:t>
            </w:r>
          </w:p>
        </w:tc>
        <w:tc>
          <w:tcPr>
            <w:tcW w:w="1110" w:type="dxa"/>
            <w:vAlign w:val="center"/>
          </w:tcPr>
          <w:p>
            <w:pPr>
              <w:pStyle w:val="13"/>
            </w:pPr>
            <w:r>
              <w:t>2070899</w:t>
            </w:r>
          </w:p>
        </w:tc>
        <w:tc>
          <w:tcPr>
            <w:tcW w:w="1098" w:type="dxa"/>
            <w:vAlign w:val="center"/>
          </w:tcPr>
          <w:p>
            <w:pPr>
              <w:pStyle w:val="13"/>
            </w:pPr>
            <w:r>
              <w:t>其他广播电视支出</w:t>
            </w:r>
          </w:p>
        </w:tc>
        <w:tc>
          <w:tcPr>
            <w:tcW w:w="990" w:type="dxa"/>
            <w:vAlign w:val="center"/>
          </w:tcPr>
          <w:p>
            <w:pPr>
              <w:pStyle w:val="12"/>
            </w:pPr>
            <w:r>
              <w:t>8458.18</w:t>
            </w:r>
          </w:p>
        </w:tc>
        <w:tc>
          <w:tcPr>
            <w:tcW w:w="1042" w:type="dxa"/>
            <w:vAlign w:val="center"/>
          </w:tcPr>
          <w:p>
            <w:pPr>
              <w:pStyle w:val="12"/>
            </w:pPr>
            <w:r>
              <w:t>8458.18</w:t>
            </w:r>
          </w:p>
        </w:tc>
        <w:tc>
          <w:tcPr>
            <w:tcW w:w="1163" w:type="dxa"/>
            <w:vAlign w:val="center"/>
          </w:tcPr>
          <w:p>
            <w:pPr>
              <w:pStyle w:val="12"/>
            </w:pPr>
            <w:r>
              <w:t>8458.18</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5</w:t>
            </w:r>
          </w:p>
        </w:tc>
        <w:tc>
          <w:tcPr>
            <w:tcW w:w="1110" w:type="dxa"/>
            <w:vAlign w:val="center"/>
          </w:tcPr>
          <w:p>
            <w:pPr>
              <w:pStyle w:val="13"/>
            </w:pPr>
            <w:r>
              <w:t>20799</w:t>
            </w:r>
          </w:p>
        </w:tc>
        <w:tc>
          <w:tcPr>
            <w:tcW w:w="1098" w:type="dxa"/>
            <w:vAlign w:val="center"/>
          </w:tcPr>
          <w:p>
            <w:pPr>
              <w:pStyle w:val="13"/>
            </w:pPr>
            <w:r>
              <w:t>其他文化旅游体育与传媒支出</w:t>
            </w:r>
          </w:p>
        </w:tc>
        <w:tc>
          <w:tcPr>
            <w:tcW w:w="990" w:type="dxa"/>
            <w:vAlign w:val="center"/>
          </w:tcPr>
          <w:p>
            <w:pPr>
              <w:pStyle w:val="12"/>
            </w:pPr>
            <w:r>
              <w:t>12.00</w:t>
            </w:r>
          </w:p>
        </w:tc>
        <w:tc>
          <w:tcPr>
            <w:tcW w:w="1042" w:type="dxa"/>
            <w:vAlign w:val="center"/>
          </w:tcPr>
          <w:p>
            <w:pPr>
              <w:pStyle w:val="12"/>
            </w:pPr>
            <w:r>
              <w:t>12.00</w:t>
            </w:r>
          </w:p>
        </w:tc>
        <w:tc>
          <w:tcPr>
            <w:tcW w:w="1163" w:type="dxa"/>
            <w:vAlign w:val="center"/>
          </w:tcPr>
          <w:p>
            <w:pPr>
              <w:pStyle w:val="12"/>
            </w:pPr>
            <w:r>
              <w:t>12.00</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6</w:t>
            </w:r>
          </w:p>
        </w:tc>
        <w:tc>
          <w:tcPr>
            <w:tcW w:w="1110" w:type="dxa"/>
            <w:vAlign w:val="center"/>
          </w:tcPr>
          <w:p>
            <w:pPr>
              <w:pStyle w:val="13"/>
            </w:pPr>
            <w:r>
              <w:t>2079999</w:t>
            </w:r>
          </w:p>
        </w:tc>
        <w:tc>
          <w:tcPr>
            <w:tcW w:w="1098" w:type="dxa"/>
            <w:vAlign w:val="center"/>
          </w:tcPr>
          <w:p>
            <w:pPr>
              <w:pStyle w:val="13"/>
            </w:pPr>
            <w:r>
              <w:t>其他文化旅游体育与传媒支出</w:t>
            </w:r>
          </w:p>
        </w:tc>
        <w:tc>
          <w:tcPr>
            <w:tcW w:w="990" w:type="dxa"/>
            <w:vAlign w:val="center"/>
          </w:tcPr>
          <w:p>
            <w:pPr>
              <w:pStyle w:val="12"/>
            </w:pPr>
            <w:r>
              <w:t>12.00</w:t>
            </w:r>
          </w:p>
        </w:tc>
        <w:tc>
          <w:tcPr>
            <w:tcW w:w="1042" w:type="dxa"/>
            <w:vAlign w:val="center"/>
          </w:tcPr>
          <w:p>
            <w:pPr>
              <w:pStyle w:val="12"/>
            </w:pPr>
            <w:r>
              <w:t>12.00</w:t>
            </w:r>
          </w:p>
        </w:tc>
        <w:tc>
          <w:tcPr>
            <w:tcW w:w="1163" w:type="dxa"/>
            <w:vAlign w:val="center"/>
          </w:tcPr>
          <w:p>
            <w:pPr>
              <w:pStyle w:val="12"/>
            </w:pPr>
            <w:r>
              <w:t>12.00</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7</w:t>
            </w:r>
          </w:p>
        </w:tc>
        <w:tc>
          <w:tcPr>
            <w:tcW w:w="1110" w:type="dxa"/>
            <w:vAlign w:val="center"/>
          </w:tcPr>
          <w:p>
            <w:pPr>
              <w:pStyle w:val="13"/>
            </w:pPr>
            <w:r>
              <w:t>232</w:t>
            </w:r>
          </w:p>
        </w:tc>
        <w:tc>
          <w:tcPr>
            <w:tcW w:w="1098" w:type="dxa"/>
            <w:vAlign w:val="center"/>
          </w:tcPr>
          <w:p>
            <w:pPr>
              <w:pStyle w:val="13"/>
            </w:pPr>
            <w:r>
              <w:t>债务付息支出</w:t>
            </w:r>
          </w:p>
        </w:tc>
        <w:tc>
          <w:tcPr>
            <w:tcW w:w="990" w:type="dxa"/>
            <w:vAlign w:val="center"/>
          </w:tcPr>
          <w:p>
            <w:pPr>
              <w:pStyle w:val="12"/>
            </w:pPr>
            <w:r>
              <w:t>136.80</w:t>
            </w:r>
          </w:p>
        </w:tc>
        <w:tc>
          <w:tcPr>
            <w:tcW w:w="1042" w:type="dxa"/>
            <w:vAlign w:val="center"/>
          </w:tcPr>
          <w:p>
            <w:pPr>
              <w:pStyle w:val="12"/>
            </w:pPr>
            <w:r>
              <w:t>136.80</w:t>
            </w:r>
          </w:p>
        </w:tc>
        <w:tc>
          <w:tcPr>
            <w:tcW w:w="1163" w:type="dxa"/>
            <w:vAlign w:val="center"/>
          </w:tcPr>
          <w:p>
            <w:pPr>
              <w:pStyle w:val="12"/>
            </w:pPr>
            <w:r>
              <w:t>136.80</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8</w:t>
            </w:r>
          </w:p>
        </w:tc>
        <w:tc>
          <w:tcPr>
            <w:tcW w:w="1110" w:type="dxa"/>
            <w:vAlign w:val="center"/>
          </w:tcPr>
          <w:p>
            <w:pPr>
              <w:pStyle w:val="13"/>
            </w:pPr>
            <w:r>
              <w:t>23204</w:t>
            </w:r>
          </w:p>
        </w:tc>
        <w:tc>
          <w:tcPr>
            <w:tcW w:w="1098" w:type="dxa"/>
            <w:vAlign w:val="center"/>
          </w:tcPr>
          <w:p>
            <w:pPr>
              <w:pStyle w:val="13"/>
            </w:pPr>
            <w:r>
              <w:t>地方政府专项债务付息支出</w:t>
            </w:r>
          </w:p>
        </w:tc>
        <w:tc>
          <w:tcPr>
            <w:tcW w:w="990" w:type="dxa"/>
            <w:vAlign w:val="center"/>
          </w:tcPr>
          <w:p>
            <w:pPr>
              <w:pStyle w:val="12"/>
            </w:pPr>
            <w:r>
              <w:t>136.80</w:t>
            </w:r>
          </w:p>
        </w:tc>
        <w:tc>
          <w:tcPr>
            <w:tcW w:w="1042" w:type="dxa"/>
            <w:vAlign w:val="center"/>
          </w:tcPr>
          <w:p>
            <w:pPr>
              <w:pStyle w:val="12"/>
            </w:pPr>
            <w:r>
              <w:t>136.80</w:t>
            </w:r>
          </w:p>
        </w:tc>
        <w:tc>
          <w:tcPr>
            <w:tcW w:w="1163" w:type="dxa"/>
            <w:vAlign w:val="center"/>
          </w:tcPr>
          <w:p>
            <w:pPr>
              <w:pStyle w:val="12"/>
            </w:pPr>
            <w:r>
              <w:t>136.80</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9</w:t>
            </w:r>
          </w:p>
        </w:tc>
        <w:tc>
          <w:tcPr>
            <w:tcW w:w="1110" w:type="dxa"/>
            <w:vAlign w:val="center"/>
          </w:tcPr>
          <w:p>
            <w:pPr>
              <w:pStyle w:val="13"/>
            </w:pPr>
            <w:r>
              <w:t>2320498</w:t>
            </w:r>
          </w:p>
        </w:tc>
        <w:tc>
          <w:tcPr>
            <w:tcW w:w="1098" w:type="dxa"/>
            <w:vAlign w:val="center"/>
          </w:tcPr>
          <w:p>
            <w:pPr>
              <w:pStyle w:val="13"/>
            </w:pPr>
            <w:r>
              <w:t>其他地方自行试点项目收益专项债券付息支出</w:t>
            </w:r>
          </w:p>
        </w:tc>
        <w:tc>
          <w:tcPr>
            <w:tcW w:w="990" w:type="dxa"/>
            <w:vAlign w:val="center"/>
          </w:tcPr>
          <w:p>
            <w:pPr>
              <w:pStyle w:val="12"/>
            </w:pPr>
            <w:r>
              <w:t>136.80</w:t>
            </w:r>
          </w:p>
        </w:tc>
        <w:tc>
          <w:tcPr>
            <w:tcW w:w="1042" w:type="dxa"/>
            <w:vAlign w:val="center"/>
          </w:tcPr>
          <w:p>
            <w:pPr>
              <w:pStyle w:val="12"/>
            </w:pPr>
            <w:r>
              <w:t>136.80</w:t>
            </w:r>
          </w:p>
        </w:tc>
        <w:tc>
          <w:tcPr>
            <w:tcW w:w="1163" w:type="dxa"/>
            <w:vAlign w:val="center"/>
          </w:tcPr>
          <w:p>
            <w:pPr>
              <w:pStyle w:val="12"/>
            </w:pPr>
            <w:r>
              <w:t>136.80</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10</w:t>
            </w:r>
          </w:p>
        </w:tc>
        <w:tc>
          <w:tcPr>
            <w:tcW w:w="1110" w:type="dxa"/>
            <w:vAlign w:val="center"/>
          </w:tcPr>
          <w:p>
            <w:pPr>
              <w:pStyle w:val="13"/>
            </w:pPr>
            <w:r>
              <w:t>233</w:t>
            </w:r>
          </w:p>
        </w:tc>
        <w:tc>
          <w:tcPr>
            <w:tcW w:w="1098" w:type="dxa"/>
            <w:vAlign w:val="center"/>
          </w:tcPr>
          <w:p>
            <w:pPr>
              <w:pStyle w:val="13"/>
            </w:pPr>
            <w:r>
              <w:t>债务发行费用支出</w:t>
            </w:r>
          </w:p>
        </w:tc>
        <w:tc>
          <w:tcPr>
            <w:tcW w:w="990" w:type="dxa"/>
            <w:vAlign w:val="center"/>
          </w:tcPr>
          <w:p>
            <w:pPr>
              <w:pStyle w:val="12"/>
            </w:pPr>
            <w:r>
              <w:t>0.01</w:t>
            </w:r>
          </w:p>
        </w:tc>
        <w:tc>
          <w:tcPr>
            <w:tcW w:w="1042" w:type="dxa"/>
            <w:vAlign w:val="center"/>
          </w:tcPr>
          <w:p>
            <w:pPr>
              <w:pStyle w:val="12"/>
            </w:pPr>
            <w:r>
              <w:t>0.01</w:t>
            </w:r>
          </w:p>
        </w:tc>
        <w:tc>
          <w:tcPr>
            <w:tcW w:w="1163" w:type="dxa"/>
            <w:vAlign w:val="center"/>
          </w:tcPr>
          <w:p>
            <w:pPr>
              <w:pStyle w:val="12"/>
            </w:pPr>
            <w:r>
              <w:t>0.01</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11</w:t>
            </w:r>
          </w:p>
        </w:tc>
        <w:tc>
          <w:tcPr>
            <w:tcW w:w="1110" w:type="dxa"/>
            <w:vAlign w:val="center"/>
          </w:tcPr>
          <w:p>
            <w:pPr>
              <w:pStyle w:val="13"/>
            </w:pPr>
            <w:r>
              <w:t>23304</w:t>
            </w:r>
          </w:p>
        </w:tc>
        <w:tc>
          <w:tcPr>
            <w:tcW w:w="1098" w:type="dxa"/>
            <w:vAlign w:val="center"/>
          </w:tcPr>
          <w:p>
            <w:pPr>
              <w:pStyle w:val="13"/>
            </w:pPr>
            <w:r>
              <w:t>地方政府专项债务发行费用支出</w:t>
            </w:r>
          </w:p>
        </w:tc>
        <w:tc>
          <w:tcPr>
            <w:tcW w:w="990" w:type="dxa"/>
            <w:vAlign w:val="center"/>
          </w:tcPr>
          <w:p>
            <w:pPr>
              <w:pStyle w:val="12"/>
            </w:pPr>
            <w:r>
              <w:t>0.01</w:t>
            </w:r>
          </w:p>
        </w:tc>
        <w:tc>
          <w:tcPr>
            <w:tcW w:w="1042" w:type="dxa"/>
            <w:vAlign w:val="center"/>
          </w:tcPr>
          <w:p>
            <w:pPr>
              <w:pStyle w:val="12"/>
            </w:pPr>
            <w:r>
              <w:t>0.01</w:t>
            </w:r>
          </w:p>
        </w:tc>
        <w:tc>
          <w:tcPr>
            <w:tcW w:w="1163" w:type="dxa"/>
            <w:vAlign w:val="center"/>
          </w:tcPr>
          <w:p>
            <w:pPr>
              <w:pStyle w:val="12"/>
            </w:pPr>
            <w:r>
              <w:t>0.01</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center"/>
          </w:tcPr>
          <w:p>
            <w:pPr>
              <w:pStyle w:val="14"/>
            </w:pPr>
            <w:r>
              <w:t>12</w:t>
            </w:r>
          </w:p>
        </w:tc>
        <w:tc>
          <w:tcPr>
            <w:tcW w:w="1110" w:type="dxa"/>
            <w:vAlign w:val="center"/>
          </w:tcPr>
          <w:p>
            <w:pPr>
              <w:pStyle w:val="13"/>
            </w:pPr>
            <w:r>
              <w:t>2330498</w:t>
            </w:r>
          </w:p>
        </w:tc>
        <w:tc>
          <w:tcPr>
            <w:tcW w:w="1098" w:type="dxa"/>
            <w:vAlign w:val="center"/>
          </w:tcPr>
          <w:p>
            <w:pPr>
              <w:pStyle w:val="13"/>
            </w:pPr>
            <w:r>
              <w:t>其他地方自行试点项目收益专项债券发行费用支出</w:t>
            </w:r>
          </w:p>
        </w:tc>
        <w:tc>
          <w:tcPr>
            <w:tcW w:w="990" w:type="dxa"/>
            <w:vAlign w:val="center"/>
          </w:tcPr>
          <w:p>
            <w:pPr>
              <w:pStyle w:val="12"/>
            </w:pPr>
            <w:r>
              <w:t>0.01</w:t>
            </w:r>
          </w:p>
        </w:tc>
        <w:tc>
          <w:tcPr>
            <w:tcW w:w="1042" w:type="dxa"/>
            <w:vAlign w:val="center"/>
          </w:tcPr>
          <w:p>
            <w:pPr>
              <w:pStyle w:val="12"/>
            </w:pPr>
            <w:r>
              <w:t>0.01</w:t>
            </w:r>
          </w:p>
        </w:tc>
        <w:tc>
          <w:tcPr>
            <w:tcW w:w="1163" w:type="dxa"/>
            <w:vAlign w:val="center"/>
          </w:tcPr>
          <w:p>
            <w:pPr>
              <w:pStyle w:val="12"/>
            </w:pPr>
            <w:r>
              <w:t>0.01</w:t>
            </w:r>
          </w:p>
        </w:tc>
        <w:tc>
          <w:tcPr>
            <w:tcW w:w="727" w:type="dxa"/>
            <w:vAlign w:val="center"/>
          </w:tcPr>
          <w:p>
            <w:pPr>
              <w:pStyle w:val="12"/>
            </w:pPr>
          </w:p>
        </w:tc>
        <w:tc>
          <w:tcPr>
            <w:tcW w:w="510" w:type="dxa"/>
            <w:vAlign w:val="center"/>
          </w:tcPr>
          <w:p>
            <w:pPr>
              <w:pStyle w:val="12"/>
            </w:pPr>
          </w:p>
        </w:tc>
        <w:tc>
          <w:tcPr>
            <w:tcW w:w="735" w:type="dxa"/>
            <w:vAlign w:val="center"/>
          </w:tcPr>
          <w:p>
            <w:pPr>
              <w:pStyle w:val="12"/>
            </w:pPr>
          </w:p>
        </w:tc>
        <w:tc>
          <w:tcPr>
            <w:tcW w:w="728" w:type="dxa"/>
            <w:vAlign w:val="center"/>
          </w:tcPr>
          <w:p>
            <w:pPr>
              <w:pStyle w:val="12"/>
            </w:pPr>
          </w:p>
        </w:tc>
        <w:tc>
          <w:tcPr>
            <w:tcW w:w="877" w:type="dxa"/>
            <w:vAlign w:val="center"/>
          </w:tcPr>
          <w:p>
            <w:pPr>
              <w:pStyle w:val="12"/>
            </w:pPr>
          </w:p>
        </w:tc>
        <w:tc>
          <w:tcPr>
            <w:tcW w:w="1050" w:type="dxa"/>
            <w:vAlign w:val="center"/>
          </w:tcPr>
          <w:p>
            <w:pPr>
              <w:pStyle w:val="12"/>
            </w:pPr>
          </w:p>
        </w:tc>
        <w:tc>
          <w:tcPr>
            <w:tcW w:w="1477"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3"/>
        <w:gridCol w:w="1357"/>
        <w:gridCol w:w="1365"/>
        <w:gridCol w:w="1275"/>
        <w:gridCol w:w="1320"/>
        <w:gridCol w:w="1410"/>
        <w:gridCol w:w="1373"/>
        <w:gridCol w:w="1365"/>
        <w:gridCol w:w="15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5"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595"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715"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3" w:type="dxa"/>
            <w:vMerge w:val="restart"/>
            <w:vAlign w:val="center"/>
          </w:tcPr>
          <w:p>
            <w:pPr>
              <w:pStyle w:val="11"/>
            </w:pPr>
            <w:r>
              <w:t>序号</w:t>
            </w:r>
          </w:p>
        </w:tc>
        <w:tc>
          <w:tcPr>
            <w:tcW w:w="2722" w:type="dxa"/>
            <w:gridSpan w:val="2"/>
            <w:vAlign w:val="center"/>
          </w:tcPr>
          <w:p>
            <w:pPr>
              <w:pStyle w:val="11"/>
            </w:pPr>
            <w:r>
              <w:t>功能分类科目</w:t>
            </w:r>
          </w:p>
        </w:tc>
        <w:tc>
          <w:tcPr>
            <w:tcW w:w="1275" w:type="dxa"/>
            <w:vMerge w:val="restart"/>
            <w:vAlign w:val="center"/>
          </w:tcPr>
          <w:p>
            <w:pPr>
              <w:pStyle w:val="11"/>
            </w:pPr>
            <w:r>
              <w:t>合计</w:t>
            </w:r>
          </w:p>
        </w:tc>
        <w:tc>
          <w:tcPr>
            <w:tcW w:w="1320" w:type="dxa"/>
            <w:vMerge w:val="restart"/>
            <w:vAlign w:val="center"/>
          </w:tcPr>
          <w:p>
            <w:pPr>
              <w:pStyle w:val="11"/>
            </w:pPr>
            <w:r>
              <w:t>基本支出</w:t>
            </w:r>
          </w:p>
        </w:tc>
        <w:tc>
          <w:tcPr>
            <w:tcW w:w="1410" w:type="dxa"/>
            <w:vMerge w:val="restart"/>
            <w:vAlign w:val="center"/>
          </w:tcPr>
          <w:p>
            <w:pPr>
              <w:pStyle w:val="11"/>
            </w:pPr>
            <w:r>
              <w:t>项目支出</w:t>
            </w:r>
          </w:p>
        </w:tc>
        <w:tc>
          <w:tcPr>
            <w:tcW w:w="1373" w:type="dxa"/>
            <w:vMerge w:val="restart"/>
            <w:vAlign w:val="center"/>
          </w:tcPr>
          <w:p>
            <w:pPr>
              <w:pStyle w:val="11"/>
            </w:pPr>
            <w:r>
              <w:t>经营支出</w:t>
            </w:r>
          </w:p>
        </w:tc>
        <w:tc>
          <w:tcPr>
            <w:tcW w:w="1365" w:type="dxa"/>
            <w:vMerge w:val="restart"/>
            <w:vAlign w:val="center"/>
          </w:tcPr>
          <w:p>
            <w:pPr>
              <w:pStyle w:val="11"/>
            </w:pPr>
            <w:r>
              <w:t>上</w:t>
            </w:r>
            <w:r>
              <w:rPr>
                <w:rFonts w:hint="eastAsia"/>
                <w:lang w:val="en-US" w:eastAsia="zh-CN"/>
              </w:rPr>
              <w:t>解</w:t>
            </w:r>
            <w:r>
              <w:t>上级     支出</w:t>
            </w:r>
          </w:p>
        </w:tc>
        <w:tc>
          <w:tcPr>
            <w:tcW w:w="1567"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3" w:type="dxa"/>
            <w:vMerge w:val="continue"/>
          </w:tcPr>
          <w:p/>
        </w:tc>
        <w:tc>
          <w:tcPr>
            <w:tcW w:w="1357" w:type="dxa"/>
            <w:vAlign w:val="center"/>
          </w:tcPr>
          <w:p>
            <w:pPr>
              <w:pStyle w:val="11"/>
            </w:pPr>
            <w:r>
              <w:t>科目    编码</w:t>
            </w:r>
          </w:p>
        </w:tc>
        <w:tc>
          <w:tcPr>
            <w:tcW w:w="1365" w:type="dxa"/>
            <w:vAlign w:val="center"/>
          </w:tcPr>
          <w:p>
            <w:pPr>
              <w:pStyle w:val="11"/>
            </w:pPr>
            <w:r>
              <w:t>科目名称</w:t>
            </w:r>
          </w:p>
        </w:tc>
        <w:tc>
          <w:tcPr>
            <w:tcW w:w="1275" w:type="dxa"/>
            <w:vMerge w:val="continue"/>
          </w:tcPr>
          <w:p/>
        </w:tc>
        <w:tc>
          <w:tcPr>
            <w:tcW w:w="1320" w:type="dxa"/>
            <w:vMerge w:val="continue"/>
          </w:tcPr>
          <w:p/>
        </w:tc>
        <w:tc>
          <w:tcPr>
            <w:tcW w:w="1410" w:type="dxa"/>
            <w:vMerge w:val="continue"/>
          </w:tcPr>
          <w:p/>
        </w:tc>
        <w:tc>
          <w:tcPr>
            <w:tcW w:w="1373" w:type="dxa"/>
            <w:vMerge w:val="continue"/>
          </w:tcPr>
          <w:p/>
        </w:tc>
        <w:tc>
          <w:tcPr>
            <w:tcW w:w="1365" w:type="dxa"/>
            <w:vMerge w:val="continue"/>
          </w:tcPr>
          <w:p/>
        </w:tc>
        <w:tc>
          <w:tcPr>
            <w:tcW w:w="156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tblHeader/>
          <w:jc w:val="center"/>
        </w:trPr>
        <w:tc>
          <w:tcPr>
            <w:tcW w:w="1253" w:type="dxa"/>
            <w:vAlign w:val="center"/>
          </w:tcPr>
          <w:p>
            <w:pPr>
              <w:pStyle w:val="11"/>
            </w:pPr>
            <w:r>
              <w:t>栏次</w:t>
            </w:r>
          </w:p>
        </w:tc>
        <w:tc>
          <w:tcPr>
            <w:tcW w:w="1357" w:type="dxa"/>
            <w:vAlign w:val="center"/>
          </w:tcPr>
          <w:p>
            <w:pPr>
              <w:pStyle w:val="11"/>
            </w:pPr>
            <w:r>
              <w:t>1</w:t>
            </w:r>
          </w:p>
        </w:tc>
        <w:tc>
          <w:tcPr>
            <w:tcW w:w="1365" w:type="dxa"/>
            <w:vAlign w:val="center"/>
          </w:tcPr>
          <w:p>
            <w:pPr>
              <w:pStyle w:val="11"/>
            </w:pPr>
            <w:r>
              <w:t>2</w:t>
            </w:r>
          </w:p>
        </w:tc>
        <w:tc>
          <w:tcPr>
            <w:tcW w:w="1275" w:type="dxa"/>
            <w:vAlign w:val="center"/>
          </w:tcPr>
          <w:p>
            <w:pPr>
              <w:pStyle w:val="11"/>
            </w:pPr>
            <w:r>
              <w:t>3</w:t>
            </w:r>
          </w:p>
        </w:tc>
        <w:tc>
          <w:tcPr>
            <w:tcW w:w="1320" w:type="dxa"/>
            <w:vAlign w:val="center"/>
          </w:tcPr>
          <w:p>
            <w:pPr>
              <w:pStyle w:val="11"/>
            </w:pPr>
            <w:r>
              <w:t>4</w:t>
            </w:r>
          </w:p>
        </w:tc>
        <w:tc>
          <w:tcPr>
            <w:tcW w:w="1410" w:type="dxa"/>
            <w:vAlign w:val="center"/>
          </w:tcPr>
          <w:p>
            <w:pPr>
              <w:pStyle w:val="11"/>
            </w:pPr>
            <w:r>
              <w:t>5</w:t>
            </w:r>
          </w:p>
        </w:tc>
        <w:tc>
          <w:tcPr>
            <w:tcW w:w="1373" w:type="dxa"/>
            <w:vAlign w:val="center"/>
          </w:tcPr>
          <w:p>
            <w:pPr>
              <w:pStyle w:val="11"/>
            </w:pPr>
            <w:r>
              <w:t>6</w:t>
            </w:r>
          </w:p>
        </w:tc>
        <w:tc>
          <w:tcPr>
            <w:tcW w:w="1365" w:type="dxa"/>
            <w:vAlign w:val="center"/>
          </w:tcPr>
          <w:p>
            <w:pPr>
              <w:pStyle w:val="11"/>
            </w:pPr>
            <w:r>
              <w:t>7</w:t>
            </w:r>
          </w:p>
        </w:tc>
        <w:tc>
          <w:tcPr>
            <w:tcW w:w="1567"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1</w:t>
            </w:r>
          </w:p>
        </w:tc>
        <w:tc>
          <w:tcPr>
            <w:tcW w:w="1357" w:type="dxa"/>
            <w:vAlign w:val="center"/>
          </w:tcPr>
          <w:p>
            <w:pPr>
              <w:pStyle w:val="17"/>
            </w:pPr>
          </w:p>
        </w:tc>
        <w:tc>
          <w:tcPr>
            <w:tcW w:w="1365" w:type="dxa"/>
            <w:vAlign w:val="center"/>
          </w:tcPr>
          <w:p>
            <w:pPr>
              <w:pStyle w:val="15"/>
            </w:pPr>
            <w:r>
              <w:t>合计</w:t>
            </w:r>
          </w:p>
        </w:tc>
        <w:tc>
          <w:tcPr>
            <w:tcW w:w="1275" w:type="dxa"/>
            <w:vAlign w:val="center"/>
          </w:tcPr>
          <w:p>
            <w:pPr>
              <w:pStyle w:val="16"/>
            </w:pPr>
            <w:r>
              <w:t>8606.99</w:t>
            </w:r>
          </w:p>
        </w:tc>
        <w:tc>
          <w:tcPr>
            <w:tcW w:w="1320" w:type="dxa"/>
            <w:vAlign w:val="center"/>
          </w:tcPr>
          <w:p>
            <w:pPr>
              <w:pStyle w:val="16"/>
            </w:pPr>
            <w:r>
              <w:t>5126.98</w:t>
            </w:r>
          </w:p>
        </w:tc>
        <w:tc>
          <w:tcPr>
            <w:tcW w:w="1410" w:type="dxa"/>
            <w:vAlign w:val="center"/>
          </w:tcPr>
          <w:p>
            <w:pPr>
              <w:pStyle w:val="16"/>
            </w:pPr>
            <w:r>
              <w:t>3480.01</w:t>
            </w:r>
          </w:p>
        </w:tc>
        <w:tc>
          <w:tcPr>
            <w:tcW w:w="1373" w:type="dxa"/>
            <w:vAlign w:val="center"/>
          </w:tcPr>
          <w:p>
            <w:pPr>
              <w:pStyle w:val="16"/>
            </w:pPr>
          </w:p>
        </w:tc>
        <w:tc>
          <w:tcPr>
            <w:tcW w:w="1365" w:type="dxa"/>
            <w:vAlign w:val="center"/>
          </w:tcPr>
          <w:p>
            <w:pPr>
              <w:pStyle w:val="16"/>
            </w:pPr>
          </w:p>
        </w:tc>
        <w:tc>
          <w:tcPr>
            <w:tcW w:w="1567"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2</w:t>
            </w:r>
          </w:p>
        </w:tc>
        <w:tc>
          <w:tcPr>
            <w:tcW w:w="1357" w:type="dxa"/>
            <w:vAlign w:val="center"/>
          </w:tcPr>
          <w:p>
            <w:pPr>
              <w:pStyle w:val="13"/>
            </w:pPr>
            <w:r>
              <w:t>207</w:t>
            </w:r>
          </w:p>
        </w:tc>
        <w:tc>
          <w:tcPr>
            <w:tcW w:w="1365" w:type="dxa"/>
            <w:vAlign w:val="center"/>
          </w:tcPr>
          <w:p>
            <w:pPr>
              <w:pStyle w:val="13"/>
            </w:pPr>
            <w:r>
              <w:t>文化旅游体育与传媒支出</w:t>
            </w:r>
          </w:p>
        </w:tc>
        <w:tc>
          <w:tcPr>
            <w:tcW w:w="1275" w:type="dxa"/>
            <w:vAlign w:val="center"/>
          </w:tcPr>
          <w:p>
            <w:pPr>
              <w:pStyle w:val="12"/>
            </w:pPr>
            <w:r>
              <w:t>8470.18</w:t>
            </w:r>
          </w:p>
        </w:tc>
        <w:tc>
          <w:tcPr>
            <w:tcW w:w="1320" w:type="dxa"/>
            <w:vAlign w:val="center"/>
          </w:tcPr>
          <w:p>
            <w:pPr>
              <w:pStyle w:val="12"/>
            </w:pPr>
            <w:r>
              <w:t>5126.98</w:t>
            </w:r>
          </w:p>
        </w:tc>
        <w:tc>
          <w:tcPr>
            <w:tcW w:w="1410" w:type="dxa"/>
            <w:vAlign w:val="center"/>
          </w:tcPr>
          <w:p>
            <w:pPr>
              <w:pStyle w:val="12"/>
            </w:pPr>
            <w:r>
              <w:t>3343.20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3</w:t>
            </w:r>
          </w:p>
        </w:tc>
        <w:tc>
          <w:tcPr>
            <w:tcW w:w="1357" w:type="dxa"/>
            <w:vAlign w:val="center"/>
          </w:tcPr>
          <w:p>
            <w:pPr>
              <w:pStyle w:val="13"/>
            </w:pPr>
            <w:r>
              <w:t>20708</w:t>
            </w:r>
          </w:p>
        </w:tc>
        <w:tc>
          <w:tcPr>
            <w:tcW w:w="1365" w:type="dxa"/>
            <w:vAlign w:val="center"/>
          </w:tcPr>
          <w:p>
            <w:pPr>
              <w:pStyle w:val="13"/>
            </w:pPr>
            <w:r>
              <w:t>广播电视</w:t>
            </w:r>
          </w:p>
        </w:tc>
        <w:tc>
          <w:tcPr>
            <w:tcW w:w="1275" w:type="dxa"/>
            <w:vAlign w:val="center"/>
          </w:tcPr>
          <w:p>
            <w:pPr>
              <w:pStyle w:val="12"/>
            </w:pPr>
            <w:r>
              <w:t>8458.18</w:t>
            </w:r>
          </w:p>
        </w:tc>
        <w:tc>
          <w:tcPr>
            <w:tcW w:w="1320" w:type="dxa"/>
            <w:vAlign w:val="center"/>
          </w:tcPr>
          <w:p>
            <w:pPr>
              <w:pStyle w:val="12"/>
            </w:pPr>
            <w:r>
              <w:t>5126.98</w:t>
            </w:r>
          </w:p>
        </w:tc>
        <w:tc>
          <w:tcPr>
            <w:tcW w:w="1410" w:type="dxa"/>
            <w:vAlign w:val="center"/>
          </w:tcPr>
          <w:p>
            <w:pPr>
              <w:pStyle w:val="12"/>
            </w:pPr>
            <w:r>
              <w:t>3331.20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4</w:t>
            </w:r>
          </w:p>
        </w:tc>
        <w:tc>
          <w:tcPr>
            <w:tcW w:w="1357" w:type="dxa"/>
            <w:vAlign w:val="center"/>
          </w:tcPr>
          <w:p>
            <w:pPr>
              <w:pStyle w:val="13"/>
            </w:pPr>
            <w:r>
              <w:t>2070899</w:t>
            </w:r>
          </w:p>
        </w:tc>
        <w:tc>
          <w:tcPr>
            <w:tcW w:w="1365" w:type="dxa"/>
            <w:vAlign w:val="center"/>
          </w:tcPr>
          <w:p>
            <w:pPr>
              <w:pStyle w:val="13"/>
            </w:pPr>
            <w:r>
              <w:t>其他广播电视支出</w:t>
            </w:r>
          </w:p>
        </w:tc>
        <w:tc>
          <w:tcPr>
            <w:tcW w:w="1275" w:type="dxa"/>
            <w:vAlign w:val="center"/>
          </w:tcPr>
          <w:p>
            <w:pPr>
              <w:pStyle w:val="12"/>
            </w:pPr>
            <w:r>
              <w:t>8458.18</w:t>
            </w:r>
          </w:p>
        </w:tc>
        <w:tc>
          <w:tcPr>
            <w:tcW w:w="1320" w:type="dxa"/>
            <w:vAlign w:val="center"/>
          </w:tcPr>
          <w:p>
            <w:pPr>
              <w:pStyle w:val="12"/>
            </w:pPr>
            <w:r>
              <w:t>5126.98</w:t>
            </w:r>
          </w:p>
        </w:tc>
        <w:tc>
          <w:tcPr>
            <w:tcW w:w="1410" w:type="dxa"/>
            <w:vAlign w:val="center"/>
          </w:tcPr>
          <w:p>
            <w:pPr>
              <w:pStyle w:val="12"/>
            </w:pPr>
            <w:r>
              <w:t>3331.20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5</w:t>
            </w:r>
          </w:p>
        </w:tc>
        <w:tc>
          <w:tcPr>
            <w:tcW w:w="1357" w:type="dxa"/>
            <w:vAlign w:val="center"/>
          </w:tcPr>
          <w:p>
            <w:pPr>
              <w:pStyle w:val="13"/>
            </w:pPr>
            <w:r>
              <w:t>20799</w:t>
            </w:r>
          </w:p>
        </w:tc>
        <w:tc>
          <w:tcPr>
            <w:tcW w:w="1365" w:type="dxa"/>
            <w:vAlign w:val="center"/>
          </w:tcPr>
          <w:p>
            <w:pPr>
              <w:pStyle w:val="13"/>
            </w:pPr>
            <w:r>
              <w:t>其他文化旅游体育与传媒支出</w:t>
            </w:r>
          </w:p>
        </w:tc>
        <w:tc>
          <w:tcPr>
            <w:tcW w:w="1275" w:type="dxa"/>
            <w:vAlign w:val="center"/>
          </w:tcPr>
          <w:p>
            <w:pPr>
              <w:pStyle w:val="12"/>
            </w:pPr>
            <w:r>
              <w:t>12.00</w:t>
            </w:r>
          </w:p>
        </w:tc>
        <w:tc>
          <w:tcPr>
            <w:tcW w:w="1320" w:type="dxa"/>
            <w:vAlign w:val="center"/>
          </w:tcPr>
          <w:p>
            <w:pPr>
              <w:pStyle w:val="12"/>
            </w:pPr>
          </w:p>
        </w:tc>
        <w:tc>
          <w:tcPr>
            <w:tcW w:w="1410" w:type="dxa"/>
            <w:vAlign w:val="center"/>
          </w:tcPr>
          <w:p>
            <w:pPr>
              <w:pStyle w:val="12"/>
            </w:pPr>
            <w:r>
              <w:t>12.00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6</w:t>
            </w:r>
          </w:p>
        </w:tc>
        <w:tc>
          <w:tcPr>
            <w:tcW w:w="1357" w:type="dxa"/>
            <w:vAlign w:val="center"/>
          </w:tcPr>
          <w:p>
            <w:pPr>
              <w:pStyle w:val="13"/>
            </w:pPr>
            <w:r>
              <w:t>2079999</w:t>
            </w:r>
          </w:p>
        </w:tc>
        <w:tc>
          <w:tcPr>
            <w:tcW w:w="1365" w:type="dxa"/>
            <w:vAlign w:val="center"/>
          </w:tcPr>
          <w:p>
            <w:pPr>
              <w:pStyle w:val="13"/>
            </w:pPr>
            <w:r>
              <w:t>其他文化旅游体育与传媒支出</w:t>
            </w:r>
          </w:p>
        </w:tc>
        <w:tc>
          <w:tcPr>
            <w:tcW w:w="1275" w:type="dxa"/>
            <w:vAlign w:val="center"/>
          </w:tcPr>
          <w:p>
            <w:pPr>
              <w:pStyle w:val="12"/>
            </w:pPr>
            <w:r>
              <w:t>12.00</w:t>
            </w:r>
          </w:p>
        </w:tc>
        <w:tc>
          <w:tcPr>
            <w:tcW w:w="1320" w:type="dxa"/>
            <w:vAlign w:val="center"/>
          </w:tcPr>
          <w:p>
            <w:pPr>
              <w:pStyle w:val="12"/>
            </w:pPr>
          </w:p>
        </w:tc>
        <w:tc>
          <w:tcPr>
            <w:tcW w:w="1410" w:type="dxa"/>
            <w:vAlign w:val="center"/>
          </w:tcPr>
          <w:p>
            <w:pPr>
              <w:pStyle w:val="12"/>
            </w:pPr>
            <w:r>
              <w:t>12.00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7</w:t>
            </w:r>
          </w:p>
        </w:tc>
        <w:tc>
          <w:tcPr>
            <w:tcW w:w="1357" w:type="dxa"/>
            <w:vAlign w:val="center"/>
          </w:tcPr>
          <w:p>
            <w:pPr>
              <w:pStyle w:val="13"/>
            </w:pPr>
            <w:r>
              <w:t>232</w:t>
            </w:r>
          </w:p>
        </w:tc>
        <w:tc>
          <w:tcPr>
            <w:tcW w:w="1365" w:type="dxa"/>
            <w:vAlign w:val="center"/>
          </w:tcPr>
          <w:p>
            <w:pPr>
              <w:pStyle w:val="13"/>
            </w:pPr>
            <w:r>
              <w:t>债务付息支出</w:t>
            </w:r>
          </w:p>
        </w:tc>
        <w:tc>
          <w:tcPr>
            <w:tcW w:w="1275" w:type="dxa"/>
            <w:vAlign w:val="center"/>
          </w:tcPr>
          <w:p>
            <w:pPr>
              <w:pStyle w:val="12"/>
            </w:pPr>
            <w:r>
              <w:t>136.80</w:t>
            </w:r>
          </w:p>
        </w:tc>
        <w:tc>
          <w:tcPr>
            <w:tcW w:w="1320" w:type="dxa"/>
            <w:vAlign w:val="center"/>
          </w:tcPr>
          <w:p>
            <w:pPr>
              <w:pStyle w:val="12"/>
            </w:pPr>
          </w:p>
        </w:tc>
        <w:tc>
          <w:tcPr>
            <w:tcW w:w="1410" w:type="dxa"/>
            <w:vAlign w:val="center"/>
          </w:tcPr>
          <w:p>
            <w:pPr>
              <w:pStyle w:val="12"/>
            </w:pPr>
            <w:r>
              <w:t>136.80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8</w:t>
            </w:r>
          </w:p>
        </w:tc>
        <w:tc>
          <w:tcPr>
            <w:tcW w:w="1357" w:type="dxa"/>
            <w:vAlign w:val="center"/>
          </w:tcPr>
          <w:p>
            <w:pPr>
              <w:pStyle w:val="13"/>
            </w:pPr>
            <w:r>
              <w:t>23204</w:t>
            </w:r>
          </w:p>
        </w:tc>
        <w:tc>
          <w:tcPr>
            <w:tcW w:w="1365" w:type="dxa"/>
            <w:vAlign w:val="center"/>
          </w:tcPr>
          <w:p>
            <w:pPr>
              <w:pStyle w:val="13"/>
            </w:pPr>
            <w:r>
              <w:t>地方政府专项债务付息支出</w:t>
            </w:r>
          </w:p>
        </w:tc>
        <w:tc>
          <w:tcPr>
            <w:tcW w:w="1275" w:type="dxa"/>
            <w:vAlign w:val="center"/>
          </w:tcPr>
          <w:p>
            <w:pPr>
              <w:pStyle w:val="12"/>
            </w:pPr>
            <w:r>
              <w:t>136.80</w:t>
            </w:r>
          </w:p>
        </w:tc>
        <w:tc>
          <w:tcPr>
            <w:tcW w:w="1320" w:type="dxa"/>
            <w:vAlign w:val="center"/>
          </w:tcPr>
          <w:p>
            <w:pPr>
              <w:pStyle w:val="12"/>
            </w:pPr>
          </w:p>
        </w:tc>
        <w:tc>
          <w:tcPr>
            <w:tcW w:w="1410" w:type="dxa"/>
            <w:vAlign w:val="center"/>
          </w:tcPr>
          <w:p>
            <w:pPr>
              <w:pStyle w:val="12"/>
            </w:pPr>
            <w:r>
              <w:t>136.80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9</w:t>
            </w:r>
          </w:p>
        </w:tc>
        <w:tc>
          <w:tcPr>
            <w:tcW w:w="1357" w:type="dxa"/>
            <w:vAlign w:val="center"/>
          </w:tcPr>
          <w:p>
            <w:pPr>
              <w:pStyle w:val="13"/>
            </w:pPr>
            <w:r>
              <w:t>2320498</w:t>
            </w:r>
          </w:p>
        </w:tc>
        <w:tc>
          <w:tcPr>
            <w:tcW w:w="1365" w:type="dxa"/>
            <w:vAlign w:val="center"/>
          </w:tcPr>
          <w:p>
            <w:pPr>
              <w:pStyle w:val="13"/>
            </w:pPr>
            <w:r>
              <w:t>其他地方自行试点项目收益专项债券付息支出</w:t>
            </w:r>
          </w:p>
        </w:tc>
        <w:tc>
          <w:tcPr>
            <w:tcW w:w="1275" w:type="dxa"/>
            <w:vAlign w:val="center"/>
          </w:tcPr>
          <w:p>
            <w:pPr>
              <w:pStyle w:val="12"/>
            </w:pPr>
            <w:r>
              <w:t>136.80</w:t>
            </w:r>
          </w:p>
        </w:tc>
        <w:tc>
          <w:tcPr>
            <w:tcW w:w="1320" w:type="dxa"/>
            <w:vAlign w:val="center"/>
          </w:tcPr>
          <w:p>
            <w:pPr>
              <w:pStyle w:val="12"/>
            </w:pPr>
          </w:p>
        </w:tc>
        <w:tc>
          <w:tcPr>
            <w:tcW w:w="1410" w:type="dxa"/>
            <w:vAlign w:val="center"/>
          </w:tcPr>
          <w:p>
            <w:pPr>
              <w:pStyle w:val="12"/>
            </w:pPr>
            <w:r>
              <w:t>136.80</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10</w:t>
            </w:r>
          </w:p>
        </w:tc>
        <w:tc>
          <w:tcPr>
            <w:tcW w:w="1357" w:type="dxa"/>
            <w:vAlign w:val="center"/>
          </w:tcPr>
          <w:p>
            <w:pPr>
              <w:pStyle w:val="13"/>
            </w:pPr>
            <w:r>
              <w:t>233</w:t>
            </w:r>
          </w:p>
        </w:tc>
        <w:tc>
          <w:tcPr>
            <w:tcW w:w="1365" w:type="dxa"/>
            <w:vAlign w:val="center"/>
          </w:tcPr>
          <w:p>
            <w:pPr>
              <w:pStyle w:val="13"/>
            </w:pPr>
            <w:r>
              <w:t>债务发行费用支出</w:t>
            </w:r>
          </w:p>
        </w:tc>
        <w:tc>
          <w:tcPr>
            <w:tcW w:w="1275" w:type="dxa"/>
            <w:vAlign w:val="center"/>
          </w:tcPr>
          <w:p>
            <w:pPr>
              <w:pStyle w:val="12"/>
            </w:pPr>
            <w:r>
              <w:t>0.01</w:t>
            </w:r>
          </w:p>
        </w:tc>
        <w:tc>
          <w:tcPr>
            <w:tcW w:w="1320" w:type="dxa"/>
            <w:vAlign w:val="center"/>
          </w:tcPr>
          <w:p>
            <w:pPr>
              <w:pStyle w:val="12"/>
            </w:pPr>
          </w:p>
        </w:tc>
        <w:tc>
          <w:tcPr>
            <w:tcW w:w="1410" w:type="dxa"/>
            <w:vAlign w:val="center"/>
          </w:tcPr>
          <w:p>
            <w:pPr>
              <w:pStyle w:val="12"/>
            </w:pPr>
            <w:r>
              <w:t>0.01</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11</w:t>
            </w:r>
          </w:p>
        </w:tc>
        <w:tc>
          <w:tcPr>
            <w:tcW w:w="1357" w:type="dxa"/>
            <w:vAlign w:val="center"/>
          </w:tcPr>
          <w:p>
            <w:pPr>
              <w:pStyle w:val="13"/>
            </w:pPr>
            <w:r>
              <w:t>23304</w:t>
            </w:r>
          </w:p>
        </w:tc>
        <w:tc>
          <w:tcPr>
            <w:tcW w:w="1365" w:type="dxa"/>
            <w:vAlign w:val="center"/>
          </w:tcPr>
          <w:p>
            <w:pPr>
              <w:pStyle w:val="13"/>
            </w:pPr>
            <w:r>
              <w:t>地方政府专项债务发行费用支出</w:t>
            </w:r>
          </w:p>
        </w:tc>
        <w:tc>
          <w:tcPr>
            <w:tcW w:w="1275" w:type="dxa"/>
            <w:vAlign w:val="center"/>
          </w:tcPr>
          <w:p>
            <w:pPr>
              <w:pStyle w:val="12"/>
            </w:pPr>
            <w:r>
              <w:t>0.01</w:t>
            </w:r>
          </w:p>
        </w:tc>
        <w:tc>
          <w:tcPr>
            <w:tcW w:w="1320" w:type="dxa"/>
            <w:vAlign w:val="center"/>
          </w:tcPr>
          <w:p>
            <w:pPr>
              <w:pStyle w:val="12"/>
            </w:pPr>
          </w:p>
        </w:tc>
        <w:tc>
          <w:tcPr>
            <w:tcW w:w="1410" w:type="dxa"/>
            <w:vAlign w:val="center"/>
          </w:tcPr>
          <w:p>
            <w:pPr>
              <w:pStyle w:val="12"/>
            </w:pPr>
            <w:r>
              <w:t>0.01</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3" w:type="dxa"/>
            <w:vAlign w:val="center"/>
          </w:tcPr>
          <w:p>
            <w:pPr>
              <w:pStyle w:val="14"/>
            </w:pPr>
            <w:r>
              <w:t>12</w:t>
            </w:r>
          </w:p>
        </w:tc>
        <w:tc>
          <w:tcPr>
            <w:tcW w:w="1357" w:type="dxa"/>
            <w:vAlign w:val="center"/>
          </w:tcPr>
          <w:p>
            <w:pPr>
              <w:pStyle w:val="13"/>
            </w:pPr>
            <w:r>
              <w:t>2330498</w:t>
            </w:r>
          </w:p>
        </w:tc>
        <w:tc>
          <w:tcPr>
            <w:tcW w:w="1365" w:type="dxa"/>
            <w:vAlign w:val="center"/>
          </w:tcPr>
          <w:p>
            <w:pPr>
              <w:pStyle w:val="13"/>
            </w:pPr>
            <w:r>
              <w:t>其他地方自行试点项目收益专项债券发行费用支出</w:t>
            </w:r>
          </w:p>
        </w:tc>
        <w:tc>
          <w:tcPr>
            <w:tcW w:w="1275" w:type="dxa"/>
            <w:vAlign w:val="center"/>
          </w:tcPr>
          <w:p>
            <w:pPr>
              <w:pStyle w:val="12"/>
            </w:pPr>
            <w:r>
              <w:t>0.01</w:t>
            </w:r>
          </w:p>
        </w:tc>
        <w:tc>
          <w:tcPr>
            <w:tcW w:w="1320" w:type="dxa"/>
            <w:vAlign w:val="center"/>
          </w:tcPr>
          <w:p>
            <w:pPr>
              <w:pStyle w:val="12"/>
            </w:pPr>
          </w:p>
        </w:tc>
        <w:tc>
          <w:tcPr>
            <w:tcW w:w="1410" w:type="dxa"/>
            <w:vAlign w:val="center"/>
          </w:tcPr>
          <w:p>
            <w:pPr>
              <w:pStyle w:val="12"/>
            </w:pPr>
            <w:r>
              <w:t>0.01</w:t>
            </w:r>
          </w:p>
        </w:tc>
        <w:tc>
          <w:tcPr>
            <w:tcW w:w="1373" w:type="dxa"/>
            <w:vAlign w:val="center"/>
          </w:tcPr>
          <w:p>
            <w:pPr>
              <w:pStyle w:val="12"/>
            </w:pPr>
          </w:p>
        </w:tc>
        <w:tc>
          <w:tcPr>
            <w:tcW w:w="1365" w:type="dxa"/>
            <w:vAlign w:val="center"/>
          </w:tcPr>
          <w:p>
            <w:pPr>
              <w:pStyle w:val="12"/>
            </w:pPr>
          </w:p>
        </w:tc>
        <w:tc>
          <w:tcPr>
            <w:tcW w:w="1567"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4"/>
        <w:gridCol w:w="1510"/>
        <w:gridCol w:w="1723"/>
        <w:gridCol w:w="2280"/>
        <w:gridCol w:w="1537"/>
        <w:gridCol w:w="1373"/>
        <w:gridCol w:w="1552"/>
        <w:gridCol w:w="12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87"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2280" w:type="dxa"/>
            <w:tcBorders>
              <w:top w:val="single" w:color="FFFFFF" w:sz="6" w:space="0"/>
              <w:left w:val="single" w:color="FFFFFF" w:sz="6" w:space="0"/>
              <w:right w:val="single" w:color="FFFFFF" w:sz="6" w:space="0"/>
            </w:tcBorders>
            <w:vAlign w:val="center"/>
          </w:tcPr>
          <w:p>
            <w:pPr>
              <w:pStyle w:val="9"/>
            </w:pPr>
            <w:r>
              <w:t>预算年度：2024</w:t>
            </w:r>
          </w:p>
        </w:tc>
        <w:tc>
          <w:tcPr>
            <w:tcW w:w="5747"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restart"/>
            <w:vAlign w:val="center"/>
          </w:tcPr>
          <w:p>
            <w:pPr>
              <w:pStyle w:val="11"/>
            </w:pPr>
            <w:r>
              <w:t>序号</w:t>
            </w:r>
          </w:p>
        </w:tc>
        <w:tc>
          <w:tcPr>
            <w:tcW w:w="3233" w:type="dxa"/>
            <w:gridSpan w:val="2"/>
            <w:vAlign w:val="center"/>
          </w:tcPr>
          <w:p>
            <w:pPr>
              <w:pStyle w:val="11"/>
            </w:pPr>
            <w:r>
              <w:t>收入</w:t>
            </w:r>
          </w:p>
        </w:tc>
        <w:tc>
          <w:tcPr>
            <w:tcW w:w="8027"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Merge w:val="continue"/>
          </w:tcPr>
          <w:p/>
        </w:tc>
        <w:tc>
          <w:tcPr>
            <w:tcW w:w="1510" w:type="dxa"/>
            <w:vAlign w:val="center"/>
          </w:tcPr>
          <w:p>
            <w:pPr>
              <w:pStyle w:val="11"/>
            </w:pPr>
            <w:r>
              <w:t>项  目</w:t>
            </w:r>
          </w:p>
        </w:tc>
        <w:tc>
          <w:tcPr>
            <w:tcW w:w="1723" w:type="dxa"/>
            <w:vAlign w:val="center"/>
          </w:tcPr>
          <w:p>
            <w:pPr>
              <w:pStyle w:val="11"/>
            </w:pPr>
            <w:r>
              <w:t>金额</w:t>
            </w:r>
          </w:p>
        </w:tc>
        <w:tc>
          <w:tcPr>
            <w:tcW w:w="2280" w:type="dxa"/>
            <w:vAlign w:val="center"/>
          </w:tcPr>
          <w:p>
            <w:pPr>
              <w:pStyle w:val="11"/>
            </w:pPr>
            <w:r>
              <w:t>项  目</w:t>
            </w:r>
          </w:p>
        </w:tc>
        <w:tc>
          <w:tcPr>
            <w:tcW w:w="1537" w:type="dxa"/>
            <w:vAlign w:val="center"/>
          </w:tcPr>
          <w:p>
            <w:pPr>
              <w:pStyle w:val="11"/>
            </w:pPr>
            <w:r>
              <w:t>合计</w:t>
            </w:r>
          </w:p>
        </w:tc>
        <w:tc>
          <w:tcPr>
            <w:tcW w:w="1373" w:type="dxa"/>
            <w:vAlign w:val="center"/>
          </w:tcPr>
          <w:p>
            <w:pPr>
              <w:pStyle w:val="11"/>
            </w:pPr>
            <w:r>
              <w:t>一般公共预算财政拨款</w:t>
            </w:r>
          </w:p>
        </w:tc>
        <w:tc>
          <w:tcPr>
            <w:tcW w:w="1552" w:type="dxa"/>
            <w:vAlign w:val="center"/>
          </w:tcPr>
          <w:p>
            <w:pPr>
              <w:pStyle w:val="11"/>
            </w:pPr>
            <w:r>
              <w:t>政府性基金预算财政    拨款</w:t>
            </w:r>
          </w:p>
        </w:tc>
        <w:tc>
          <w:tcPr>
            <w:tcW w:w="1285"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4" w:type="dxa"/>
            <w:vAlign w:val="center"/>
          </w:tcPr>
          <w:p>
            <w:pPr>
              <w:pStyle w:val="11"/>
            </w:pPr>
            <w:r>
              <w:t>栏次</w:t>
            </w:r>
          </w:p>
        </w:tc>
        <w:tc>
          <w:tcPr>
            <w:tcW w:w="1510" w:type="dxa"/>
            <w:vAlign w:val="center"/>
          </w:tcPr>
          <w:p>
            <w:pPr>
              <w:pStyle w:val="11"/>
            </w:pPr>
            <w:r>
              <w:t>1</w:t>
            </w:r>
          </w:p>
        </w:tc>
        <w:tc>
          <w:tcPr>
            <w:tcW w:w="1723" w:type="dxa"/>
            <w:vAlign w:val="center"/>
          </w:tcPr>
          <w:p>
            <w:pPr>
              <w:pStyle w:val="11"/>
            </w:pPr>
            <w:r>
              <w:t>2</w:t>
            </w:r>
          </w:p>
        </w:tc>
        <w:tc>
          <w:tcPr>
            <w:tcW w:w="2280" w:type="dxa"/>
            <w:vAlign w:val="center"/>
          </w:tcPr>
          <w:p>
            <w:pPr>
              <w:pStyle w:val="11"/>
            </w:pPr>
            <w:r>
              <w:t>3</w:t>
            </w:r>
          </w:p>
        </w:tc>
        <w:tc>
          <w:tcPr>
            <w:tcW w:w="1537" w:type="dxa"/>
            <w:vAlign w:val="center"/>
          </w:tcPr>
          <w:p>
            <w:pPr>
              <w:pStyle w:val="11"/>
            </w:pPr>
            <w:r>
              <w:t>4</w:t>
            </w:r>
          </w:p>
        </w:tc>
        <w:tc>
          <w:tcPr>
            <w:tcW w:w="1373" w:type="dxa"/>
            <w:vAlign w:val="center"/>
          </w:tcPr>
          <w:p>
            <w:pPr>
              <w:pStyle w:val="11"/>
            </w:pPr>
            <w:r>
              <w:t>5</w:t>
            </w:r>
          </w:p>
        </w:tc>
        <w:tc>
          <w:tcPr>
            <w:tcW w:w="1552" w:type="dxa"/>
            <w:vAlign w:val="center"/>
          </w:tcPr>
          <w:p>
            <w:pPr>
              <w:pStyle w:val="11"/>
            </w:pPr>
            <w:r>
              <w:t>6</w:t>
            </w:r>
          </w:p>
        </w:tc>
        <w:tc>
          <w:tcPr>
            <w:tcW w:w="1285"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w:t>
            </w:r>
          </w:p>
        </w:tc>
        <w:tc>
          <w:tcPr>
            <w:tcW w:w="1510" w:type="dxa"/>
            <w:vAlign w:val="center"/>
          </w:tcPr>
          <w:p>
            <w:pPr>
              <w:pStyle w:val="13"/>
            </w:pPr>
            <w:r>
              <w:t>一、一般公共预算拨款</w:t>
            </w:r>
          </w:p>
        </w:tc>
        <w:tc>
          <w:tcPr>
            <w:tcW w:w="1723" w:type="dxa"/>
            <w:vAlign w:val="center"/>
          </w:tcPr>
          <w:p>
            <w:pPr>
              <w:pStyle w:val="12"/>
            </w:pPr>
            <w:r>
              <w:t>8470.18</w:t>
            </w:r>
          </w:p>
        </w:tc>
        <w:tc>
          <w:tcPr>
            <w:tcW w:w="2280" w:type="dxa"/>
            <w:vAlign w:val="center"/>
          </w:tcPr>
          <w:p>
            <w:pPr>
              <w:pStyle w:val="13"/>
            </w:pPr>
            <w:r>
              <w:t>一、一般公共服务支出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w:t>
            </w:r>
          </w:p>
        </w:tc>
        <w:tc>
          <w:tcPr>
            <w:tcW w:w="1510" w:type="dxa"/>
            <w:vAlign w:val="center"/>
          </w:tcPr>
          <w:p>
            <w:pPr>
              <w:pStyle w:val="13"/>
            </w:pPr>
            <w:r>
              <w:t>二、政府性基金预算拨款</w:t>
            </w:r>
          </w:p>
        </w:tc>
        <w:tc>
          <w:tcPr>
            <w:tcW w:w="1723" w:type="dxa"/>
            <w:vAlign w:val="center"/>
          </w:tcPr>
          <w:p>
            <w:pPr>
              <w:pStyle w:val="12"/>
            </w:pPr>
            <w:r>
              <w:t>136.81</w:t>
            </w:r>
          </w:p>
        </w:tc>
        <w:tc>
          <w:tcPr>
            <w:tcW w:w="2280" w:type="dxa"/>
            <w:vAlign w:val="center"/>
          </w:tcPr>
          <w:p>
            <w:pPr>
              <w:pStyle w:val="13"/>
            </w:pPr>
            <w:r>
              <w:t>二、外交支出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w:t>
            </w:r>
          </w:p>
        </w:tc>
        <w:tc>
          <w:tcPr>
            <w:tcW w:w="1510" w:type="dxa"/>
            <w:vAlign w:val="center"/>
          </w:tcPr>
          <w:p>
            <w:pPr>
              <w:pStyle w:val="13"/>
            </w:pPr>
            <w:r>
              <w:t>三、国有资本经营预算拨款</w:t>
            </w:r>
          </w:p>
        </w:tc>
        <w:tc>
          <w:tcPr>
            <w:tcW w:w="1723" w:type="dxa"/>
            <w:vAlign w:val="center"/>
          </w:tcPr>
          <w:p>
            <w:pPr>
              <w:pStyle w:val="12"/>
            </w:pPr>
          </w:p>
        </w:tc>
        <w:tc>
          <w:tcPr>
            <w:tcW w:w="2280" w:type="dxa"/>
            <w:vAlign w:val="center"/>
          </w:tcPr>
          <w:p>
            <w:pPr>
              <w:pStyle w:val="13"/>
            </w:pPr>
            <w:r>
              <w:t>三、国防支出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4</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四、公共安全支出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5</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五、教育支出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6</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六、科学技术支出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7</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七、文化旅游体育与传媒支出</w:t>
            </w:r>
          </w:p>
        </w:tc>
        <w:tc>
          <w:tcPr>
            <w:tcW w:w="1537" w:type="dxa"/>
            <w:vAlign w:val="center"/>
          </w:tcPr>
          <w:p>
            <w:pPr>
              <w:pStyle w:val="12"/>
            </w:pPr>
            <w:r>
              <w:t>8470.18</w:t>
            </w:r>
          </w:p>
        </w:tc>
        <w:tc>
          <w:tcPr>
            <w:tcW w:w="1373" w:type="dxa"/>
            <w:vAlign w:val="center"/>
          </w:tcPr>
          <w:p>
            <w:pPr>
              <w:pStyle w:val="12"/>
            </w:pPr>
            <w:r>
              <w:t>8470.18</w:t>
            </w: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8</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八、社会保障和就业支出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9</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九、社会保险基金支出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10</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十、卫生健康支出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11</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十一、节能环保支出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12</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十二、城乡社区支出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13</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十三、农林水支出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14</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十四、交通运输支出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15</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十五、资源勘探工业信息等支出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16</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十六、商业服务业等支出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17</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十七、金融支出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18</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十八、援助其他地区支出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19</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十九、自然资源海洋气象等支出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20</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二十、住房保障支出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21</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二十一、粮油物资储备支出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22</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二十二、国有资本经营预算支出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23</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二十三、灾害防治及应急管理支出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24</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二十四、预备费</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25</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二十五、其他支出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26</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二十六、转移性支出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27</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二十七、债务还本支出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28</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二十八、债务付息支出</w:t>
            </w:r>
          </w:p>
        </w:tc>
        <w:tc>
          <w:tcPr>
            <w:tcW w:w="1537" w:type="dxa"/>
            <w:vAlign w:val="center"/>
          </w:tcPr>
          <w:p>
            <w:pPr>
              <w:pStyle w:val="12"/>
            </w:pPr>
            <w:r>
              <w:t>136.80</w:t>
            </w:r>
          </w:p>
        </w:tc>
        <w:tc>
          <w:tcPr>
            <w:tcW w:w="1373" w:type="dxa"/>
            <w:vAlign w:val="center"/>
          </w:tcPr>
          <w:p>
            <w:pPr>
              <w:pStyle w:val="12"/>
            </w:pPr>
          </w:p>
        </w:tc>
        <w:tc>
          <w:tcPr>
            <w:tcW w:w="1552" w:type="dxa"/>
            <w:vAlign w:val="center"/>
          </w:tcPr>
          <w:p>
            <w:pPr>
              <w:pStyle w:val="12"/>
            </w:pPr>
            <w:r>
              <w:t>136.80</w:t>
            </w: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29</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二十九、债务发行费用支出</w:t>
            </w:r>
          </w:p>
        </w:tc>
        <w:tc>
          <w:tcPr>
            <w:tcW w:w="1537" w:type="dxa"/>
            <w:vAlign w:val="center"/>
          </w:tcPr>
          <w:p>
            <w:pPr>
              <w:pStyle w:val="12"/>
            </w:pPr>
            <w:r>
              <w:t>0.01</w:t>
            </w:r>
          </w:p>
        </w:tc>
        <w:tc>
          <w:tcPr>
            <w:tcW w:w="1373" w:type="dxa"/>
            <w:vAlign w:val="center"/>
          </w:tcPr>
          <w:p>
            <w:pPr>
              <w:pStyle w:val="12"/>
            </w:pPr>
          </w:p>
        </w:tc>
        <w:tc>
          <w:tcPr>
            <w:tcW w:w="1552" w:type="dxa"/>
            <w:vAlign w:val="center"/>
          </w:tcPr>
          <w:p>
            <w:pPr>
              <w:pStyle w:val="12"/>
            </w:pPr>
            <w:r>
              <w:t>0.01</w:t>
            </w: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30</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三十、抗疫特别国债安排的支出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31</w:t>
            </w:r>
          </w:p>
        </w:tc>
        <w:tc>
          <w:tcPr>
            <w:tcW w:w="1510" w:type="dxa"/>
            <w:vAlign w:val="center"/>
          </w:tcPr>
          <w:p>
            <w:pPr>
              <w:pStyle w:val="13"/>
            </w:pPr>
          </w:p>
        </w:tc>
        <w:tc>
          <w:tcPr>
            <w:tcW w:w="1723" w:type="dxa"/>
            <w:vAlign w:val="center"/>
          </w:tcPr>
          <w:p>
            <w:pPr>
              <w:pStyle w:val="12"/>
            </w:pPr>
          </w:p>
        </w:tc>
        <w:tc>
          <w:tcPr>
            <w:tcW w:w="2280" w:type="dxa"/>
            <w:vAlign w:val="center"/>
          </w:tcPr>
          <w:p>
            <w:pPr>
              <w:pStyle w:val="13"/>
            </w:pPr>
            <w:r>
              <w:t>三十一、往来性支出</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32</w:t>
            </w:r>
          </w:p>
        </w:tc>
        <w:tc>
          <w:tcPr>
            <w:tcW w:w="1510" w:type="dxa"/>
            <w:vAlign w:val="center"/>
          </w:tcPr>
          <w:p>
            <w:pPr>
              <w:pStyle w:val="15"/>
            </w:pPr>
            <w:r>
              <w:t>本年收入合计</w:t>
            </w:r>
          </w:p>
        </w:tc>
        <w:tc>
          <w:tcPr>
            <w:tcW w:w="1723" w:type="dxa"/>
            <w:vAlign w:val="center"/>
          </w:tcPr>
          <w:p>
            <w:pPr>
              <w:pStyle w:val="16"/>
            </w:pPr>
            <w:r>
              <w:t>8606.99</w:t>
            </w:r>
          </w:p>
        </w:tc>
        <w:tc>
          <w:tcPr>
            <w:tcW w:w="2280" w:type="dxa"/>
            <w:vAlign w:val="center"/>
          </w:tcPr>
          <w:p>
            <w:pPr>
              <w:pStyle w:val="15"/>
            </w:pPr>
            <w:r>
              <w:t>本年支出合计</w:t>
            </w:r>
          </w:p>
        </w:tc>
        <w:tc>
          <w:tcPr>
            <w:tcW w:w="1537" w:type="dxa"/>
            <w:vAlign w:val="center"/>
          </w:tcPr>
          <w:p>
            <w:pPr>
              <w:pStyle w:val="16"/>
            </w:pPr>
            <w:r>
              <w:t>8606.99</w:t>
            </w:r>
          </w:p>
        </w:tc>
        <w:tc>
          <w:tcPr>
            <w:tcW w:w="1373" w:type="dxa"/>
            <w:vAlign w:val="center"/>
          </w:tcPr>
          <w:p>
            <w:pPr>
              <w:pStyle w:val="16"/>
            </w:pPr>
            <w:r>
              <w:t>8470.18</w:t>
            </w:r>
          </w:p>
        </w:tc>
        <w:tc>
          <w:tcPr>
            <w:tcW w:w="1552" w:type="dxa"/>
            <w:vAlign w:val="center"/>
          </w:tcPr>
          <w:p>
            <w:pPr>
              <w:pStyle w:val="16"/>
            </w:pPr>
            <w:r>
              <w:t>136.81</w:t>
            </w:r>
          </w:p>
        </w:tc>
        <w:tc>
          <w:tcPr>
            <w:tcW w:w="128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33</w:t>
            </w:r>
          </w:p>
        </w:tc>
        <w:tc>
          <w:tcPr>
            <w:tcW w:w="1510" w:type="dxa"/>
            <w:vAlign w:val="center"/>
          </w:tcPr>
          <w:p>
            <w:pPr>
              <w:pStyle w:val="13"/>
            </w:pPr>
            <w:r>
              <w:t>年初财政拨款结转和结余</w:t>
            </w:r>
          </w:p>
        </w:tc>
        <w:tc>
          <w:tcPr>
            <w:tcW w:w="1723" w:type="dxa"/>
            <w:vAlign w:val="center"/>
          </w:tcPr>
          <w:p>
            <w:pPr>
              <w:pStyle w:val="12"/>
            </w:pPr>
          </w:p>
        </w:tc>
        <w:tc>
          <w:tcPr>
            <w:tcW w:w="2280" w:type="dxa"/>
            <w:vAlign w:val="center"/>
          </w:tcPr>
          <w:p>
            <w:pPr>
              <w:pStyle w:val="13"/>
            </w:pPr>
            <w:r>
              <w:t>年末财政拨款结转和结余</w:t>
            </w: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34</w:t>
            </w:r>
          </w:p>
        </w:tc>
        <w:tc>
          <w:tcPr>
            <w:tcW w:w="1510" w:type="dxa"/>
            <w:vAlign w:val="center"/>
          </w:tcPr>
          <w:p>
            <w:pPr>
              <w:pStyle w:val="13"/>
            </w:pPr>
            <w:r>
              <w:t>一、一般公共预算拨款</w:t>
            </w:r>
          </w:p>
        </w:tc>
        <w:tc>
          <w:tcPr>
            <w:tcW w:w="1723" w:type="dxa"/>
            <w:vAlign w:val="center"/>
          </w:tcPr>
          <w:p>
            <w:pPr>
              <w:pStyle w:val="12"/>
            </w:pPr>
          </w:p>
        </w:tc>
        <w:tc>
          <w:tcPr>
            <w:tcW w:w="2280" w:type="dxa"/>
            <w:vAlign w:val="center"/>
          </w:tcPr>
          <w:p>
            <w:pPr>
              <w:pStyle w:val="13"/>
            </w:pP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35</w:t>
            </w:r>
          </w:p>
        </w:tc>
        <w:tc>
          <w:tcPr>
            <w:tcW w:w="1510" w:type="dxa"/>
            <w:vAlign w:val="center"/>
          </w:tcPr>
          <w:p>
            <w:pPr>
              <w:pStyle w:val="13"/>
            </w:pPr>
            <w:r>
              <w:t>二、政府性基金预算拨款</w:t>
            </w:r>
          </w:p>
        </w:tc>
        <w:tc>
          <w:tcPr>
            <w:tcW w:w="1723" w:type="dxa"/>
            <w:vAlign w:val="center"/>
          </w:tcPr>
          <w:p>
            <w:pPr>
              <w:pStyle w:val="12"/>
            </w:pPr>
          </w:p>
        </w:tc>
        <w:tc>
          <w:tcPr>
            <w:tcW w:w="2280" w:type="dxa"/>
            <w:vAlign w:val="center"/>
          </w:tcPr>
          <w:p>
            <w:pPr>
              <w:pStyle w:val="13"/>
            </w:pP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36</w:t>
            </w:r>
          </w:p>
        </w:tc>
        <w:tc>
          <w:tcPr>
            <w:tcW w:w="1510" w:type="dxa"/>
            <w:vAlign w:val="center"/>
          </w:tcPr>
          <w:p>
            <w:pPr>
              <w:pStyle w:val="13"/>
            </w:pPr>
            <w:r>
              <w:t>三、国有资本经营预算拨款</w:t>
            </w:r>
          </w:p>
        </w:tc>
        <w:tc>
          <w:tcPr>
            <w:tcW w:w="1723" w:type="dxa"/>
            <w:vAlign w:val="center"/>
          </w:tcPr>
          <w:p>
            <w:pPr>
              <w:pStyle w:val="12"/>
            </w:pPr>
          </w:p>
        </w:tc>
        <w:tc>
          <w:tcPr>
            <w:tcW w:w="2280" w:type="dxa"/>
            <w:vAlign w:val="center"/>
          </w:tcPr>
          <w:p>
            <w:pPr>
              <w:pStyle w:val="13"/>
            </w:pPr>
          </w:p>
        </w:tc>
        <w:tc>
          <w:tcPr>
            <w:tcW w:w="1537" w:type="dxa"/>
            <w:vAlign w:val="center"/>
          </w:tcPr>
          <w:p>
            <w:pPr>
              <w:pStyle w:val="12"/>
            </w:pPr>
          </w:p>
        </w:tc>
        <w:tc>
          <w:tcPr>
            <w:tcW w:w="1373" w:type="dxa"/>
            <w:vAlign w:val="center"/>
          </w:tcPr>
          <w:p>
            <w:pPr>
              <w:pStyle w:val="12"/>
            </w:pPr>
          </w:p>
        </w:tc>
        <w:tc>
          <w:tcPr>
            <w:tcW w:w="1552" w:type="dxa"/>
            <w:vAlign w:val="center"/>
          </w:tcPr>
          <w:p>
            <w:pPr>
              <w:pStyle w:val="12"/>
            </w:pPr>
          </w:p>
        </w:tc>
        <w:tc>
          <w:tcPr>
            <w:tcW w:w="128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4" w:type="dxa"/>
            <w:vAlign w:val="center"/>
          </w:tcPr>
          <w:p>
            <w:pPr>
              <w:pStyle w:val="14"/>
            </w:pPr>
            <w:r>
              <w:t>37</w:t>
            </w:r>
          </w:p>
        </w:tc>
        <w:tc>
          <w:tcPr>
            <w:tcW w:w="1510" w:type="dxa"/>
            <w:vAlign w:val="center"/>
          </w:tcPr>
          <w:p>
            <w:pPr>
              <w:pStyle w:val="15"/>
            </w:pPr>
            <w:r>
              <w:t>收入总计</w:t>
            </w:r>
          </w:p>
        </w:tc>
        <w:tc>
          <w:tcPr>
            <w:tcW w:w="1723" w:type="dxa"/>
            <w:vAlign w:val="center"/>
          </w:tcPr>
          <w:p>
            <w:pPr>
              <w:pStyle w:val="16"/>
            </w:pPr>
            <w:r>
              <w:t>8606.99</w:t>
            </w:r>
          </w:p>
        </w:tc>
        <w:tc>
          <w:tcPr>
            <w:tcW w:w="2280" w:type="dxa"/>
            <w:vAlign w:val="center"/>
          </w:tcPr>
          <w:p>
            <w:pPr>
              <w:pStyle w:val="15"/>
            </w:pPr>
            <w:r>
              <w:t>支出总计</w:t>
            </w:r>
          </w:p>
        </w:tc>
        <w:tc>
          <w:tcPr>
            <w:tcW w:w="1537" w:type="dxa"/>
            <w:vAlign w:val="center"/>
          </w:tcPr>
          <w:p>
            <w:pPr>
              <w:pStyle w:val="16"/>
            </w:pPr>
            <w:r>
              <w:t>8606.99</w:t>
            </w:r>
          </w:p>
        </w:tc>
        <w:tc>
          <w:tcPr>
            <w:tcW w:w="1373" w:type="dxa"/>
            <w:vAlign w:val="center"/>
          </w:tcPr>
          <w:p>
            <w:pPr>
              <w:pStyle w:val="16"/>
            </w:pPr>
            <w:r>
              <w:t>8470.18</w:t>
            </w:r>
          </w:p>
        </w:tc>
        <w:tc>
          <w:tcPr>
            <w:tcW w:w="1552" w:type="dxa"/>
            <w:vAlign w:val="center"/>
          </w:tcPr>
          <w:p>
            <w:pPr>
              <w:pStyle w:val="16"/>
            </w:pPr>
            <w:r>
              <w:t>136.81</w:t>
            </w:r>
          </w:p>
        </w:tc>
        <w:tc>
          <w:tcPr>
            <w:tcW w:w="1285"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35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52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3599"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35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3599"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8470.18</w:t>
            </w:r>
          </w:p>
        </w:tc>
        <w:tc>
          <w:tcPr>
            <w:tcW w:w="1643" w:type="dxa"/>
            <w:vAlign w:val="center"/>
          </w:tcPr>
          <w:p>
            <w:pPr>
              <w:pStyle w:val="16"/>
            </w:pPr>
            <w:r>
              <w:t>5126.98</w:t>
            </w:r>
          </w:p>
        </w:tc>
        <w:tc>
          <w:tcPr>
            <w:tcW w:w="3599" w:type="dxa"/>
            <w:vAlign w:val="center"/>
          </w:tcPr>
          <w:p>
            <w:pPr>
              <w:pStyle w:val="16"/>
            </w:pPr>
            <w:r>
              <w:t>3343.20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207</w:t>
            </w:r>
          </w:p>
        </w:tc>
        <w:tc>
          <w:tcPr>
            <w:tcW w:w="1643" w:type="dxa"/>
            <w:vAlign w:val="center"/>
          </w:tcPr>
          <w:p>
            <w:pPr>
              <w:pStyle w:val="13"/>
            </w:pPr>
            <w:r>
              <w:t>文化旅游体育与传媒支出</w:t>
            </w:r>
          </w:p>
        </w:tc>
        <w:tc>
          <w:tcPr>
            <w:tcW w:w="1643" w:type="dxa"/>
            <w:vAlign w:val="center"/>
          </w:tcPr>
          <w:p>
            <w:pPr>
              <w:pStyle w:val="12"/>
            </w:pPr>
            <w:r>
              <w:t>8470.18</w:t>
            </w:r>
          </w:p>
        </w:tc>
        <w:tc>
          <w:tcPr>
            <w:tcW w:w="1643" w:type="dxa"/>
            <w:vAlign w:val="center"/>
          </w:tcPr>
          <w:p>
            <w:pPr>
              <w:pStyle w:val="12"/>
            </w:pPr>
            <w:r>
              <w:t>5126.98</w:t>
            </w:r>
          </w:p>
        </w:tc>
        <w:tc>
          <w:tcPr>
            <w:tcW w:w="3599" w:type="dxa"/>
            <w:vAlign w:val="center"/>
          </w:tcPr>
          <w:p>
            <w:pPr>
              <w:pStyle w:val="12"/>
            </w:pPr>
            <w:r>
              <w:t>3343.20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20708</w:t>
            </w:r>
          </w:p>
        </w:tc>
        <w:tc>
          <w:tcPr>
            <w:tcW w:w="1643" w:type="dxa"/>
            <w:vAlign w:val="center"/>
          </w:tcPr>
          <w:p>
            <w:pPr>
              <w:pStyle w:val="13"/>
            </w:pPr>
            <w:r>
              <w:t>广播电视</w:t>
            </w:r>
          </w:p>
        </w:tc>
        <w:tc>
          <w:tcPr>
            <w:tcW w:w="1643" w:type="dxa"/>
            <w:vAlign w:val="center"/>
          </w:tcPr>
          <w:p>
            <w:pPr>
              <w:pStyle w:val="12"/>
            </w:pPr>
            <w:r>
              <w:t>8458.18</w:t>
            </w:r>
          </w:p>
        </w:tc>
        <w:tc>
          <w:tcPr>
            <w:tcW w:w="1643" w:type="dxa"/>
            <w:vAlign w:val="center"/>
          </w:tcPr>
          <w:p>
            <w:pPr>
              <w:pStyle w:val="12"/>
            </w:pPr>
            <w:r>
              <w:t>5126.98</w:t>
            </w:r>
          </w:p>
        </w:tc>
        <w:tc>
          <w:tcPr>
            <w:tcW w:w="3599" w:type="dxa"/>
            <w:vAlign w:val="center"/>
          </w:tcPr>
          <w:p>
            <w:pPr>
              <w:pStyle w:val="12"/>
            </w:pPr>
            <w:r>
              <w:t>3331.20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2070899</w:t>
            </w:r>
          </w:p>
        </w:tc>
        <w:tc>
          <w:tcPr>
            <w:tcW w:w="1643" w:type="dxa"/>
            <w:vAlign w:val="center"/>
          </w:tcPr>
          <w:p>
            <w:pPr>
              <w:pStyle w:val="13"/>
            </w:pPr>
            <w:r>
              <w:t>其他广播电视支出</w:t>
            </w:r>
          </w:p>
        </w:tc>
        <w:tc>
          <w:tcPr>
            <w:tcW w:w="1643" w:type="dxa"/>
            <w:vAlign w:val="center"/>
          </w:tcPr>
          <w:p>
            <w:pPr>
              <w:pStyle w:val="12"/>
            </w:pPr>
            <w:r>
              <w:t>8458.18</w:t>
            </w:r>
          </w:p>
        </w:tc>
        <w:tc>
          <w:tcPr>
            <w:tcW w:w="1643" w:type="dxa"/>
            <w:vAlign w:val="center"/>
          </w:tcPr>
          <w:p>
            <w:pPr>
              <w:pStyle w:val="12"/>
            </w:pPr>
            <w:r>
              <w:t>5126.98</w:t>
            </w:r>
          </w:p>
        </w:tc>
        <w:tc>
          <w:tcPr>
            <w:tcW w:w="3599" w:type="dxa"/>
            <w:vAlign w:val="center"/>
          </w:tcPr>
          <w:p>
            <w:pPr>
              <w:pStyle w:val="12"/>
            </w:pPr>
            <w:r>
              <w:t>3331.20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20799</w:t>
            </w:r>
          </w:p>
        </w:tc>
        <w:tc>
          <w:tcPr>
            <w:tcW w:w="1643" w:type="dxa"/>
            <w:vAlign w:val="center"/>
          </w:tcPr>
          <w:p>
            <w:pPr>
              <w:pStyle w:val="13"/>
            </w:pPr>
            <w:r>
              <w:t>其他文化旅游体育与传媒支出</w:t>
            </w:r>
          </w:p>
        </w:tc>
        <w:tc>
          <w:tcPr>
            <w:tcW w:w="1643" w:type="dxa"/>
            <w:vAlign w:val="center"/>
          </w:tcPr>
          <w:p>
            <w:pPr>
              <w:pStyle w:val="12"/>
            </w:pPr>
            <w:r>
              <w:t>12.00</w:t>
            </w:r>
          </w:p>
        </w:tc>
        <w:tc>
          <w:tcPr>
            <w:tcW w:w="1643" w:type="dxa"/>
            <w:vAlign w:val="center"/>
          </w:tcPr>
          <w:p>
            <w:pPr>
              <w:pStyle w:val="12"/>
            </w:pPr>
          </w:p>
        </w:tc>
        <w:tc>
          <w:tcPr>
            <w:tcW w:w="3599"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2079999</w:t>
            </w:r>
          </w:p>
        </w:tc>
        <w:tc>
          <w:tcPr>
            <w:tcW w:w="1643" w:type="dxa"/>
            <w:vAlign w:val="center"/>
          </w:tcPr>
          <w:p>
            <w:pPr>
              <w:pStyle w:val="13"/>
            </w:pPr>
            <w:r>
              <w:t>其他文化旅游体育与传媒支出</w:t>
            </w:r>
          </w:p>
        </w:tc>
        <w:tc>
          <w:tcPr>
            <w:tcW w:w="1643" w:type="dxa"/>
            <w:vAlign w:val="center"/>
          </w:tcPr>
          <w:p>
            <w:pPr>
              <w:pStyle w:val="12"/>
            </w:pPr>
            <w:r>
              <w:t>12.00</w:t>
            </w:r>
          </w:p>
        </w:tc>
        <w:tc>
          <w:tcPr>
            <w:tcW w:w="1643" w:type="dxa"/>
            <w:vAlign w:val="center"/>
          </w:tcPr>
          <w:p>
            <w:pPr>
              <w:pStyle w:val="12"/>
            </w:pPr>
          </w:p>
        </w:tc>
        <w:tc>
          <w:tcPr>
            <w:tcW w:w="3599" w:type="dxa"/>
            <w:vAlign w:val="center"/>
          </w:tcPr>
          <w:p>
            <w:pPr>
              <w:pStyle w:val="12"/>
            </w:pPr>
            <w:r>
              <w:t>12.00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38"/>
        <w:gridCol w:w="2033"/>
        <w:gridCol w:w="1926"/>
        <w:gridCol w:w="1643"/>
        <w:gridCol w:w="2222"/>
        <w:gridCol w:w="2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7"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520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restart"/>
            <w:vAlign w:val="center"/>
          </w:tcPr>
          <w:p>
            <w:pPr>
              <w:pStyle w:val="11"/>
            </w:pPr>
            <w:r>
              <w:t>序号</w:t>
            </w:r>
          </w:p>
        </w:tc>
        <w:tc>
          <w:tcPr>
            <w:tcW w:w="3959" w:type="dxa"/>
            <w:gridSpan w:val="2"/>
            <w:vAlign w:val="center"/>
          </w:tcPr>
          <w:p>
            <w:pPr>
              <w:pStyle w:val="11"/>
            </w:pPr>
            <w:r>
              <w:t>支出部门经济分类科目</w:t>
            </w:r>
          </w:p>
        </w:tc>
        <w:tc>
          <w:tcPr>
            <w:tcW w:w="684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Merge w:val="continue"/>
          </w:tcPr>
          <w:p/>
        </w:tc>
        <w:tc>
          <w:tcPr>
            <w:tcW w:w="2033" w:type="dxa"/>
            <w:vAlign w:val="center"/>
          </w:tcPr>
          <w:p>
            <w:pPr>
              <w:pStyle w:val="11"/>
            </w:pPr>
            <w:r>
              <w:t>科目编码</w:t>
            </w:r>
          </w:p>
        </w:tc>
        <w:tc>
          <w:tcPr>
            <w:tcW w:w="1926" w:type="dxa"/>
            <w:vAlign w:val="center"/>
          </w:tcPr>
          <w:p>
            <w:pPr>
              <w:pStyle w:val="11"/>
            </w:pPr>
            <w:r>
              <w:t>科目名称</w:t>
            </w:r>
          </w:p>
        </w:tc>
        <w:tc>
          <w:tcPr>
            <w:tcW w:w="1643" w:type="dxa"/>
            <w:vAlign w:val="center"/>
          </w:tcPr>
          <w:p>
            <w:pPr>
              <w:pStyle w:val="11"/>
            </w:pPr>
            <w:r>
              <w:t>合计</w:t>
            </w:r>
          </w:p>
        </w:tc>
        <w:tc>
          <w:tcPr>
            <w:tcW w:w="2222" w:type="dxa"/>
            <w:vAlign w:val="center"/>
          </w:tcPr>
          <w:p>
            <w:pPr>
              <w:pStyle w:val="11"/>
            </w:pPr>
            <w:r>
              <w:t>人员经费</w:t>
            </w:r>
          </w:p>
        </w:tc>
        <w:tc>
          <w:tcPr>
            <w:tcW w:w="2984"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38" w:type="dxa"/>
            <w:vAlign w:val="center"/>
          </w:tcPr>
          <w:p>
            <w:pPr>
              <w:pStyle w:val="11"/>
            </w:pPr>
            <w:r>
              <w:t>栏次</w:t>
            </w:r>
          </w:p>
        </w:tc>
        <w:tc>
          <w:tcPr>
            <w:tcW w:w="2033" w:type="dxa"/>
            <w:vAlign w:val="center"/>
          </w:tcPr>
          <w:p>
            <w:pPr>
              <w:pStyle w:val="11"/>
            </w:pPr>
            <w:r>
              <w:t>1</w:t>
            </w:r>
          </w:p>
        </w:tc>
        <w:tc>
          <w:tcPr>
            <w:tcW w:w="1926" w:type="dxa"/>
            <w:vAlign w:val="center"/>
          </w:tcPr>
          <w:p>
            <w:pPr>
              <w:pStyle w:val="11"/>
            </w:pPr>
            <w:r>
              <w:t>2</w:t>
            </w:r>
          </w:p>
        </w:tc>
        <w:tc>
          <w:tcPr>
            <w:tcW w:w="1643" w:type="dxa"/>
            <w:vAlign w:val="center"/>
          </w:tcPr>
          <w:p>
            <w:pPr>
              <w:pStyle w:val="11"/>
            </w:pPr>
            <w:r>
              <w:t>3</w:t>
            </w:r>
          </w:p>
        </w:tc>
        <w:tc>
          <w:tcPr>
            <w:tcW w:w="2222" w:type="dxa"/>
            <w:vAlign w:val="center"/>
          </w:tcPr>
          <w:p>
            <w:pPr>
              <w:pStyle w:val="11"/>
            </w:pPr>
            <w:r>
              <w:t>4</w:t>
            </w:r>
          </w:p>
        </w:tc>
        <w:tc>
          <w:tcPr>
            <w:tcW w:w="2984"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w:t>
            </w:r>
          </w:p>
        </w:tc>
        <w:tc>
          <w:tcPr>
            <w:tcW w:w="2033" w:type="dxa"/>
            <w:vAlign w:val="center"/>
          </w:tcPr>
          <w:p>
            <w:pPr>
              <w:pStyle w:val="17"/>
            </w:pPr>
          </w:p>
        </w:tc>
        <w:tc>
          <w:tcPr>
            <w:tcW w:w="1926" w:type="dxa"/>
            <w:vAlign w:val="center"/>
          </w:tcPr>
          <w:p>
            <w:pPr>
              <w:pStyle w:val="15"/>
            </w:pPr>
            <w:r>
              <w:t>合计</w:t>
            </w:r>
          </w:p>
        </w:tc>
        <w:tc>
          <w:tcPr>
            <w:tcW w:w="1643" w:type="dxa"/>
            <w:vAlign w:val="center"/>
          </w:tcPr>
          <w:p>
            <w:pPr>
              <w:pStyle w:val="16"/>
            </w:pPr>
            <w:r>
              <w:t>5126.98</w:t>
            </w:r>
          </w:p>
        </w:tc>
        <w:tc>
          <w:tcPr>
            <w:tcW w:w="2222" w:type="dxa"/>
            <w:vAlign w:val="center"/>
          </w:tcPr>
          <w:p>
            <w:pPr>
              <w:pStyle w:val="16"/>
            </w:pPr>
            <w:r>
              <w:t>5126.98</w:t>
            </w:r>
          </w:p>
        </w:tc>
        <w:tc>
          <w:tcPr>
            <w:tcW w:w="298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2</w:t>
            </w:r>
          </w:p>
        </w:tc>
        <w:tc>
          <w:tcPr>
            <w:tcW w:w="2033" w:type="dxa"/>
            <w:vAlign w:val="center"/>
          </w:tcPr>
          <w:p>
            <w:pPr>
              <w:pStyle w:val="13"/>
            </w:pPr>
            <w:r>
              <w:t>301</w:t>
            </w:r>
          </w:p>
        </w:tc>
        <w:tc>
          <w:tcPr>
            <w:tcW w:w="1926" w:type="dxa"/>
            <w:vAlign w:val="center"/>
          </w:tcPr>
          <w:p>
            <w:pPr>
              <w:pStyle w:val="13"/>
            </w:pPr>
            <w:r>
              <w:t>工资福利支出</w:t>
            </w:r>
          </w:p>
        </w:tc>
        <w:tc>
          <w:tcPr>
            <w:tcW w:w="1643" w:type="dxa"/>
            <w:vAlign w:val="center"/>
          </w:tcPr>
          <w:p>
            <w:pPr>
              <w:pStyle w:val="12"/>
            </w:pPr>
            <w:r>
              <w:t>3487.37</w:t>
            </w:r>
          </w:p>
        </w:tc>
        <w:tc>
          <w:tcPr>
            <w:tcW w:w="2222" w:type="dxa"/>
            <w:vAlign w:val="center"/>
          </w:tcPr>
          <w:p>
            <w:pPr>
              <w:pStyle w:val="12"/>
            </w:pPr>
            <w:r>
              <w:t>3487.37</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3</w:t>
            </w:r>
          </w:p>
        </w:tc>
        <w:tc>
          <w:tcPr>
            <w:tcW w:w="2033" w:type="dxa"/>
            <w:vAlign w:val="center"/>
          </w:tcPr>
          <w:p>
            <w:pPr>
              <w:pStyle w:val="13"/>
            </w:pPr>
            <w:r>
              <w:t>30101</w:t>
            </w:r>
          </w:p>
        </w:tc>
        <w:tc>
          <w:tcPr>
            <w:tcW w:w="1926" w:type="dxa"/>
            <w:vAlign w:val="center"/>
          </w:tcPr>
          <w:p>
            <w:pPr>
              <w:pStyle w:val="13"/>
            </w:pPr>
            <w:r>
              <w:t>基本工资</w:t>
            </w:r>
          </w:p>
        </w:tc>
        <w:tc>
          <w:tcPr>
            <w:tcW w:w="1643" w:type="dxa"/>
            <w:vAlign w:val="center"/>
          </w:tcPr>
          <w:p>
            <w:pPr>
              <w:pStyle w:val="12"/>
            </w:pPr>
            <w:r>
              <w:t>882.91</w:t>
            </w:r>
          </w:p>
        </w:tc>
        <w:tc>
          <w:tcPr>
            <w:tcW w:w="2222" w:type="dxa"/>
            <w:vAlign w:val="center"/>
          </w:tcPr>
          <w:p>
            <w:pPr>
              <w:pStyle w:val="12"/>
            </w:pPr>
            <w:r>
              <w:t>882.91</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4</w:t>
            </w:r>
          </w:p>
        </w:tc>
        <w:tc>
          <w:tcPr>
            <w:tcW w:w="2033" w:type="dxa"/>
            <w:vAlign w:val="center"/>
          </w:tcPr>
          <w:p>
            <w:pPr>
              <w:pStyle w:val="13"/>
            </w:pPr>
            <w:r>
              <w:t>30102</w:t>
            </w:r>
          </w:p>
        </w:tc>
        <w:tc>
          <w:tcPr>
            <w:tcW w:w="1926" w:type="dxa"/>
            <w:vAlign w:val="center"/>
          </w:tcPr>
          <w:p>
            <w:pPr>
              <w:pStyle w:val="13"/>
            </w:pPr>
            <w:r>
              <w:t>津贴补贴</w:t>
            </w:r>
          </w:p>
        </w:tc>
        <w:tc>
          <w:tcPr>
            <w:tcW w:w="1643" w:type="dxa"/>
            <w:vAlign w:val="center"/>
          </w:tcPr>
          <w:p>
            <w:pPr>
              <w:pStyle w:val="12"/>
            </w:pPr>
            <w:r>
              <w:t>157.34</w:t>
            </w:r>
          </w:p>
        </w:tc>
        <w:tc>
          <w:tcPr>
            <w:tcW w:w="2222" w:type="dxa"/>
            <w:vAlign w:val="center"/>
          </w:tcPr>
          <w:p>
            <w:pPr>
              <w:pStyle w:val="12"/>
            </w:pPr>
            <w:r>
              <w:t>157.34</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5</w:t>
            </w:r>
          </w:p>
        </w:tc>
        <w:tc>
          <w:tcPr>
            <w:tcW w:w="2033" w:type="dxa"/>
            <w:vAlign w:val="center"/>
          </w:tcPr>
          <w:p>
            <w:pPr>
              <w:pStyle w:val="13"/>
            </w:pPr>
            <w:r>
              <w:t>30103</w:t>
            </w:r>
          </w:p>
        </w:tc>
        <w:tc>
          <w:tcPr>
            <w:tcW w:w="1926" w:type="dxa"/>
            <w:vAlign w:val="center"/>
          </w:tcPr>
          <w:p>
            <w:pPr>
              <w:pStyle w:val="13"/>
            </w:pPr>
            <w:r>
              <w:t>奖金</w:t>
            </w:r>
          </w:p>
        </w:tc>
        <w:tc>
          <w:tcPr>
            <w:tcW w:w="1643" w:type="dxa"/>
            <w:vAlign w:val="center"/>
          </w:tcPr>
          <w:p>
            <w:pPr>
              <w:pStyle w:val="12"/>
            </w:pPr>
            <w:r>
              <w:t>699.23</w:t>
            </w:r>
          </w:p>
        </w:tc>
        <w:tc>
          <w:tcPr>
            <w:tcW w:w="2222" w:type="dxa"/>
            <w:vAlign w:val="center"/>
          </w:tcPr>
          <w:p>
            <w:pPr>
              <w:pStyle w:val="12"/>
            </w:pPr>
            <w:r>
              <w:t>699.23</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6</w:t>
            </w:r>
          </w:p>
        </w:tc>
        <w:tc>
          <w:tcPr>
            <w:tcW w:w="2033" w:type="dxa"/>
            <w:vAlign w:val="center"/>
          </w:tcPr>
          <w:p>
            <w:pPr>
              <w:pStyle w:val="13"/>
            </w:pPr>
            <w:r>
              <w:t>30107</w:t>
            </w:r>
          </w:p>
        </w:tc>
        <w:tc>
          <w:tcPr>
            <w:tcW w:w="1926" w:type="dxa"/>
            <w:vAlign w:val="center"/>
          </w:tcPr>
          <w:p>
            <w:pPr>
              <w:pStyle w:val="13"/>
            </w:pPr>
            <w:r>
              <w:t>绩效工资</w:t>
            </w:r>
          </w:p>
        </w:tc>
        <w:tc>
          <w:tcPr>
            <w:tcW w:w="1643" w:type="dxa"/>
            <w:vAlign w:val="center"/>
          </w:tcPr>
          <w:p>
            <w:pPr>
              <w:pStyle w:val="12"/>
            </w:pPr>
            <w:r>
              <w:t>567.79</w:t>
            </w:r>
          </w:p>
        </w:tc>
        <w:tc>
          <w:tcPr>
            <w:tcW w:w="2222" w:type="dxa"/>
            <w:vAlign w:val="center"/>
          </w:tcPr>
          <w:p>
            <w:pPr>
              <w:pStyle w:val="12"/>
            </w:pPr>
            <w:r>
              <w:t>567.79</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7</w:t>
            </w:r>
          </w:p>
        </w:tc>
        <w:tc>
          <w:tcPr>
            <w:tcW w:w="2033" w:type="dxa"/>
            <w:vAlign w:val="center"/>
          </w:tcPr>
          <w:p>
            <w:pPr>
              <w:pStyle w:val="13"/>
            </w:pPr>
            <w:r>
              <w:t>30108</w:t>
            </w:r>
          </w:p>
        </w:tc>
        <w:tc>
          <w:tcPr>
            <w:tcW w:w="1926" w:type="dxa"/>
            <w:vAlign w:val="center"/>
          </w:tcPr>
          <w:p>
            <w:pPr>
              <w:pStyle w:val="13"/>
            </w:pPr>
            <w:r>
              <w:t>机关事业单位基本养老保险缴费</w:t>
            </w:r>
          </w:p>
        </w:tc>
        <w:tc>
          <w:tcPr>
            <w:tcW w:w="1643" w:type="dxa"/>
            <w:vAlign w:val="center"/>
          </w:tcPr>
          <w:p>
            <w:pPr>
              <w:pStyle w:val="12"/>
            </w:pPr>
            <w:r>
              <w:t>314.65</w:t>
            </w:r>
          </w:p>
        </w:tc>
        <w:tc>
          <w:tcPr>
            <w:tcW w:w="2222" w:type="dxa"/>
            <w:vAlign w:val="center"/>
          </w:tcPr>
          <w:p>
            <w:pPr>
              <w:pStyle w:val="12"/>
            </w:pPr>
            <w:r>
              <w:t>314.65</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8</w:t>
            </w:r>
          </w:p>
        </w:tc>
        <w:tc>
          <w:tcPr>
            <w:tcW w:w="2033" w:type="dxa"/>
            <w:vAlign w:val="center"/>
          </w:tcPr>
          <w:p>
            <w:pPr>
              <w:pStyle w:val="13"/>
            </w:pPr>
            <w:r>
              <w:t>30109</w:t>
            </w:r>
          </w:p>
        </w:tc>
        <w:tc>
          <w:tcPr>
            <w:tcW w:w="1926" w:type="dxa"/>
            <w:vAlign w:val="center"/>
          </w:tcPr>
          <w:p>
            <w:pPr>
              <w:pStyle w:val="13"/>
            </w:pPr>
            <w:r>
              <w:t>职业年金缴费</w:t>
            </w:r>
          </w:p>
        </w:tc>
        <w:tc>
          <w:tcPr>
            <w:tcW w:w="1643" w:type="dxa"/>
            <w:vAlign w:val="center"/>
          </w:tcPr>
          <w:p>
            <w:pPr>
              <w:pStyle w:val="12"/>
            </w:pPr>
            <w:r>
              <w:t>157.83</w:t>
            </w:r>
          </w:p>
        </w:tc>
        <w:tc>
          <w:tcPr>
            <w:tcW w:w="2222" w:type="dxa"/>
            <w:vAlign w:val="center"/>
          </w:tcPr>
          <w:p>
            <w:pPr>
              <w:pStyle w:val="12"/>
            </w:pPr>
            <w:r>
              <w:t>157.83</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9</w:t>
            </w:r>
          </w:p>
        </w:tc>
        <w:tc>
          <w:tcPr>
            <w:tcW w:w="2033" w:type="dxa"/>
            <w:vAlign w:val="center"/>
          </w:tcPr>
          <w:p>
            <w:pPr>
              <w:pStyle w:val="13"/>
            </w:pPr>
            <w:r>
              <w:t>30110</w:t>
            </w:r>
          </w:p>
        </w:tc>
        <w:tc>
          <w:tcPr>
            <w:tcW w:w="1926" w:type="dxa"/>
            <w:vAlign w:val="center"/>
          </w:tcPr>
          <w:p>
            <w:pPr>
              <w:pStyle w:val="13"/>
            </w:pPr>
            <w:r>
              <w:t>职工基本医疗保险缴费</w:t>
            </w:r>
          </w:p>
        </w:tc>
        <w:tc>
          <w:tcPr>
            <w:tcW w:w="1643" w:type="dxa"/>
            <w:vAlign w:val="center"/>
          </w:tcPr>
          <w:p>
            <w:pPr>
              <w:pStyle w:val="12"/>
            </w:pPr>
            <w:r>
              <w:t>282.77</w:t>
            </w:r>
          </w:p>
        </w:tc>
        <w:tc>
          <w:tcPr>
            <w:tcW w:w="2222" w:type="dxa"/>
            <w:vAlign w:val="center"/>
          </w:tcPr>
          <w:p>
            <w:pPr>
              <w:pStyle w:val="12"/>
            </w:pPr>
            <w:r>
              <w:t>282.77</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10</w:t>
            </w:r>
          </w:p>
        </w:tc>
        <w:tc>
          <w:tcPr>
            <w:tcW w:w="2033" w:type="dxa"/>
            <w:vAlign w:val="center"/>
          </w:tcPr>
          <w:p>
            <w:pPr>
              <w:pStyle w:val="13"/>
            </w:pPr>
            <w:r>
              <w:t>30112</w:t>
            </w:r>
          </w:p>
        </w:tc>
        <w:tc>
          <w:tcPr>
            <w:tcW w:w="1926" w:type="dxa"/>
            <w:vAlign w:val="center"/>
          </w:tcPr>
          <w:p>
            <w:pPr>
              <w:pStyle w:val="13"/>
            </w:pPr>
            <w:r>
              <w:t>其他社会保障缴费</w:t>
            </w:r>
          </w:p>
        </w:tc>
        <w:tc>
          <w:tcPr>
            <w:tcW w:w="1643" w:type="dxa"/>
            <w:vAlign w:val="center"/>
          </w:tcPr>
          <w:p>
            <w:pPr>
              <w:pStyle w:val="12"/>
            </w:pPr>
            <w:r>
              <w:t>22.78</w:t>
            </w:r>
          </w:p>
        </w:tc>
        <w:tc>
          <w:tcPr>
            <w:tcW w:w="2222" w:type="dxa"/>
            <w:vAlign w:val="center"/>
          </w:tcPr>
          <w:p>
            <w:pPr>
              <w:pStyle w:val="12"/>
            </w:pPr>
            <w:r>
              <w:t>22.78</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11</w:t>
            </w:r>
          </w:p>
        </w:tc>
        <w:tc>
          <w:tcPr>
            <w:tcW w:w="2033" w:type="dxa"/>
            <w:vAlign w:val="center"/>
          </w:tcPr>
          <w:p>
            <w:pPr>
              <w:pStyle w:val="13"/>
            </w:pPr>
            <w:r>
              <w:t>30113</w:t>
            </w:r>
          </w:p>
        </w:tc>
        <w:tc>
          <w:tcPr>
            <w:tcW w:w="1926" w:type="dxa"/>
            <w:vAlign w:val="center"/>
          </w:tcPr>
          <w:p>
            <w:pPr>
              <w:pStyle w:val="13"/>
            </w:pPr>
            <w:r>
              <w:t>住房公积金</w:t>
            </w:r>
          </w:p>
        </w:tc>
        <w:tc>
          <w:tcPr>
            <w:tcW w:w="1643" w:type="dxa"/>
            <w:vAlign w:val="center"/>
          </w:tcPr>
          <w:p>
            <w:pPr>
              <w:pStyle w:val="12"/>
            </w:pPr>
            <w:r>
              <w:t>240.55</w:t>
            </w:r>
          </w:p>
        </w:tc>
        <w:tc>
          <w:tcPr>
            <w:tcW w:w="2222" w:type="dxa"/>
            <w:vAlign w:val="center"/>
          </w:tcPr>
          <w:p>
            <w:pPr>
              <w:pStyle w:val="12"/>
            </w:pPr>
            <w:r>
              <w:t>240.55</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12</w:t>
            </w:r>
          </w:p>
        </w:tc>
        <w:tc>
          <w:tcPr>
            <w:tcW w:w="2033" w:type="dxa"/>
            <w:vAlign w:val="center"/>
          </w:tcPr>
          <w:p>
            <w:pPr>
              <w:pStyle w:val="13"/>
            </w:pPr>
            <w:r>
              <w:t>30199</w:t>
            </w:r>
          </w:p>
        </w:tc>
        <w:tc>
          <w:tcPr>
            <w:tcW w:w="1926" w:type="dxa"/>
            <w:vAlign w:val="center"/>
          </w:tcPr>
          <w:p>
            <w:pPr>
              <w:pStyle w:val="13"/>
            </w:pPr>
            <w:r>
              <w:t>其他工资福利支出</w:t>
            </w:r>
          </w:p>
        </w:tc>
        <w:tc>
          <w:tcPr>
            <w:tcW w:w="1643" w:type="dxa"/>
            <w:vAlign w:val="center"/>
          </w:tcPr>
          <w:p>
            <w:pPr>
              <w:pStyle w:val="12"/>
            </w:pPr>
            <w:r>
              <w:t>161.52</w:t>
            </w:r>
          </w:p>
        </w:tc>
        <w:tc>
          <w:tcPr>
            <w:tcW w:w="2222" w:type="dxa"/>
            <w:vAlign w:val="center"/>
          </w:tcPr>
          <w:p>
            <w:pPr>
              <w:pStyle w:val="12"/>
            </w:pPr>
            <w:r>
              <w:t>161.52</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13</w:t>
            </w:r>
          </w:p>
        </w:tc>
        <w:tc>
          <w:tcPr>
            <w:tcW w:w="2033" w:type="dxa"/>
            <w:vAlign w:val="center"/>
          </w:tcPr>
          <w:p>
            <w:pPr>
              <w:pStyle w:val="13"/>
            </w:pPr>
            <w:r>
              <w:t>303</w:t>
            </w:r>
          </w:p>
        </w:tc>
        <w:tc>
          <w:tcPr>
            <w:tcW w:w="1926" w:type="dxa"/>
            <w:vAlign w:val="center"/>
          </w:tcPr>
          <w:p>
            <w:pPr>
              <w:pStyle w:val="13"/>
            </w:pPr>
            <w:r>
              <w:t>对个人和家庭的补助</w:t>
            </w:r>
          </w:p>
        </w:tc>
        <w:tc>
          <w:tcPr>
            <w:tcW w:w="1643" w:type="dxa"/>
            <w:vAlign w:val="center"/>
          </w:tcPr>
          <w:p>
            <w:pPr>
              <w:pStyle w:val="12"/>
            </w:pPr>
            <w:r>
              <w:t>1639.61</w:t>
            </w:r>
          </w:p>
        </w:tc>
        <w:tc>
          <w:tcPr>
            <w:tcW w:w="2222" w:type="dxa"/>
            <w:vAlign w:val="center"/>
          </w:tcPr>
          <w:p>
            <w:pPr>
              <w:pStyle w:val="12"/>
            </w:pPr>
            <w:r>
              <w:t>1639.61</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14</w:t>
            </w:r>
          </w:p>
        </w:tc>
        <w:tc>
          <w:tcPr>
            <w:tcW w:w="2033" w:type="dxa"/>
            <w:vAlign w:val="center"/>
          </w:tcPr>
          <w:p>
            <w:pPr>
              <w:pStyle w:val="13"/>
            </w:pPr>
            <w:r>
              <w:t>30301</w:t>
            </w:r>
          </w:p>
        </w:tc>
        <w:tc>
          <w:tcPr>
            <w:tcW w:w="1926" w:type="dxa"/>
            <w:vAlign w:val="center"/>
          </w:tcPr>
          <w:p>
            <w:pPr>
              <w:pStyle w:val="13"/>
            </w:pPr>
            <w:r>
              <w:t>离休费</w:t>
            </w:r>
          </w:p>
        </w:tc>
        <w:tc>
          <w:tcPr>
            <w:tcW w:w="1643" w:type="dxa"/>
            <w:vAlign w:val="center"/>
          </w:tcPr>
          <w:p>
            <w:pPr>
              <w:pStyle w:val="12"/>
            </w:pPr>
            <w:r>
              <w:t>4.12</w:t>
            </w:r>
          </w:p>
        </w:tc>
        <w:tc>
          <w:tcPr>
            <w:tcW w:w="2222" w:type="dxa"/>
            <w:vAlign w:val="center"/>
          </w:tcPr>
          <w:p>
            <w:pPr>
              <w:pStyle w:val="12"/>
            </w:pPr>
            <w:r>
              <w:t>4.12</w:t>
            </w:r>
          </w:p>
        </w:tc>
        <w:tc>
          <w:tcPr>
            <w:tcW w:w="298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38" w:type="dxa"/>
            <w:vAlign w:val="center"/>
          </w:tcPr>
          <w:p>
            <w:pPr>
              <w:pStyle w:val="14"/>
            </w:pPr>
            <w:r>
              <w:t>15</w:t>
            </w:r>
          </w:p>
        </w:tc>
        <w:tc>
          <w:tcPr>
            <w:tcW w:w="2033" w:type="dxa"/>
            <w:vAlign w:val="center"/>
          </w:tcPr>
          <w:p>
            <w:pPr>
              <w:pStyle w:val="13"/>
            </w:pPr>
            <w:r>
              <w:t>30302</w:t>
            </w:r>
          </w:p>
        </w:tc>
        <w:tc>
          <w:tcPr>
            <w:tcW w:w="1926" w:type="dxa"/>
            <w:vAlign w:val="center"/>
          </w:tcPr>
          <w:p>
            <w:pPr>
              <w:pStyle w:val="13"/>
            </w:pPr>
            <w:r>
              <w:t>退休费</w:t>
            </w:r>
          </w:p>
        </w:tc>
        <w:tc>
          <w:tcPr>
            <w:tcW w:w="1643" w:type="dxa"/>
            <w:vAlign w:val="center"/>
          </w:tcPr>
          <w:p>
            <w:pPr>
              <w:pStyle w:val="12"/>
            </w:pPr>
            <w:r>
              <w:t>1635.49</w:t>
            </w:r>
          </w:p>
        </w:tc>
        <w:tc>
          <w:tcPr>
            <w:tcW w:w="2222" w:type="dxa"/>
            <w:vAlign w:val="center"/>
          </w:tcPr>
          <w:p>
            <w:pPr>
              <w:pStyle w:val="12"/>
            </w:pPr>
            <w:r>
              <w:t>1635.49</w:t>
            </w:r>
          </w:p>
        </w:tc>
        <w:tc>
          <w:tcPr>
            <w:tcW w:w="298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8"/>
        <w:gridCol w:w="1380"/>
        <w:gridCol w:w="2857"/>
        <w:gridCol w:w="1973"/>
        <w:gridCol w:w="1875"/>
        <w:gridCol w:w="24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85"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1973" w:type="dxa"/>
            <w:tcBorders>
              <w:top w:val="single" w:color="FFFFFF" w:sz="6" w:space="0"/>
              <w:left w:val="single" w:color="FFFFFF" w:sz="6" w:space="0"/>
              <w:right w:val="single" w:color="FFFFFF" w:sz="6" w:space="0"/>
            </w:tcBorders>
            <w:vAlign w:val="center"/>
          </w:tcPr>
          <w:p>
            <w:pPr>
              <w:pStyle w:val="9"/>
            </w:pPr>
            <w:r>
              <w:t>预算年度：2024</w:t>
            </w:r>
          </w:p>
        </w:tc>
        <w:tc>
          <w:tcPr>
            <w:tcW w:w="4297"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Merge w:val="restart"/>
            <w:vAlign w:val="center"/>
          </w:tcPr>
          <w:p>
            <w:pPr>
              <w:pStyle w:val="11"/>
            </w:pPr>
            <w:r>
              <w:t>序号</w:t>
            </w:r>
          </w:p>
        </w:tc>
        <w:tc>
          <w:tcPr>
            <w:tcW w:w="4237" w:type="dxa"/>
            <w:gridSpan w:val="2"/>
            <w:vAlign w:val="center"/>
          </w:tcPr>
          <w:p>
            <w:pPr>
              <w:pStyle w:val="11"/>
            </w:pPr>
            <w:r>
              <w:t>功能分类科目</w:t>
            </w:r>
          </w:p>
        </w:tc>
        <w:tc>
          <w:tcPr>
            <w:tcW w:w="1973" w:type="dxa"/>
            <w:vMerge w:val="restart"/>
            <w:vAlign w:val="center"/>
          </w:tcPr>
          <w:p>
            <w:pPr>
              <w:pStyle w:val="11"/>
            </w:pPr>
            <w:r>
              <w:t>合计</w:t>
            </w:r>
          </w:p>
        </w:tc>
        <w:tc>
          <w:tcPr>
            <w:tcW w:w="1875" w:type="dxa"/>
            <w:vMerge w:val="restart"/>
            <w:vAlign w:val="center"/>
          </w:tcPr>
          <w:p>
            <w:pPr>
              <w:pStyle w:val="11"/>
            </w:pPr>
            <w:r>
              <w:t>基本支出</w:t>
            </w:r>
          </w:p>
        </w:tc>
        <w:tc>
          <w:tcPr>
            <w:tcW w:w="2422"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Merge w:val="continue"/>
          </w:tcPr>
          <w:p/>
        </w:tc>
        <w:tc>
          <w:tcPr>
            <w:tcW w:w="1380" w:type="dxa"/>
            <w:vAlign w:val="center"/>
          </w:tcPr>
          <w:p>
            <w:pPr>
              <w:pStyle w:val="11"/>
            </w:pPr>
            <w:r>
              <w:t>科目编码</w:t>
            </w:r>
          </w:p>
        </w:tc>
        <w:tc>
          <w:tcPr>
            <w:tcW w:w="2857" w:type="dxa"/>
            <w:vAlign w:val="center"/>
          </w:tcPr>
          <w:p>
            <w:pPr>
              <w:pStyle w:val="11"/>
            </w:pPr>
            <w:r>
              <w:t>科目名称</w:t>
            </w:r>
          </w:p>
        </w:tc>
        <w:tc>
          <w:tcPr>
            <w:tcW w:w="1973" w:type="dxa"/>
            <w:vMerge w:val="continue"/>
          </w:tcPr>
          <w:p/>
        </w:tc>
        <w:tc>
          <w:tcPr>
            <w:tcW w:w="1875" w:type="dxa"/>
            <w:vMerge w:val="continue"/>
          </w:tcPr>
          <w:p/>
        </w:tc>
        <w:tc>
          <w:tcPr>
            <w:tcW w:w="24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48" w:type="dxa"/>
            <w:vAlign w:val="center"/>
          </w:tcPr>
          <w:p>
            <w:pPr>
              <w:pStyle w:val="11"/>
            </w:pPr>
            <w:r>
              <w:t>栏次</w:t>
            </w:r>
          </w:p>
        </w:tc>
        <w:tc>
          <w:tcPr>
            <w:tcW w:w="1380" w:type="dxa"/>
            <w:vAlign w:val="center"/>
          </w:tcPr>
          <w:p>
            <w:pPr>
              <w:pStyle w:val="11"/>
            </w:pPr>
            <w:r>
              <w:t>1</w:t>
            </w:r>
          </w:p>
        </w:tc>
        <w:tc>
          <w:tcPr>
            <w:tcW w:w="2857" w:type="dxa"/>
            <w:vAlign w:val="center"/>
          </w:tcPr>
          <w:p>
            <w:pPr>
              <w:pStyle w:val="11"/>
            </w:pPr>
            <w:r>
              <w:t>2</w:t>
            </w:r>
          </w:p>
        </w:tc>
        <w:tc>
          <w:tcPr>
            <w:tcW w:w="1973" w:type="dxa"/>
            <w:vAlign w:val="center"/>
          </w:tcPr>
          <w:p>
            <w:pPr>
              <w:pStyle w:val="11"/>
            </w:pPr>
            <w:r>
              <w:t>3</w:t>
            </w:r>
          </w:p>
        </w:tc>
        <w:tc>
          <w:tcPr>
            <w:tcW w:w="1875" w:type="dxa"/>
            <w:vAlign w:val="center"/>
          </w:tcPr>
          <w:p>
            <w:pPr>
              <w:pStyle w:val="11"/>
            </w:pPr>
            <w:r>
              <w:t>4</w:t>
            </w:r>
          </w:p>
        </w:tc>
        <w:tc>
          <w:tcPr>
            <w:tcW w:w="242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1</w:t>
            </w:r>
          </w:p>
        </w:tc>
        <w:tc>
          <w:tcPr>
            <w:tcW w:w="1380" w:type="dxa"/>
            <w:vAlign w:val="center"/>
          </w:tcPr>
          <w:p>
            <w:pPr>
              <w:pStyle w:val="17"/>
            </w:pPr>
          </w:p>
        </w:tc>
        <w:tc>
          <w:tcPr>
            <w:tcW w:w="2857" w:type="dxa"/>
            <w:vAlign w:val="center"/>
          </w:tcPr>
          <w:p>
            <w:pPr>
              <w:pStyle w:val="15"/>
            </w:pPr>
            <w:r>
              <w:t>合计</w:t>
            </w:r>
          </w:p>
        </w:tc>
        <w:tc>
          <w:tcPr>
            <w:tcW w:w="1973" w:type="dxa"/>
            <w:vAlign w:val="center"/>
          </w:tcPr>
          <w:p>
            <w:pPr>
              <w:pStyle w:val="16"/>
            </w:pPr>
            <w:r>
              <w:t>136.81</w:t>
            </w:r>
          </w:p>
        </w:tc>
        <w:tc>
          <w:tcPr>
            <w:tcW w:w="1875" w:type="dxa"/>
            <w:vAlign w:val="center"/>
          </w:tcPr>
          <w:p>
            <w:pPr>
              <w:pStyle w:val="16"/>
            </w:pPr>
          </w:p>
        </w:tc>
        <w:tc>
          <w:tcPr>
            <w:tcW w:w="2422" w:type="dxa"/>
            <w:vAlign w:val="center"/>
          </w:tcPr>
          <w:p>
            <w:pPr>
              <w:pStyle w:val="16"/>
            </w:pPr>
            <w:r>
              <w:t>136.81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2</w:t>
            </w:r>
          </w:p>
        </w:tc>
        <w:tc>
          <w:tcPr>
            <w:tcW w:w="1380" w:type="dxa"/>
            <w:vAlign w:val="center"/>
          </w:tcPr>
          <w:p>
            <w:pPr>
              <w:pStyle w:val="13"/>
            </w:pPr>
            <w:r>
              <w:t>232</w:t>
            </w:r>
          </w:p>
        </w:tc>
        <w:tc>
          <w:tcPr>
            <w:tcW w:w="2857" w:type="dxa"/>
            <w:vAlign w:val="center"/>
          </w:tcPr>
          <w:p>
            <w:pPr>
              <w:pStyle w:val="13"/>
            </w:pPr>
            <w:r>
              <w:t>债务付息支出</w:t>
            </w:r>
          </w:p>
        </w:tc>
        <w:tc>
          <w:tcPr>
            <w:tcW w:w="1973" w:type="dxa"/>
            <w:vAlign w:val="center"/>
          </w:tcPr>
          <w:p>
            <w:pPr>
              <w:pStyle w:val="12"/>
            </w:pPr>
            <w:r>
              <w:t>136.80</w:t>
            </w:r>
          </w:p>
        </w:tc>
        <w:tc>
          <w:tcPr>
            <w:tcW w:w="1875" w:type="dxa"/>
            <w:vAlign w:val="center"/>
          </w:tcPr>
          <w:p>
            <w:pPr>
              <w:pStyle w:val="12"/>
            </w:pPr>
          </w:p>
        </w:tc>
        <w:tc>
          <w:tcPr>
            <w:tcW w:w="2422"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3</w:t>
            </w:r>
          </w:p>
        </w:tc>
        <w:tc>
          <w:tcPr>
            <w:tcW w:w="1380" w:type="dxa"/>
            <w:vAlign w:val="center"/>
          </w:tcPr>
          <w:p>
            <w:pPr>
              <w:pStyle w:val="13"/>
            </w:pPr>
            <w:r>
              <w:t>23204</w:t>
            </w:r>
          </w:p>
        </w:tc>
        <w:tc>
          <w:tcPr>
            <w:tcW w:w="2857" w:type="dxa"/>
            <w:vAlign w:val="center"/>
          </w:tcPr>
          <w:p>
            <w:pPr>
              <w:pStyle w:val="13"/>
            </w:pPr>
            <w:r>
              <w:t>地方政府专项债务付息支出</w:t>
            </w:r>
          </w:p>
        </w:tc>
        <w:tc>
          <w:tcPr>
            <w:tcW w:w="1973" w:type="dxa"/>
            <w:vAlign w:val="center"/>
          </w:tcPr>
          <w:p>
            <w:pPr>
              <w:pStyle w:val="12"/>
            </w:pPr>
            <w:r>
              <w:t>136.80</w:t>
            </w:r>
          </w:p>
        </w:tc>
        <w:tc>
          <w:tcPr>
            <w:tcW w:w="1875" w:type="dxa"/>
            <w:vAlign w:val="center"/>
          </w:tcPr>
          <w:p>
            <w:pPr>
              <w:pStyle w:val="12"/>
            </w:pPr>
          </w:p>
        </w:tc>
        <w:tc>
          <w:tcPr>
            <w:tcW w:w="2422"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4</w:t>
            </w:r>
          </w:p>
        </w:tc>
        <w:tc>
          <w:tcPr>
            <w:tcW w:w="1380" w:type="dxa"/>
            <w:vAlign w:val="center"/>
          </w:tcPr>
          <w:p>
            <w:pPr>
              <w:pStyle w:val="13"/>
            </w:pPr>
            <w:r>
              <w:t>2320498</w:t>
            </w:r>
          </w:p>
        </w:tc>
        <w:tc>
          <w:tcPr>
            <w:tcW w:w="2857" w:type="dxa"/>
            <w:vAlign w:val="center"/>
          </w:tcPr>
          <w:p>
            <w:pPr>
              <w:pStyle w:val="13"/>
            </w:pPr>
            <w:r>
              <w:t>其他地方自行试点项目收益专项债券付息支出</w:t>
            </w:r>
          </w:p>
        </w:tc>
        <w:tc>
          <w:tcPr>
            <w:tcW w:w="1973" w:type="dxa"/>
            <w:vAlign w:val="center"/>
          </w:tcPr>
          <w:p>
            <w:pPr>
              <w:pStyle w:val="12"/>
            </w:pPr>
            <w:r>
              <w:t>136.80</w:t>
            </w:r>
          </w:p>
        </w:tc>
        <w:tc>
          <w:tcPr>
            <w:tcW w:w="1875" w:type="dxa"/>
            <w:vAlign w:val="center"/>
          </w:tcPr>
          <w:p>
            <w:pPr>
              <w:pStyle w:val="12"/>
            </w:pPr>
          </w:p>
        </w:tc>
        <w:tc>
          <w:tcPr>
            <w:tcW w:w="2422" w:type="dxa"/>
            <w:vAlign w:val="center"/>
          </w:tcPr>
          <w:p>
            <w:pPr>
              <w:pStyle w:val="12"/>
            </w:pPr>
            <w:r>
              <w:t>136.80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5</w:t>
            </w:r>
          </w:p>
        </w:tc>
        <w:tc>
          <w:tcPr>
            <w:tcW w:w="1380" w:type="dxa"/>
            <w:vAlign w:val="center"/>
          </w:tcPr>
          <w:p>
            <w:pPr>
              <w:pStyle w:val="13"/>
            </w:pPr>
            <w:r>
              <w:t>233</w:t>
            </w:r>
          </w:p>
        </w:tc>
        <w:tc>
          <w:tcPr>
            <w:tcW w:w="2857" w:type="dxa"/>
            <w:vAlign w:val="center"/>
          </w:tcPr>
          <w:p>
            <w:pPr>
              <w:pStyle w:val="13"/>
            </w:pPr>
            <w:r>
              <w:t>债务发行费用支出</w:t>
            </w:r>
          </w:p>
        </w:tc>
        <w:tc>
          <w:tcPr>
            <w:tcW w:w="1973" w:type="dxa"/>
            <w:vAlign w:val="center"/>
          </w:tcPr>
          <w:p>
            <w:pPr>
              <w:pStyle w:val="12"/>
            </w:pPr>
            <w:r>
              <w:t>0.01</w:t>
            </w:r>
          </w:p>
        </w:tc>
        <w:tc>
          <w:tcPr>
            <w:tcW w:w="1875" w:type="dxa"/>
            <w:vAlign w:val="center"/>
          </w:tcPr>
          <w:p>
            <w:pPr>
              <w:pStyle w:val="12"/>
            </w:pPr>
          </w:p>
        </w:tc>
        <w:tc>
          <w:tcPr>
            <w:tcW w:w="2422"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6</w:t>
            </w:r>
          </w:p>
        </w:tc>
        <w:tc>
          <w:tcPr>
            <w:tcW w:w="1380" w:type="dxa"/>
            <w:vAlign w:val="center"/>
          </w:tcPr>
          <w:p>
            <w:pPr>
              <w:pStyle w:val="13"/>
            </w:pPr>
            <w:r>
              <w:t>23304</w:t>
            </w:r>
          </w:p>
        </w:tc>
        <w:tc>
          <w:tcPr>
            <w:tcW w:w="2857" w:type="dxa"/>
            <w:vAlign w:val="center"/>
          </w:tcPr>
          <w:p>
            <w:pPr>
              <w:pStyle w:val="13"/>
            </w:pPr>
            <w:r>
              <w:t>地方政府专项债务发行费用支出</w:t>
            </w:r>
          </w:p>
        </w:tc>
        <w:tc>
          <w:tcPr>
            <w:tcW w:w="1973" w:type="dxa"/>
            <w:vAlign w:val="center"/>
          </w:tcPr>
          <w:p>
            <w:pPr>
              <w:pStyle w:val="12"/>
            </w:pPr>
            <w:r>
              <w:t>0.01</w:t>
            </w:r>
          </w:p>
        </w:tc>
        <w:tc>
          <w:tcPr>
            <w:tcW w:w="1875" w:type="dxa"/>
            <w:vAlign w:val="center"/>
          </w:tcPr>
          <w:p>
            <w:pPr>
              <w:pStyle w:val="12"/>
            </w:pPr>
          </w:p>
        </w:tc>
        <w:tc>
          <w:tcPr>
            <w:tcW w:w="2422" w:type="dxa"/>
            <w:vAlign w:val="center"/>
          </w:tcPr>
          <w:p>
            <w:pPr>
              <w:pStyle w:val="12"/>
            </w:pPr>
            <w:r>
              <w:t>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48" w:type="dxa"/>
            <w:vAlign w:val="center"/>
          </w:tcPr>
          <w:p>
            <w:pPr>
              <w:pStyle w:val="14"/>
            </w:pPr>
            <w:r>
              <w:t>7</w:t>
            </w:r>
          </w:p>
        </w:tc>
        <w:tc>
          <w:tcPr>
            <w:tcW w:w="1380" w:type="dxa"/>
            <w:vAlign w:val="center"/>
          </w:tcPr>
          <w:p>
            <w:pPr>
              <w:pStyle w:val="13"/>
            </w:pPr>
            <w:r>
              <w:t>2330498</w:t>
            </w:r>
          </w:p>
        </w:tc>
        <w:tc>
          <w:tcPr>
            <w:tcW w:w="2857" w:type="dxa"/>
            <w:vAlign w:val="center"/>
          </w:tcPr>
          <w:p>
            <w:pPr>
              <w:pStyle w:val="13"/>
            </w:pPr>
            <w:r>
              <w:t>其他地方自行试点项目收益专项债券发行费用支出</w:t>
            </w:r>
          </w:p>
        </w:tc>
        <w:tc>
          <w:tcPr>
            <w:tcW w:w="1973" w:type="dxa"/>
            <w:vAlign w:val="center"/>
          </w:tcPr>
          <w:p>
            <w:pPr>
              <w:pStyle w:val="12"/>
            </w:pPr>
            <w:r>
              <w:t>0.01</w:t>
            </w:r>
          </w:p>
        </w:tc>
        <w:tc>
          <w:tcPr>
            <w:tcW w:w="1875" w:type="dxa"/>
            <w:vAlign w:val="center"/>
          </w:tcPr>
          <w:p>
            <w:pPr>
              <w:pStyle w:val="12"/>
            </w:pPr>
          </w:p>
        </w:tc>
        <w:tc>
          <w:tcPr>
            <w:tcW w:w="2422" w:type="dxa"/>
            <w:vAlign w:val="center"/>
          </w:tcPr>
          <w:p>
            <w:pPr>
              <w:pStyle w:val="12"/>
            </w:pPr>
            <w:r>
              <w:t>0.01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10"/>
        <w:gridCol w:w="1643"/>
        <w:gridCol w:w="1643"/>
        <w:gridCol w:w="1643"/>
        <w:gridCol w:w="1643"/>
        <w:gridCol w:w="35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96"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521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10"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3569"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10"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35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110"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3569"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110"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3569" w:type="dxa"/>
            <w:vAlign w:val="center"/>
          </w:tcPr>
          <w:p>
            <w:pPr>
              <w:pStyle w:val="12"/>
            </w:pPr>
          </w:p>
        </w:tc>
      </w:tr>
    </w:tbl>
    <w:p>
      <w:pPr>
        <w:spacing w:before="0" w:after="0" w:line="240" w:lineRule="auto"/>
        <w:ind w:firstLine="787" w:firstLineChars="3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787"/>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3" w:type="dxa"/>
            <w:gridSpan w:val="3"/>
            <w:tcBorders>
              <w:top w:val="single" w:color="FFFFFF" w:sz="6" w:space="0"/>
              <w:left w:val="single" w:color="FFFFFF" w:sz="6" w:space="0"/>
              <w:right w:val="single" w:color="FFFFFF" w:sz="6" w:space="0"/>
            </w:tcBorders>
            <w:vAlign w:val="center"/>
          </w:tcPr>
          <w:p>
            <w:pPr>
              <w:pStyle w:val="10"/>
            </w:pPr>
            <w:r>
              <w:t>359石家庄广播电视台</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7"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87"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787"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787"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787" w:firstLineChars="3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石家庄广播电视台2024年部门预算信息公开情况说明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石家庄广播电视台2024年部门预算信息公开情况说明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按照《中华人民共和国预算法》、《地方预决算公开操作规程》和《关于进一步推进预算公开工作的实施意见》规定，现将石家庄广播电视台2024年部门预算公开如下：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ind w:left="0" w:leftChars="0" w:firstLine="643" w:firstLineChars="2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ind w:left="0" w:leftChars="0" w:firstLine="560" w:firstLineChars="200"/>
        <w:rPr>
          <w:rFonts w:hint="eastAsia" w:eastAsia="方正仿宋_GBK"/>
          <w:lang w:val="en-US" w:eastAsia="zh-CN"/>
        </w:rPr>
      </w:pPr>
      <w:r>
        <w:rPr>
          <w:rFonts w:hint="eastAsia"/>
          <w:lang w:val="en-US" w:eastAsia="zh-CN"/>
        </w:rPr>
        <w:t>石家庄广播电视台部门职责</w:t>
      </w:r>
    </w:p>
    <w:p>
      <w:pPr>
        <w:pStyle w:val="26"/>
        <w:keepNext w:val="0"/>
        <w:keepLines w:val="0"/>
        <w:pageBreakBefore w:val="0"/>
        <w:widowControl/>
        <w:kinsoku/>
        <w:wordWrap/>
        <w:overflowPunct/>
        <w:topLinePunct w:val="0"/>
        <w:autoSpaceDE/>
        <w:autoSpaceDN/>
        <w:bidi w:val="0"/>
        <w:adjustRightInd/>
        <w:snapToGrid/>
        <w:spacing w:line="500" w:lineRule="exact"/>
        <w:textAlignment w:val="auto"/>
      </w:pPr>
      <w:r>
        <w:t>石家庄广播电视台为市委直属正县级事业单位，实行事业体制。主要职责是：宣传党的路线方针政策，牢牢把握正确舆论导向，大力发展广播电视事业，促进社会经济文化发展。</w:t>
      </w:r>
    </w:p>
    <w:p>
      <w:pPr>
        <w:keepNext w:val="0"/>
        <w:keepLines w:val="0"/>
        <w:pageBreakBefore w:val="0"/>
        <w:widowControl/>
        <w:kinsoku/>
        <w:wordWrap/>
        <w:overflowPunct/>
        <w:topLinePunct w:val="0"/>
        <w:autoSpaceDE/>
        <w:autoSpaceDN/>
        <w:bidi w:val="0"/>
        <w:adjustRightInd/>
        <w:snapToGrid/>
        <w:spacing w:before="0" w:after="0" w:line="500" w:lineRule="exact"/>
        <w:ind w:firstLine="640"/>
        <w:jc w:val="left"/>
        <w:textAlignment w:val="auto"/>
        <w:outlineLvl w:val="9"/>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石家庄广播电视台作为石家庄广电传媒集团有限公司的出资人，牢牢把握对公司重大事项的决策权、对资产配置的控制权、对宣传内容的审定权、对主要领导干部的任免权，确保广电国有资产保值增值。</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石家庄广播电视台本级</w:t>
            </w:r>
          </w:p>
        </w:tc>
        <w:tc>
          <w:tcPr>
            <w:tcW w:w="1843" w:type="dxa"/>
            <w:vAlign w:val="center"/>
          </w:tcPr>
          <w:p>
            <w:pPr>
              <w:pStyle w:val="14"/>
            </w:pPr>
            <w:r>
              <w:t>事业</w:t>
            </w:r>
          </w:p>
        </w:tc>
        <w:tc>
          <w:tcPr>
            <w:tcW w:w="2126" w:type="dxa"/>
            <w:vAlign w:val="center"/>
          </w:tcPr>
          <w:p>
            <w:pPr>
              <w:pStyle w:val="14"/>
            </w:pPr>
            <w:r>
              <w:t>正处（县）级</w:t>
            </w:r>
          </w:p>
        </w:tc>
        <w:tc>
          <w:tcPr>
            <w:tcW w:w="3827" w:type="dxa"/>
            <w:vAlign w:val="center"/>
          </w:tcPr>
          <w:p>
            <w:pPr>
              <w:pStyle w:val="14"/>
            </w:pPr>
            <w:r>
              <w:rPr>
                <w:color w:val="auto"/>
              </w:rP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按照预算管理有关规定，目前我省部门预算的编制实行综合预算管理，即全部收入和支出都反映在预算中。石家庄广播电视台机关及所属事业单位的收支包含在部门预算中。</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000000" w:themeColor="text1"/>
          <w:sz w:val="28"/>
          <w:szCs w:val="28"/>
          <w:highlight w:val="none"/>
          <w:lang w:val="en-US" w:eastAsia="zh-CN"/>
        </w:rPr>
      </w:pPr>
      <w:r>
        <w:rPr>
          <w:rFonts w:hint="eastAsia" w:asciiTheme="minorEastAsia" w:hAnsiTheme="minorEastAsia" w:eastAsiaTheme="minorEastAsia" w:cstheme="minorEastAsia"/>
          <w:color w:val="000000" w:themeColor="text1"/>
          <w:sz w:val="28"/>
          <w:szCs w:val="28"/>
          <w:highlight w:val="none"/>
          <w:lang w:val="en-US" w:eastAsia="zh-CN"/>
        </w:rPr>
        <w:t>1、收入说明</w:t>
      </w:r>
    </w:p>
    <w:p>
      <w:pPr>
        <w:keepNext w:val="0"/>
        <w:keepLines w:val="0"/>
        <w:pageBreakBefore w:val="0"/>
        <w:widowControl/>
        <w:kinsoku/>
        <w:wordWrap/>
        <w:overflowPunct/>
        <w:topLinePunct w:val="0"/>
        <w:autoSpaceDE/>
        <w:autoSpaceDN/>
        <w:bidi w:val="0"/>
        <w:adjustRightInd/>
        <w:snapToGrid/>
        <w:spacing w:before="0" w:beforeLines="50" w:line="480" w:lineRule="exact"/>
        <w:ind w:firstLine="641"/>
        <w:textAlignment w:val="auto"/>
        <w:rPr>
          <w:rFonts w:hint="eastAsia" w:asciiTheme="minorEastAsia" w:hAnsiTheme="minorEastAsia" w:eastAsiaTheme="minorEastAsia" w:cstheme="minorEastAsia"/>
          <w:color w:val="000000" w:themeColor="text1"/>
          <w:sz w:val="28"/>
          <w:szCs w:val="28"/>
          <w:highlight w:val="none"/>
        </w:rPr>
      </w:pPr>
      <w:r>
        <w:rPr>
          <w:rFonts w:hint="eastAsia" w:asciiTheme="minorEastAsia" w:hAnsiTheme="minorEastAsia" w:eastAsiaTheme="minorEastAsia" w:cstheme="minorEastAsia"/>
          <w:color w:val="000000" w:themeColor="text1"/>
          <w:sz w:val="28"/>
          <w:szCs w:val="28"/>
          <w:highlight w:val="none"/>
          <w:lang w:val="en-US" w:eastAsia="zh-CN"/>
        </w:rPr>
        <w:t>反映本部门当年财政收入。2024年预算收入8606.99万元，其中：一般公共预算收入8470.18万元，政府性基金预算收入136.81万元，财政专户核拨收入0</w:t>
      </w:r>
      <w:r>
        <w:rPr>
          <w:rFonts w:hint="eastAsia" w:asciiTheme="minorEastAsia" w:hAnsiTheme="minorEastAsia" w:eastAsiaTheme="minorEastAsia" w:cstheme="minorEastAsia"/>
          <w:color w:val="000000" w:themeColor="text1"/>
          <w:sz w:val="28"/>
          <w:szCs w:val="28"/>
          <w:highlight w:val="none"/>
        </w:rPr>
        <w:t>万元，其他来源收入0万元。</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000000" w:themeColor="text1"/>
          <w:sz w:val="28"/>
          <w:szCs w:val="28"/>
          <w:highlight w:val="none"/>
        </w:rPr>
      </w:pPr>
      <w:r>
        <w:rPr>
          <w:rFonts w:hint="eastAsia" w:asciiTheme="minorEastAsia" w:hAnsiTheme="minorEastAsia" w:eastAsiaTheme="minorEastAsia" w:cstheme="minorEastAsia"/>
          <w:color w:val="000000" w:themeColor="text1"/>
          <w:sz w:val="28"/>
          <w:szCs w:val="28"/>
          <w:highlight w:val="none"/>
        </w:rPr>
        <w:t>2、支出说明</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000000" w:themeColor="text1"/>
          <w:sz w:val="28"/>
          <w:szCs w:val="28"/>
          <w:highlight w:val="none"/>
        </w:rPr>
      </w:pPr>
      <w:r>
        <w:rPr>
          <w:rFonts w:hint="eastAsia" w:asciiTheme="minorEastAsia" w:hAnsiTheme="minorEastAsia" w:eastAsiaTheme="minorEastAsia" w:cstheme="minorEastAsia"/>
          <w:color w:val="000000" w:themeColor="text1"/>
          <w:sz w:val="28"/>
          <w:szCs w:val="28"/>
          <w:highlight w:val="none"/>
        </w:rPr>
        <w:t>收支预算总表支出栏、基本支出表、项目支出表按经济分类和支出功能分类科目编制，反映</w:t>
      </w:r>
      <w:r>
        <w:rPr>
          <w:rFonts w:hint="eastAsia" w:asciiTheme="minorEastAsia" w:hAnsiTheme="minorEastAsia" w:eastAsiaTheme="minorEastAsia" w:cstheme="minorEastAsia"/>
          <w:color w:val="000000" w:themeColor="text1"/>
          <w:sz w:val="28"/>
          <w:szCs w:val="28"/>
          <w:highlight w:val="none"/>
          <w:lang w:eastAsia="zh-CN"/>
        </w:rPr>
        <w:t>石家庄广播电视台</w:t>
      </w:r>
      <w:r>
        <w:rPr>
          <w:rFonts w:hint="eastAsia" w:asciiTheme="minorEastAsia" w:hAnsiTheme="minorEastAsia" w:eastAsiaTheme="minorEastAsia" w:cstheme="minorEastAsia"/>
          <w:color w:val="000000" w:themeColor="text1"/>
          <w:sz w:val="28"/>
          <w:szCs w:val="28"/>
          <w:highlight w:val="none"/>
        </w:rPr>
        <w:t>年度部门</w:t>
      </w:r>
      <w:r>
        <w:rPr>
          <w:rFonts w:hint="eastAsia" w:asciiTheme="minorEastAsia" w:hAnsiTheme="minorEastAsia" w:eastAsiaTheme="minorEastAsia" w:cstheme="minorEastAsia"/>
          <w:color w:val="000000" w:themeColor="text1"/>
          <w:sz w:val="28"/>
          <w:szCs w:val="28"/>
          <w:highlight w:val="none"/>
          <w:lang w:eastAsia="zh-CN"/>
        </w:rPr>
        <w:t>财政</w:t>
      </w:r>
      <w:r>
        <w:rPr>
          <w:rFonts w:hint="eastAsia" w:asciiTheme="minorEastAsia" w:hAnsiTheme="minorEastAsia" w:eastAsiaTheme="minorEastAsia" w:cstheme="minorEastAsia"/>
          <w:color w:val="000000" w:themeColor="text1"/>
          <w:sz w:val="28"/>
          <w:szCs w:val="28"/>
          <w:highlight w:val="none"/>
        </w:rPr>
        <w:t>预算中支出预算的总体情况。202</w:t>
      </w:r>
      <w:r>
        <w:rPr>
          <w:rFonts w:hint="eastAsia" w:asciiTheme="minorEastAsia" w:hAnsiTheme="minorEastAsia" w:eastAsiaTheme="minorEastAsia" w:cstheme="minorEastAsia"/>
          <w:color w:val="000000" w:themeColor="text1"/>
          <w:sz w:val="28"/>
          <w:szCs w:val="28"/>
          <w:highlight w:val="none"/>
          <w:lang w:val="en-US" w:eastAsia="zh-CN"/>
        </w:rPr>
        <w:t>4</w:t>
      </w:r>
      <w:r>
        <w:rPr>
          <w:rFonts w:hint="eastAsia" w:asciiTheme="minorEastAsia" w:hAnsiTheme="minorEastAsia" w:eastAsiaTheme="minorEastAsia" w:cstheme="minorEastAsia"/>
          <w:color w:val="000000" w:themeColor="text1"/>
          <w:sz w:val="28"/>
          <w:szCs w:val="28"/>
          <w:highlight w:val="none"/>
        </w:rPr>
        <w:t>年部门</w:t>
      </w:r>
      <w:r>
        <w:rPr>
          <w:rFonts w:hint="eastAsia" w:asciiTheme="minorEastAsia" w:hAnsiTheme="minorEastAsia" w:eastAsiaTheme="minorEastAsia" w:cstheme="minorEastAsia"/>
          <w:color w:val="000000" w:themeColor="text1"/>
          <w:sz w:val="28"/>
          <w:szCs w:val="28"/>
          <w:highlight w:val="none"/>
          <w:lang w:eastAsia="zh-CN"/>
        </w:rPr>
        <w:t>财政</w:t>
      </w:r>
      <w:r>
        <w:rPr>
          <w:rFonts w:hint="eastAsia" w:asciiTheme="minorEastAsia" w:hAnsiTheme="minorEastAsia" w:eastAsiaTheme="minorEastAsia" w:cstheme="minorEastAsia"/>
          <w:color w:val="000000" w:themeColor="text1"/>
          <w:sz w:val="28"/>
          <w:szCs w:val="28"/>
          <w:highlight w:val="none"/>
        </w:rPr>
        <w:t>支出预算为</w:t>
      </w:r>
      <w:r>
        <w:rPr>
          <w:rFonts w:hint="eastAsia" w:asciiTheme="minorEastAsia" w:hAnsiTheme="minorEastAsia" w:eastAsiaTheme="minorEastAsia" w:cstheme="minorEastAsia"/>
          <w:color w:val="000000" w:themeColor="text1"/>
          <w:sz w:val="28"/>
          <w:szCs w:val="28"/>
          <w:highlight w:val="none"/>
          <w:lang w:val="en-US" w:eastAsia="zh-CN"/>
        </w:rPr>
        <w:t>8606.99</w:t>
      </w:r>
      <w:r>
        <w:rPr>
          <w:rFonts w:hint="eastAsia" w:asciiTheme="minorEastAsia" w:hAnsiTheme="minorEastAsia" w:eastAsiaTheme="minorEastAsia" w:cstheme="minorEastAsia"/>
          <w:color w:val="000000" w:themeColor="text1"/>
          <w:sz w:val="28"/>
          <w:szCs w:val="28"/>
          <w:highlight w:val="none"/>
        </w:rPr>
        <w:t>万元，其中基本支出</w:t>
      </w:r>
      <w:r>
        <w:rPr>
          <w:rFonts w:hint="eastAsia" w:asciiTheme="minorEastAsia" w:hAnsiTheme="minorEastAsia" w:eastAsiaTheme="minorEastAsia" w:cstheme="minorEastAsia"/>
          <w:color w:val="000000" w:themeColor="text1"/>
          <w:sz w:val="28"/>
          <w:szCs w:val="28"/>
          <w:highlight w:val="none"/>
          <w:lang w:val="en-US" w:eastAsia="zh-CN"/>
        </w:rPr>
        <w:t>5126.98</w:t>
      </w:r>
      <w:r>
        <w:rPr>
          <w:rFonts w:hint="eastAsia" w:asciiTheme="minorEastAsia" w:hAnsiTheme="minorEastAsia" w:eastAsiaTheme="minorEastAsia" w:cstheme="minorEastAsia"/>
          <w:color w:val="000000" w:themeColor="text1"/>
          <w:sz w:val="28"/>
          <w:szCs w:val="28"/>
          <w:highlight w:val="none"/>
        </w:rPr>
        <w:t>万元，包括人员经费</w:t>
      </w:r>
      <w:r>
        <w:rPr>
          <w:rFonts w:hint="eastAsia" w:asciiTheme="minorEastAsia" w:hAnsiTheme="minorEastAsia" w:eastAsiaTheme="minorEastAsia" w:cstheme="minorEastAsia"/>
          <w:color w:val="000000" w:themeColor="text1"/>
          <w:sz w:val="28"/>
          <w:szCs w:val="28"/>
          <w:highlight w:val="none"/>
          <w:lang w:val="en-US" w:eastAsia="zh-CN"/>
        </w:rPr>
        <w:t>5126.98</w:t>
      </w:r>
      <w:r>
        <w:rPr>
          <w:rFonts w:hint="eastAsia" w:asciiTheme="minorEastAsia" w:hAnsiTheme="minorEastAsia" w:eastAsiaTheme="minorEastAsia" w:cstheme="minorEastAsia"/>
          <w:color w:val="000000" w:themeColor="text1"/>
          <w:sz w:val="28"/>
          <w:szCs w:val="28"/>
          <w:highlight w:val="none"/>
        </w:rPr>
        <w:t>万元和日常公用经费</w:t>
      </w:r>
      <w:r>
        <w:rPr>
          <w:rFonts w:hint="eastAsia" w:asciiTheme="minorEastAsia" w:hAnsiTheme="minorEastAsia" w:eastAsiaTheme="minorEastAsia" w:cstheme="minorEastAsia"/>
          <w:color w:val="000000" w:themeColor="text1"/>
          <w:sz w:val="28"/>
          <w:szCs w:val="28"/>
          <w:highlight w:val="none"/>
          <w:lang w:val="en-US" w:eastAsia="zh-CN"/>
        </w:rPr>
        <w:t>0</w:t>
      </w:r>
      <w:r>
        <w:rPr>
          <w:rFonts w:hint="eastAsia" w:asciiTheme="minorEastAsia" w:hAnsiTheme="minorEastAsia" w:eastAsiaTheme="minorEastAsia" w:cstheme="minorEastAsia"/>
          <w:color w:val="000000" w:themeColor="text1"/>
          <w:sz w:val="28"/>
          <w:szCs w:val="28"/>
          <w:highlight w:val="none"/>
        </w:rPr>
        <w:t>万元；项目支出</w:t>
      </w:r>
      <w:r>
        <w:rPr>
          <w:rFonts w:hint="eastAsia" w:asciiTheme="minorEastAsia" w:hAnsiTheme="minorEastAsia" w:eastAsiaTheme="minorEastAsia" w:cstheme="minorEastAsia"/>
          <w:color w:val="000000" w:themeColor="text1"/>
          <w:sz w:val="28"/>
          <w:szCs w:val="28"/>
          <w:highlight w:val="none"/>
          <w:lang w:val="en-US" w:eastAsia="zh-CN"/>
        </w:rPr>
        <w:t>3480.01</w:t>
      </w:r>
      <w:r>
        <w:rPr>
          <w:rFonts w:hint="eastAsia" w:asciiTheme="minorEastAsia" w:hAnsiTheme="minorEastAsia" w:eastAsiaTheme="minorEastAsia" w:cstheme="minorEastAsia"/>
          <w:color w:val="000000" w:themeColor="text1"/>
          <w:sz w:val="28"/>
          <w:szCs w:val="28"/>
          <w:highlight w:val="none"/>
        </w:rPr>
        <w:t>万元，主要为</w:t>
      </w:r>
      <w:r>
        <w:rPr>
          <w:rFonts w:hint="eastAsia" w:asciiTheme="minorEastAsia" w:hAnsiTheme="minorEastAsia" w:eastAsiaTheme="minorEastAsia" w:cstheme="minorEastAsia"/>
          <w:color w:val="000000" w:themeColor="text1"/>
          <w:sz w:val="28"/>
          <w:szCs w:val="28"/>
          <w:highlight w:val="none"/>
          <w:lang w:eastAsia="zh-CN"/>
        </w:rPr>
        <w:t>贷款贴息</w:t>
      </w:r>
      <w:r>
        <w:rPr>
          <w:rFonts w:hint="eastAsia" w:asciiTheme="minorEastAsia" w:hAnsiTheme="minorEastAsia" w:eastAsiaTheme="minorEastAsia" w:cstheme="minorEastAsia"/>
          <w:color w:val="000000" w:themeColor="text1"/>
          <w:sz w:val="28"/>
          <w:szCs w:val="28"/>
          <w:highlight w:val="none"/>
        </w:rPr>
        <w:t>5</w:t>
      </w:r>
      <w:r>
        <w:rPr>
          <w:rFonts w:hint="eastAsia" w:asciiTheme="minorEastAsia" w:hAnsiTheme="minorEastAsia" w:eastAsiaTheme="minorEastAsia" w:cstheme="minorEastAsia"/>
          <w:color w:val="000000" w:themeColor="text1"/>
          <w:sz w:val="28"/>
          <w:szCs w:val="28"/>
          <w:highlight w:val="none"/>
          <w:lang w:val="en-US" w:eastAsia="zh-CN"/>
        </w:rPr>
        <w:t>00</w:t>
      </w:r>
      <w:r>
        <w:rPr>
          <w:rFonts w:hint="eastAsia" w:asciiTheme="minorEastAsia" w:hAnsiTheme="minorEastAsia" w:eastAsiaTheme="minorEastAsia" w:cstheme="minorEastAsia"/>
          <w:color w:val="000000" w:themeColor="text1"/>
          <w:sz w:val="28"/>
          <w:szCs w:val="28"/>
          <w:highlight w:val="none"/>
        </w:rPr>
        <w:t>万元，</w:t>
      </w:r>
      <w:r>
        <w:rPr>
          <w:rFonts w:hint="eastAsia" w:asciiTheme="minorEastAsia" w:hAnsiTheme="minorEastAsia" w:eastAsiaTheme="minorEastAsia" w:cstheme="minorEastAsia"/>
          <w:color w:val="000000" w:themeColor="text1"/>
          <w:sz w:val="28"/>
          <w:szCs w:val="28"/>
          <w:highlight w:val="none"/>
          <w:lang w:eastAsia="zh-CN"/>
        </w:rPr>
        <w:t>石家庄电视发射台</w:t>
      </w:r>
      <w:r>
        <w:rPr>
          <w:rFonts w:hint="eastAsia" w:asciiTheme="minorEastAsia" w:hAnsiTheme="minorEastAsia" w:eastAsiaTheme="minorEastAsia" w:cstheme="minorEastAsia"/>
          <w:color w:val="000000" w:themeColor="text1"/>
          <w:sz w:val="28"/>
          <w:szCs w:val="28"/>
          <w:highlight w:val="none"/>
          <w:lang w:val="en-US" w:eastAsia="zh-CN"/>
        </w:rPr>
        <w:t>31.2万元，石家庄</w:t>
      </w:r>
      <w:r>
        <w:rPr>
          <w:rFonts w:hint="eastAsia" w:asciiTheme="minorEastAsia" w:hAnsiTheme="minorEastAsia" w:eastAsiaTheme="minorEastAsia" w:cstheme="minorEastAsia"/>
          <w:color w:val="000000" w:themeColor="text1"/>
          <w:sz w:val="28"/>
          <w:szCs w:val="28"/>
          <w:highlight w:val="none"/>
          <w:lang w:eastAsia="zh-CN"/>
        </w:rPr>
        <w:t>中波台</w:t>
      </w:r>
      <w:r>
        <w:rPr>
          <w:rFonts w:hint="eastAsia" w:asciiTheme="minorEastAsia" w:hAnsiTheme="minorEastAsia" w:eastAsiaTheme="minorEastAsia" w:cstheme="minorEastAsia"/>
          <w:color w:val="000000" w:themeColor="text1"/>
          <w:sz w:val="28"/>
          <w:szCs w:val="28"/>
          <w:highlight w:val="none"/>
          <w:lang w:val="en-US" w:eastAsia="zh-CN"/>
        </w:rPr>
        <w:t>12</w:t>
      </w:r>
      <w:r>
        <w:rPr>
          <w:rFonts w:hint="eastAsia" w:asciiTheme="minorEastAsia" w:hAnsiTheme="minorEastAsia" w:eastAsiaTheme="minorEastAsia" w:cstheme="minorEastAsia"/>
          <w:color w:val="000000" w:themeColor="text1"/>
          <w:sz w:val="28"/>
          <w:szCs w:val="28"/>
          <w:highlight w:val="none"/>
        </w:rPr>
        <w:t>万元</w:t>
      </w:r>
      <w:r>
        <w:rPr>
          <w:rFonts w:hint="eastAsia" w:asciiTheme="minorEastAsia" w:hAnsiTheme="minorEastAsia" w:eastAsiaTheme="minorEastAsia" w:cstheme="minorEastAsia"/>
          <w:color w:val="000000" w:themeColor="text1"/>
          <w:sz w:val="28"/>
          <w:szCs w:val="28"/>
          <w:highlight w:val="none"/>
          <w:lang w:val="en-US" w:eastAsia="zh-CN"/>
        </w:rPr>
        <w:t>，</w:t>
      </w:r>
      <w:r>
        <w:rPr>
          <w:rFonts w:hint="eastAsia" w:asciiTheme="minorEastAsia" w:hAnsiTheme="minorEastAsia" w:eastAsiaTheme="minorEastAsia" w:cstheme="minorEastAsia"/>
          <w:color w:val="000000" w:themeColor="text1"/>
          <w:sz w:val="28"/>
          <w:szCs w:val="28"/>
          <w:highlight w:val="none"/>
          <w:lang w:eastAsia="zh-CN"/>
        </w:rPr>
        <w:t>融媒体建设补助资金</w:t>
      </w:r>
      <w:r>
        <w:rPr>
          <w:rFonts w:hint="eastAsia" w:asciiTheme="minorEastAsia" w:hAnsiTheme="minorEastAsia" w:eastAsiaTheme="minorEastAsia" w:cstheme="minorEastAsia"/>
          <w:color w:val="000000" w:themeColor="text1"/>
          <w:sz w:val="28"/>
          <w:szCs w:val="28"/>
          <w:highlight w:val="none"/>
          <w:lang w:val="en-US" w:eastAsia="zh-CN"/>
        </w:rPr>
        <w:t>800万元，公益节目购买制作费2000万元,债务付息支出136.81万元</w:t>
      </w:r>
      <w:r>
        <w:rPr>
          <w:rFonts w:hint="eastAsia" w:asciiTheme="minorEastAsia" w:hAnsiTheme="minorEastAsia" w:eastAsiaTheme="minorEastAsia" w:cstheme="minorEastAsia"/>
          <w:color w:val="000000" w:themeColor="text1"/>
          <w:sz w:val="28"/>
          <w:szCs w:val="28"/>
          <w:highlight w:val="none"/>
        </w:rPr>
        <w:t>。</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000000" w:themeColor="text1"/>
          <w:sz w:val="28"/>
          <w:szCs w:val="28"/>
          <w:highlight w:val="none"/>
        </w:rPr>
      </w:pPr>
      <w:r>
        <w:rPr>
          <w:rFonts w:hint="eastAsia" w:asciiTheme="minorEastAsia" w:hAnsiTheme="minorEastAsia" w:eastAsiaTheme="minorEastAsia" w:cstheme="minorEastAsia"/>
          <w:color w:val="000000" w:themeColor="text1"/>
          <w:sz w:val="28"/>
          <w:szCs w:val="28"/>
          <w:highlight w:val="none"/>
        </w:rPr>
        <w:t>3、比上年增减情况</w:t>
      </w:r>
    </w:p>
    <w:p>
      <w:pPr>
        <w:keepNext w:val="0"/>
        <w:keepLines w:val="0"/>
        <w:pageBreakBefore w:val="0"/>
        <w:widowControl/>
        <w:kinsoku/>
        <w:wordWrap/>
        <w:overflowPunct/>
        <w:topLinePunct w:val="0"/>
        <w:autoSpaceDE/>
        <w:autoSpaceDN/>
        <w:bidi w:val="0"/>
        <w:adjustRightInd/>
        <w:snapToGrid/>
        <w:spacing w:line="480" w:lineRule="exact"/>
        <w:ind w:firstLine="641"/>
        <w:textAlignment w:val="auto"/>
        <w:rPr>
          <w:rFonts w:hint="eastAsia" w:asciiTheme="minorEastAsia" w:hAnsiTheme="minorEastAsia" w:eastAsiaTheme="minorEastAsia" w:cstheme="minorEastAsia"/>
          <w:color w:val="000000" w:themeColor="text1"/>
          <w:sz w:val="28"/>
          <w:szCs w:val="28"/>
          <w:highlight w:val="none"/>
          <w:lang w:val="en-US" w:eastAsia="zh-CN"/>
        </w:rPr>
      </w:pPr>
      <w:r>
        <w:rPr>
          <w:rFonts w:hint="eastAsia" w:asciiTheme="minorEastAsia" w:hAnsiTheme="minorEastAsia" w:eastAsiaTheme="minorEastAsia" w:cstheme="minorEastAsia"/>
          <w:color w:val="000000" w:themeColor="text1"/>
          <w:sz w:val="28"/>
          <w:szCs w:val="28"/>
          <w:highlight w:val="none"/>
        </w:rPr>
        <w:t>202</w:t>
      </w:r>
      <w:r>
        <w:rPr>
          <w:rFonts w:hint="eastAsia" w:asciiTheme="minorEastAsia" w:hAnsiTheme="minorEastAsia" w:eastAsiaTheme="minorEastAsia" w:cstheme="minorEastAsia"/>
          <w:color w:val="000000" w:themeColor="text1"/>
          <w:sz w:val="28"/>
          <w:szCs w:val="28"/>
          <w:highlight w:val="none"/>
          <w:lang w:val="en-US" w:eastAsia="zh-CN"/>
        </w:rPr>
        <w:t>4</w:t>
      </w:r>
      <w:r>
        <w:rPr>
          <w:rFonts w:hint="eastAsia" w:asciiTheme="minorEastAsia" w:hAnsiTheme="minorEastAsia" w:eastAsiaTheme="minorEastAsia" w:cstheme="minorEastAsia"/>
          <w:color w:val="000000" w:themeColor="text1"/>
          <w:sz w:val="28"/>
          <w:szCs w:val="28"/>
          <w:highlight w:val="none"/>
        </w:rPr>
        <w:t>年部门预算收支安排</w:t>
      </w:r>
      <w:r>
        <w:rPr>
          <w:rFonts w:hint="eastAsia" w:asciiTheme="minorEastAsia" w:hAnsiTheme="minorEastAsia" w:eastAsiaTheme="minorEastAsia" w:cstheme="minorEastAsia"/>
          <w:color w:val="000000" w:themeColor="text1"/>
          <w:sz w:val="28"/>
          <w:szCs w:val="28"/>
          <w:highlight w:val="none"/>
          <w:lang w:val="en-US" w:eastAsia="zh-CN"/>
        </w:rPr>
        <w:t>8606.99</w:t>
      </w:r>
      <w:r>
        <w:rPr>
          <w:rFonts w:hint="eastAsia" w:asciiTheme="minorEastAsia" w:hAnsiTheme="minorEastAsia" w:eastAsiaTheme="minorEastAsia" w:cstheme="minorEastAsia"/>
          <w:color w:val="000000" w:themeColor="text1"/>
          <w:sz w:val="28"/>
          <w:szCs w:val="28"/>
          <w:highlight w:val="none"/>
        </w:rPr>
        <w:t>万元，较20</w:t>
      </w:r>
      <w:r>
        <w:rPr>
          <w:rFonts w:hint="eastAsia" w:asciiTheme="minorEastAsia" w:hAnsiTheme="minorEastAsia" w:eastAsiaTheme="minorEastAsia" w:cstheme="minorEastAsia"/>
          <w:color w:val="000000" w:themeColor="text1"/>
          <w:sz w:val="28"/>
          <w:szCs w:val="28"/>
          <w:highlight w:val="none"/>
          <w:lang w:val="en-US" w:eastAsia="zh-CN"/>
        </w:rPr>
        <w:t>23</w:t>
      </w:r>
      <w:r>
        <w:rPr>
          <w:rFonts w:hint="eastAsia" w:asciiTheme="minorEastAsia" w:hAnsiTheme="minorEastAsia" w:eastAsiaTheme="minorEastAsia" w:cstheme="minorEastAsia"/>
          <w:color w:val="000000" w:themeColor="text1"/>
          <w:sz w:val="28"/>
          <w:szCs w:val="28"/>
          <w:highlight w:val="none"/>
        </w:rPr>
        <w:t>年</w:t>
      </w:r>
      <w:r>
        <w:rPr>
          <w:rFonts w:hint="eastAsia" w:asciiTheme="minorEastAsia" w:hAnsiTheme="minorEastAsia" w:eastAsiaTheme="minorEastAsia" w:cstheme="minorEastAsia"/>
          <w:color w:val="000000" w:themeColor="text1"/>
          <w:sz w:val="28"/>
          <w:szCs w:val="28"/>
          <w:highlight w:val="none"/>
          <w:lang w:eastAsia="zh-CN"/>
        </w:rPr>
        <w:t>减少</w:t>
      </w:r>
      <w:r>
        <w:rPr>
          <w:rFonts w:hint="eastAsia" w:asciiTheme="minorEastAsia" w:hAnsiTheme="minorEastAsia" w:eastAsiaTheme="minorEastAsia" w:cstheme="minorEastAsia"/>
          <w:color w:val="000000" w:themeColor="text1"/>
          <w:sz w:val="28"/>
          <w:szCs w:val="28"/>
          <w:highlight w:val="none"/>
          <w:lang w:val="en-US" w:eastAsia="zh-CN"/>
        </w:rPr>
        <w:t>202.02</w:t>
      </w:r>
      <w:r>
        <w:rPr>
          <w:rFonts w:hint="eastAsia" w:asciiTheme="minorEastAsia" w:hAnsiTheme="minorEastAsia" w:eastAsiaTheme="minorEastAsia" w:cstheme="minorEastAsia"/>
          <w:color w:val="000000" w:themeColor="text1"/>
          <w:sz w:val="28"/>
          <w:szCs w:val="28"/>
          <w:highlight w:val="none"/>
        </w:rPr>
        <w:t>万元，其中：基本支出</w:t>
      </w:r>
      <w:r>
        <w:rPr>
          <w:rFonts w:hint="eastAsia" w:asciiTheme="minorEastAsia" w:hAnsiTheme="minorEastAsia" w:eastAsiaTheme="minorEastAsia" w:cstheme="minorEastAsia"/>
          <w:color w:val="000000" w:themeColor="text1"/>
          <w:sz w:val="28"/>
          <w:szCs w:val="28"/>
          <w:highlight w:val="none"/>
          <w:lang w:eastAsia="zh-CN"/>
        </w:rPr>
        <w:t>减少</w:t>
      </w:r>
      <w:r>
        <w:rPr>
          <w:rFonts w:hint="eastAsia" w:asciiTheme="minorEastAsia" w:hAnsiTheme="minorEastAsia" w:eastAsiaTheme="minorEastAsia" w:cstheme="minorEastAsia"/>
          <w:color w:val="000000" w:themeColor="text1"/>
          <w:sz w:val="28"/>
          <w:szCs w:val="28"/>
          <w:highlight w:val="none"/>
          <w:lang w:val="en-US" w:eastAsia="zh-CN"/>
        </w:rPr>
        <w:t>182.02</w:t>
      </w:r>
      <w:r>
        <w:rPr>
          <w:rFonts w:hint="eastAsia" w:asciiTheme="minorEastAsia" w:hAnsiTheme="minorEastAsia" w:eastAsiaTheme="minorEastAsia" w:cstheme="minorEastAsia"/>
          <w:color w:val="000000" w:themeColor="text1"/>
          <w:sz w:val="28"/>
          <w:szCs w:val="28"/>
          <w:highlight w:val="none"/>
        </w:rPr>
        <w:t>万元</w:t>
      </w:r>
      <w:r>
        <w:rPr>
          <w:rFonts w:hint="eastAsia" w:asciiTheme="minorEastAsia" w:hAnsiTheme="minorEastAsia" w:eastAsiaTheme="minorEastAsia" w:cstheme="minorEastAsia"/>
          <w:color w:val="000000" w:themeColor="text1"/>
          <w:sz w:val="28"/>
          <w:szCs w:val="28"/>
          <w:highlight w:val="none"/>
          <w:lang w:eastAsia="zh-CN"/>
        </w:rPr>
        <w:t>，主要为在职人员减少</w:t>
      </w:r>
      <w:r>
        <w:rPr>
          <w:rFonts w:hint="eastAsia" w:asciiTheme="minorEastAsia" w:hAnsiTheme="minorEastAsia" w:eastAsiaTheme="minorEastAsia" w:cstheme="minorEastAsia"/>
          <w:color w:val="000000" w:themeColor="text1"/>
          <w:sz w:val="28"/>
          <w:szCs w:val="28"/>
          <w:highlight w:val="none"/>
        </w:rPr>
        <w:t>；项目支出</w:t>
      </w:r>
      <w:r>
        <w:rPr>
          <w:rFonts w:hint="eastAsia" w:asciiTheme="minorEastAsia" w:hAnsiTheme="minorEastAsia" w:eastAsiaTheme="minorEastAsia" w:cstheme="minorEastAsia"/>
          <w:color w:val="000000" w:themeColor="text1"/>
          <w:sz w:val="28"/>
          <w:szCs w:val="28"/>
          <w:highlight w:val="none"/>
          <w:lang w:eastAsia="zh-CN"/>
        </w:rPr>
        <w:t>减少</w:t>
      </w:r>
      <w:r>
        <w:rPr>
          <w:rFonts w:hint="eastAsia" w:asciiTheme="minorEastAsia" w:hAnsiTheme="minorEastAsia" w:eastAsiaTheme="minorEastAsia" w:cstheme="minorEastAsia"/>
          <w:color w:val="000000" w:themeColor="text1"/>
          <w:sz w:val="28"/>
          <w:szCs w:val="28"/>
          <w:highlight w:val="none"/>
          <w:lang w:val="en-US" w:eastAsia="zh-CN"/>
        </w:rPr>
        <w:t>20</w:t>
      </w:r>
      <w:r>
        <w:rPr>
          <w:rFonts w:hint="eastAsia" w:asciiTheme="minorEastAsia" w:hAnsiTheme="minorEastAsia" w:eastAsiaTheme="minorEastAsia" w:cstheme="minorEastAsia"/>
          <w:color w:val="000000" w:themeColor="text1"/>
          <w:sz w:val="28"/>
          <w:szCs w:val="28"/>
          <w:highlight w:val="none"/>
        </w:rPr>
        <w:t>万元，主要是</w:t>
      </w:r>
      <w:r>
        <w:rPr>
          <w:rFonts w:ascii="宋体" w:hAnsi="宋体" w:eastAsia="宋体" w:cs="宋体"/>
          <w:sz w:val="28"/>
          <w:szCs w:val="28"/>
          <w:highlight w:val="none"/>
        </w:rPr>
        <w:t>发射台基础设备设施更新改造及运行维护</w:t>
      </w:r>
      <w:r>
        <w:rPr>
          <w:rFonts w:hint="eastAsia" w:ascii="宋体" w:hAnsi="宋体" w:eastAsia="宋体" w:cs="宋体"/>
          <w:sz w:val="28"/>
          <w:szCs w:val="28"/>
          <w:highlight w:val="none"/>
          <w:lang w:eastAsia="zh-CN"/>
        </w:rPr>
        <w:t>项目减少</w:t>
      </w:r>
      <w:r>
        <w:rPr>
          <w:rFonts w:ascii="宋体" w:hAnsi="宋体" w:eastAsia="宋体" w:cs="宋体"/>
          <w:sz w:val="28"/>
          <w:szCs w:val="28"/>
          <w:highlight w:val="none"/>
        </w:rPr>
        <w:t xml:space="preserve"> 20 万元</w:t>
      </w:r>
      <w:r>
        <w:rPr>
          <w:rFonts w:hint="eastAsia" w:asciiTheme="minorEastAsia" w:hAnsiTheme="minorEastAsia" w:eastAsiaTheme="minorEastAsia" w:cstheme="minorEastAsia"/>
          <w:color w:val="000000" w:themeColor="text1"/>
          <w:sz w:val="28"/>
          <w:szCs w:val="28"/>
          <w:highlight w:val="none"/>
          <w:lang w:val="en-US" w:eastAsia="zh-CN"/>
        </w:rPr>
        <w:t>。</w:t>
      </w:r>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年，我部门机关运行经费共计安排</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主要用于保证机关正常运转的办公及印刷费、邮电费、差旅费、会议费、福利费、专用材料及一般设备购置费、办公用房水电费、办公用房取暖费、日常维修费、办公楼物业管理费、公务车运行维护费等支出。</w:t>
      </w:r>
      <w:r>
        <w:rPr>
          <w:rFonts w:hint="eastAsia" w:asciiTheme="minorEastAsia" w:hAnsiTheme="minorEastAsia" w:eastAsiaTheme="minorEastAsia" w:cstheme="minorEastAsia"/>
          <w:sz w:val="28"/>
          <w:szCs w:val="28"/>
          <w:lang w:eastAsia="zh-CN"/>
        </w:rPr>
        <w:t>财政未给我部门安排此项预算。</w:t>
      </w:r>
    </w:p>
    <w:p>
      <w:pPr>
        <w:pStyle w:val="20"/>
        <w:rPr>
          <w:rFonts w:hint="eastAsia" w:asciiTheme="minorEastAsia" w:hAnsiTheme="minorEastAsia" w:eastAsiaTheme="minorEastAsia" w:cstheme="minorEastAsia"/>
          <w:sz w:val="28"/>
          <w:szCs w:val="28"/>
          <w:lang w:eastAsia="zh-CN"/>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rPr>
        <w:t>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年，我部门财政拨款“三公”经费预算安排</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万元，其中：因公出国（境）费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万元；公务用车购置及运维费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万元（其中：公务用车购置费0万元，公务用车运行维护费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万元)；公务接待费</w:t>
      </w:r>
      <w:r>
        <w:rPr>
          <w:rFonts w:hint="eastAsia" w:asciiTheme="minorEastAsia" w:hAnsiTheme="minorEastAsia" w:eastAsiaTheme="minorEastAsia" w:cstheme="minorEastAsia"/>
          <w:sz w:val="28"/>
          <w:szCs w:val="28"/>
          <w:lang w:val="en-US" w:eastAsia="zh-CN"/>
        </w:rPr>
        <w:t>0</w:t>
      </w:r>
      <w:r>
        <w:rPr>
          <w:rFonts w:hint="eastAsia" w:asciiTheme="minorEastAsia" w:hAnsiTheme="minorEastAsia" w:eastAsiaTheme="minorEastAsia" w:cstheme="minorEastAsia"/>
          <w:sz w:val="28"/>
          <w:szCs w:val="28"/>
        </w:rPr>
        <w:t>万元。“三公”经费与上年持平，无增减变化。</w:t>
      </w:r>
      <w:r>
        <w:rPr>
          <w:rFonts w:hint="eastAsia" w:asciiTheme="minorEastAsia" w:hAnsiTheme="minorEastAsia" w:eastAsiaTheme="minorEastAsia" w:cstheme="minorEastAsia"/>
          <w:sz w:val="28"/>
          <w:szCs w:val="28"/>
          <w:lang w:eastAsia="zh-CN"/>
        </w:rPr>
        <w:t>财政未给我部门安排此项经费预算。</w:t>
      </w:r>
    </w:p>
    <w:p>
      <w:pPr>
        <w:pStyle w:val="21"/>
        <w:rPr>
          <w:rFonts w:hint="eastAsia" w:asciiTheme="minorEastAsia" w:hAnsiTheme="minorEastAsia" w:eastAsiaTheme="minorEastAsia" w:cstheme="minorEastAsia"/>
          <w:sz w:val="28"/>
          <w:szCs w:val="28"/>
          <w:lang w:eastAsia="zh-CN"/>
        </w:rPr>
      </w:pPr>
    </w:p>
    <w:p>
      <w:pPr>
        <w:spacing w:before="10" w:after="10" w:line="360" w:lineRule="auto"/>
        <w:ind w:firstLine="640"/>
        <w:jc w:val="left"/>
        <w:outlineLvl w:val="2"/>
        <w:rPr>
          <w:rFonts w:hint="eastAsia" w:eastAsia="黑体"/>
          <w:color w:val="FF0000"/>
          <w:highlight w:val="none"/>
          <w:lang w:eastAsia="zh-CN"/>
        </w:rPr>
      </w:pPr>
      <w:bookmarkStart w:id="13" w:name="_Toc_3_3_0000000014"/>
      <w:r>
        <w:rPr>
          <w:rFonts w:ascii="黑体" w:hAnsi="黑体" w:eastAsia="黑体" w:cs="黑体"/>
          <w:color w:val="000000"/>
          <w:sz w:val="32"/>
          <w:highlight w:val="none"/>
        </w:rPr>
        <w:t>五、部门整体绩效目标</w:t>
      </w:r>
      <w:bookmarkEnd w:id="13"/>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pPr>
        <w:pStyle w:val="22"/>
        <w:rPr>
          <w:highlight w:val="none"/>
        </w:rPr>
      </w:pPr>
    </w:p>
    <w:p>
      <w:pPr>
        <w:pStyle w:val="22"/>
        <w:rPr>
          <w:highlight w:val="none"/>
        </w:rPr>
      </w:pPr>
      <w:r>
        <w:rPr>
          <w:highlight w:val="none"/>
        </w:rPr>
        <w:t>总体绩效目标</w:t>
      </w:r>
    </w:p>
    <w:p>
      <w:pPr>
        <w:pStyle w:val="22"/>
        <w:rPr>
          <w:highlight w:val="none"/>
        </w:rPr>
      </w:pPr>
      <w:r>
        <w:rPr>
          <w:highlight w:val="none"/>
        </w:rPr>
        <w:t xml:space="preserve">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 </w:t>
      </w:r>
    </w:p>
    <w:p>
      <w:pPr>
        <w:pStyle w:val="22"/>
        <w:rPr>
          <w:highlight w:val="none"/>
        </w:rPr>
      </w:pP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pPr>
        <w:pStyle w:val="23"/>
        <w:rPr>
          <w:highlight w:val="none"/>
        </w:rPr>
      </w:pPr>
      <w:r>
        <w:rPr>
          <w:highlight w:val="none"/>
        </w:rPr>
        <w:t xml:space="preserve">分项绩效目标 </w:t>
      </w:r>
    </w:p>
    <w:p>
      <w:pPr>
        <w:pStyle w:val="23"/>
        <w:rPr>
          <w:highlight w:val="none"/>
        </w:rPr>
      </w:pPr>
      <w:r>
        <w:rPr>
          <w:highlight w:val="none"/>
        </w:rPr>
        <w:t>（一）广播电视节目制作播出</w:t>
      </w:r>
    </w:p>
    <w:p>
      <w:pPr>
        <w:pStyle w:val="23"/>
        <w:rPr>
          <w:highlight w:val="none"/>
        </w:rPr>
      </w:pPr>
      <w:r>
        <w:rPr>
          <w:highlight w:val="none"/>
        </w:rPr>
        <w:t>绩效目标：研发新节目，打造品牌活动，媒体识别度和影响力进一步提升，收听收看群体扩大。</w:t>
      </w:r>
    </w:p>
    <w:p>
      <w:pPr>
        <w:pStyle w:val="23"/>
        <w:rPr>
          <w:highlight w:val="none"/>
        </w:rPr>
      </w:pPr>
      <w:r>
        <w:rPr>
          <w:highlight w:val="none"/>
        </w:rPr>
        <w:t>绩效指标：推出两档特别节目，继续大力度优化节目品质，不断提升时政新闻的引导力和影响力。</w:t>
      </w:r>
    </w:p>
    <w:p>
      <w:pPr>
        <w:pStyle w:val="23"/>
        <w:rPr>
          <w:highlight w:val="none"/>
        </w:rPr>
      </w:pPr>
      <w:r>
        <w:rPr>
          <w:highlight w:val="none"/>
        </w:rPr>
        <w:t>（二）广播电视节目制作能力建设</w:t>
      </w:r>
    </w:p>
    <w:p>
      <w:pPr>
        <w:pStyle w:val="23"/>
        <w:rPr>
          <w:highlight w:val="none"/>
        </w:rPr>
      </w:pPr>
      <w:r>
        <w:rPr>
          <w:highlight w:val="none"/>
        </w:rPr>
        <w:t>绩效目标：保障安全优质播出，扩大广播电视节目覆盖，全台数字化，高清化发展程度。</w:t>
      </w:r>
    </w:p>
    <w:p>
      <w:pPr>
        <w:pStyle w:val="23"/>
        <w:rPr>
          <w:highlight w:val="none"/>
        </w:rPr>
      </w:pPr>
      <w:r>
        <w:rPr>
          <w:highlight w:val="none"/>
        </w:rPr>
        <w:t>绩效指标:低故障率，节目播出覆盖率大于等于85%</w:t>
      </w:r>
    </w:p>
    <w:p>
      <w:pPr>
        <w:pStyle w:val="23"/>
        <w:rPr>
          <w:highlight w:val="none"/>
        </w:rPr>
      </w:pPr>
      <w:r>
        <w:rPr>
          <w:highlight w:val="none"/>
        </w:rPr>
        <w:t>（三）核心价值观宣传</w:t>
      </w:r>
    </w:p>
    <w:p>
      <w:pPr>
        <w:pStyle w:val="23"/>
        <w:rPr>
          <w:highlight w:val="none"/>
        </w:rPr>
      </w:pPr>
      <w:r>
        <w:rPr>
          <w:highlight w:val="none"/>
        </w:rPr>
        <w:t>绩效目标：传播正能量，弘扬民族精神</w:t>
      </w:r>
    </w:p>
    <w:p>
      <w:pPr>
        <w:pStyle w:val="23"/>
        <w:rPr>
          <w:highlight w:val="none"/>
        </w:rPr>
      </w:pPr>
      <w:r>
        <w:rPr>
          <w:highlight w:val="none"/>
        </w:rPr>
        <w:t>绩效指标：创新报道方式，提升报道质量，在乡村振兴，区域协调发展以及高质量发展上打赢三大攻坚战。</w:t>
      </w:r>
    </w:p>
    <w:p>
      <w:pPr>
        <w:pStyle w:val="23"/>
        <w:rPr>
          <w:highlight w:val="none"/>
        </w:rPr>
      </w:pPr>
    </w:p>
    <w:p>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（三）工作保障措施</w:t>
      </w:r>
    </w:p>
    <w:p>
      <w:pPr>
        <w:pStyle w:val="24"/>
        <w:rPr>
          <w:highlight w:val="none"/>
        </w:rPr>
      </w:pPr>
      <w:r>
        <w:rPr>
          <w:highlight w:val="none"/>
        </w:rPr>
        <w:t>工作保障措施</w:t>
      </w:r>
    </w:p>
    <w:p>
      <w:pPr>
        <w:pStyle w:val="24"/>
        <w:rPr>
          <w:highlight w:val="none"/>
        </w:rPr>
      </w:pPr>
      <w:r>
        <w:rPr>
          <w:highlight w:val="none"/>
        </w:rPr>
        <w:t>完善制度建设。制定完善预算绩效管理制度、资金管理办法、工作保障制度等，为全年预算绩效目标的实现奠定制度基础。切实加强领导，精心组织，精心设计，研究制定详细方案，加大力度加快进度，推进各项工作有序进行。为完成各项工作创造良好条件，大力推进人才强台的战略措施，提升软实力，实现新突破。</w:t>
      </w:r>
    </w:p>
    <w:p>
      <w:pPr>
        <w:pStyle w:val="24"/>
        <w:rPr>
          <w:highlight w:val="none"/>
        </w:rPr>
      </w:pPr>
      <w:r>
        <w:rPr>
          <w:highlight w:val="none"/>
        </w:rPr>
        <w:t>加强支出管理。通过优化支出结构、编细编实预算、加快履行政府采购手续、尽快启动项目、及时支付资金、3月底前细化代编预算、按规定及时下达资金等多种措施，确保支出进度达标。</w:t>
      </w:r>
    </w:p>
    <w:p>
      <w:pPr>
        <w:pStyle w:val="24"/>
        <w:rPr>
          <w:highlight w:val="none"/>
        </w:rPr>
      </w:pPr>
      <w:r>
        <w:rPr>
          <w:highlight w:val="none"/>
        </w:rPr>
        <w:t>加强绩效运行监控。按要求开展绩效运行监控，发现问题及时采取措施，确保绩效目标如期保质实现。</w:t>
      </w:r>
    </w:p>
    <w:p>
      <w:pPr>
        <w:pStyle w:val="24"/>
        <w:rPr>
          <w:highlight w:val="none"/>
        </w:rPr>
      </w:pPr>
      <w:r>
        <w:rPr>
          <w:highlight w:val="none"/>
        </w:rPr>
        <w:t>做好绩效自评。按要求开展上年度部门预算绩效自评和重点评价工作，对评价中发现的问题及时整改，调整优化支出结构，提高财政资金使用效益。</w:t>
      </w:r>
    </w:p>
    <w:p>
      <w:pPr>
        <w:pStyle w:val="24"/>
        <w:rPr>
          <w:highlight w:val="none"/>
        </w:rPr>
      </w:pPr>
      <w:r>
        <w:rPr>
          <w:highlight w:val="none"/>
        </w:rPr>
        <w:t>规范财务资产管理。完善财务管理制度，严格审批程序，加强固定资产登记、使用和报废处置管理，做到支出合理，物尽其用。</w:t>
      </w:r>
    </w:p>
    <w:p>
      <w:pPr>
        <w:pStyle w:val="24"/>
        <w:rPr>
          <w:highlight w:val="none"/>
        </w:rPr>
      </w:pPr>
      <w:r>
        <w:rPr>
          <w:highlight w:val="none"/>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rPr>
          <w:highlight w:val="none"/>
        </w:rPr>
      </w:pPr>
      <w:r>
        <w:rPr>
          <w:highlight w:val="none"/>
        </w:rPr>
        <w:t>加强宣传培训调研等。加强人员培训，提高本部门职工业务素质；加强调研，提出优化财政资金配置、提高资金使用效益的意见；加大宣传力度，强化预算绩效管理意识，促进预算绩效管理水平进一步提升。继续开展人才培训，引进岗位练兵活动，培育团队文化。</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部门主管专项资金预算安排情况及绩效目标</w:t>
      </w:r>
      <w:bookmarkEnd w:id="14"/>
    </w:p>
    <w:p>
      <w:pPr>
        <w:numPr>
          <w:ilvl w:val="0"/>
          <w:numId w:val="0"/>
        </w:numPr>
        <w:spacing w:before="10" w:after="10" w:line="360" w:lineRule="auto"/>
        <w:jc w:val="left"/>
        <w:outlineLvl w:val="2"/>
        <w:rPr>
          <w:rFonts w:hint="eastAsia" w:ascii="仿宋" w:hAnsi="仿宋" w:eastAsia="仿宋" w:cs="仿宋"/>
          <w:b/>
          <w:bCs/>
          <w:color w:val="000000"/>
          <w:sz w:val="32"/>
          <w:highlight w:val="none"/>
          <w:lang w:val="en-US" w:eastAsia="zh-CN"/>
        </w:rPr>
      </w:pPr>
      <w:r>
        <w:rPr>
          <w:rFonts w:hint="eastAsia" w:ascii="黑体" w:hAnsi="黑体" w:eastAsia="黑体" w:cs="黑体"/>
          <w:color w:val="000000"/>
          <w:sz w:val="32"/>
          <w:highlight w:val="none"/>
          <w:lang w:val="en-US" w:eastAsia="zh-CN"/>
        </w:rPr>
        <w:t xml:space="preserve">    </w:t>
      </w:r>
      <w:r>
        <w:rPr>
          <w:rFonts w:hint="eastAsia" w:ascii="仿宋" w:hAnsi="仿宋" w:eastAsia="仿宋" w:cs="仿宋"/>
          <w:b/>
          <w:bCs/>
          <w:color w:val="000000"/>
          <w:sz w:val="32"/>
          <w:highlight w:val="none"/>
          <w:lang w:val="en-US" w:eastAsia="zh-CN"/>
        </w:rPr>
        <w:t>我部门无专项资金预算安排 。</w:t>
      </w:r>
    </w:p>
    <w:p>
      <w:pPr>
        <w:numPr>
          <w:ilvl w:val="0"/>
          <w:numId w:val="0"/>
        </w:numPr>
        <w:spacing w:before="10" w:after="10" w:line="360" w:lineRule="auto"/>
        <w:jc w:val="left"/>
        <w:outlineLvl w:val="2"/>
        <w:rPr>
          <w:rFonts w:hint="default" w:ascii="黑体" w:hAnsi="黑体" w:eastAsia="黑体" w:cs="黑体"/>
          <w:color w:val="000000"/>
          <w:sz w:val="32"/>
          <w:highlight w:val="none"/>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val="en-US" w:eastAsia="zh-CN"/>
        </w:rPr>
        <w:t xml:space="preserve">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hint="eastAsia" w:ascii="方正楷体_GBK" w:hAnsi="方正楷体_GBK" w:eastAsia="方正楷体_GBK" w:cs="方正楷体_GBK"/>
          <w:b/>
          <w:bCs/>
          <w:color w:val="000000"/>
          <w:sz w:val="32"/>
        </w:rPr>
        <w:t>七、部门项目预算安排情况及绩效目标</w:t>
      </w:r>
      <w:bookmarkEnd w:id="15"/>
    </w:p>
    <w:p>
      <w:pPr>
        <w:spacing w:before="0" w:after="0"/>
        <w:ind w:firstLine="560"/>
        <w:jc w:val="left"/>
        <w:outlineLvl w:val="9"/>
        <w:rPr>
          <w:rFonts w:hint="eastAsia" w:ascii="方正仿宋_GBK" w:hAnsi="方正仿宋_GBK" w:eastAsia="方正仿宋_GBK" w:cs="方正仿宋_GBK"/>
          <w:b/>
          <w:bCs/>
          <w:sz w:val="28"/>
          <w:szCs w:val="28"/>
        </w:rPr>
      </w:pPr>
      <w:r>
        <w:rPr>
          <w:rFonts w:hint="eastAsia" w:ascii="方正仿宋_GBK" w:hAnsi="方正仿宋_GBK" w:eastAsia="方正仿宋_GBK" w:cs="方正仿宋_GBK"/>
          <w:b/>
          <w:bCs/>
          <w:color w:val="000000"/>
          <w:sz w:val="28"/>
          <w:szCs w:val="28"/>
        </w:rPr>
        <w:t>1、贷款贴息绩效目标表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13010023P00950510002T</w:t>
            </w:r>
          </w:p>
        </w:tc>
        <w:tc>
          <w:tcPr>
            <w:tcW w:w="2835" w:type="dxa"/>
            <w:vAlign w:val="center"/>
          </w:tcPr>
          <w:p>
            <w:pPr>
              <w:pStyle w:val="11"/>
            </w:pPr>
            <w:r>
              <w:t>项目名称</w:t>
            </w:r>
          </w:p>
        </w:tc>
        <w:tc>
          <w:tcPr>
            <w:tcW w:w="6094" w:type="dxa"/>
            <w:gridSpan w:val="3"/>
            <w:vAlign w:val="center"/>
          </w:tcPr>
          <w:p>
            <w:pPr>
              <w:pStyle w:val="13"/>
            </w:pPr>
            <w:r>
              <w:t>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保证石家庄广播电视台日常资金运转，提高资金使用效益，保障了广播电视台正常运营。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 xml:space="preserve">1.拨付广电中心全年贷款利息500万元，保证资金的正常运转、避免人才流失，稳定队伍建设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351"/>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351" w:type="dxa"/>
            <w:vAlign w:val="center"/>
          </w:tcPr>
          <w:p>
            <w:pPr>
              <w:pStyle w:val="11"/>
            </w:pPr>
            <w:r>
              <w:t>指标值</w:t>
            </w:r>
          </w:p>
        </w:tc>
        <w:tc>
          <w:tcPr>
            <w:tcW w:w="187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贷款金额</w:t>
            </w:r>
          </w:p>
        </w:tc>
        <w:tc>
          <w:tcPr>
            <w:tcW w:w="4228" w:type="dxa"/>
            <w:vAlign w:val="center"/>
          </w:tcPr>
          <w:p>
            <w:pPr>
              <w:pStyle w:val="13"/>
            </w:pPr>
            <w:r>
              <w:t>用于石家庄广电中心日常资金运转</w:t>
            </w:r>
          </w:p>
        </w:tc>
        <w:tc>
          <w:tcPr>
            <w:tcW w:w="2351" w:type="dxa"/>
            <w:vAlign w:val="center"/>
          </w:tcPr>
          <w:p>
            <w:pPr>
              <w:pStyle w:val="13"/>
            </w:pPr>
            <w:r>
              <w:t>≥1.6亿元</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rPr>
                <w:rFonts w:hint="eastAsia" w:eastAsia="方正书宋_GBK"/>
                <w:lang w:eastAsia="zh-CN"/>
              </w:rPr>
            </w:pPr>
            <w:r>
              <w:rPr>
                <w:rFonts w:hint="eastAsia"/>
                <w:lang w:eastAsia="zh-CN"/>
              </w:rPr>
              <w:t>正常运转率</w:t>
            </w:r>
          </w:p>
        </w:tc>
        <w:tc>
          <w:tcPr>
            <w:tcW w:w="4228" w:type="dxa"/>
            <w:vAlign w:val="center"/>
          </w:tcPr>
          <w:p>
            <w:pPr>
              <w:pStyle w:val="13"/>
              <w:rPr>
                <w:rFonts w:hint="eastAsia" w:eastAsia="方正书宋_GBK"/>
                <w:lang w:eastAsia="zh-CN"/>
              </w:rPr>
            </w:pPr>
            <w:r>
              <w:rPr>
                <w:rFonts w:hint="eastAsia"/>
                <w:lang w:eastAsia="zh-CN"/>
              </w:rPr>
              <w:t>保障电视台正常运营</w:t>
            </w:r>
          </w:p>
        </w:tc>
        <w:tc>
          <w:tcPr>
            <w:tcW w:w="2351" w:type="dxa"/>
            <w:vAlign w:val="center"/>
          </w:tcPr>
          <w:p>
            <w:pPr>
              <w:pStyle w:val="13"/>
              <w:rPr>
                <w:rFonts w:hint="eastAsia" w:eastAsia="方正书宋_GBK"/>
                <w:lang w:eastAsia="zh-CN"/>
              </w:rPr>
            </w:pPr>
            <w:r>
              <w:rPr>
                <w:rFonts w:hint="eastAsia"/>
                <w:lang w:eastAsia="zh-CN"/>
              </w:rPr>
              <w:t>保障电视台正常运营</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项目完成时间</w:t>
            </w:r>
          </w:p>
        </w:tc>
        <w:tc>
          <w:tcPr>
            <w:tcW w:w="4228" w:type="dxa"/>
            <w:vAlign w:val="center"/>
          </w:tcPr>
          <w:p>
            <w:pPr>
              <w:pStyle w:val="13"/>
            </w:pPr>
            <w:r>
              <w:t>2024年底之前完成所有利息支付</w:t>
            </w:r>
          </w:p>
        </w:tc>
        <w:tc>
          <w:tcPr>
            <w:tcW w:w="2351" w:type="dxa"/>
            <w:vAlign w:val="center"/>
          </w:tcPr>
          <w:p>
            <w:pPr>
              <w:pStyle w:val="13"/>
            </w:pPr>
            <w:r>
              <w:rPr>
                <w:rFonts w:hint="eastAsia"/>
                <w:lang w:val="en-US" w:eastAsia="zh-CN"/>
              </w:rPr>
              <w:t>100</w:t>
            </w:r>
            <w:r>
              <w:t>%</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预算内</w:t>
            </w:r>
          </w:p>
        </w:tc>
        <w:tc>
          <w:tcPr>
            <w:tcW w:w="4228" w:type="dxa"/>
            <w:vAlign w:val="center"/>
          </w:tcPr>
          <w:p>
            <w:pPr>
              <w:pStyle w:val="13"/>
            </w:pPr>
            <w:r>
              <w:t>控制在预算范围内</w:t>
            </w:r>
          </w:p>
        </w:tc>
        <w:tc>
          <w:tcPr>
            <w:tcW w:w="2351" w:type="dxa"/>
            <w:vAlign w:val="center"/>
          </w:tcPr>
          <w:p>
            <w:pPr>
              <w:pStyle w:val="13"/>
            </w:pPr>
            <w:r>
              <w:t>500万元</w:t>
            </w:r>
          </w:p>
        </w:tc>
        <w:tc>
          <w:tcPr>
            <w:tcW w:w="1877" w:type="dxa"/>
            <w:vAlign w:val="center"/>
          </w:tcPr>
          <w:p>
            <w:pPr>
              <w:pStyle w:val="13"/>
            </w:pPr>
            <w:r>
              <w:t>银行实际利率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保证运行</w:t>
            </w:r>
          </w:p>
        </w:tc>
        <w:tc>
          <w:tcPr>
            <w:tcW w:w="4228" w:type="dxa"/>
            <w:vAlign w:val="center"/>
          </w:tcPr>
          <w:p>
            <w:pPr>
              <w:pStyle w:val="13"/>
            </w:pPr>
            <w:r>
              <w:t>保证广告创收</w:t>
            </w:r>
          </w:p>
        </w:tc>
        <w:tc>
          <w:tcPr>
            <w:tcW w:w="2351" w:type="dxa"/>
            <w:vAlign w:val="center"/>
          </w:tcPr>
          <w:p>
            <w:pPr>
              <w:pStyle w:val="13"/>
            </w:pPr>
            <w:r>
              <w:rPr>
                <w:rFonts w:hint="eastAsia"/>
                <w:lang w:eastAsia="zh-CN"/>
              </w:rPr>
              <w:t>广告收入</w:t>
            </w:r>
            <w:r>
              <w:t>比去年提高</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持续运营</w:t>
            </w:r>
          </w:p>
        </w:tc>
        <w:tc>
          <w:tcPr>
            <w:tcW w:w="4228" w:type="dxa"/>
            <w:vAlign w:val="center"/>
          </w:tcPr>
          <w:p>
            <w:pPr>
              <w:pStyle w:val="13"/>
            </w:pPr>
            <w:r>
              <w:t>保证广播电视节目正常播出</w:t>
            </w:r>
          </w:p>
        </w:tc>
        <w:tc>
          <w:tcPr>
            <w:tcW w:w="2351" w:type="dxa"/>
            <w:vAlign w:val="center"/>
          </w:tcPr>
          <w:p>
            <w:pPr>
              <w:pStyle w:val="13"/>
              <w:rPr>
                <w:rFonts w:hint="eastAsia" w:eastAsia="方正书宋_GBK"/>
                <w:lang w:eastAsia="zh-CN"/>
              </w:rPr>
            </w:pPr>
            <w:r>
              <w:rPr>
                <w:rFonts w:hint="eastAsia"/>
                <w:lang w:eastAsia="zh-CN"/>
              </w:rPr>
              <w:t>广播电视节目正常播出</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完成任务</w:t>
            </w:r>
          </w:p>
        </w:tc>
        <w:tc>
          <w:tcPr>
            <w:tcW w:w="4228" w:type="dxa"/>
            <w:vAlign w:val="center"/>
          </w:tcPr>
          <w:p>
            <w:pPr>
              <w:pStyle w:val="13"/>
            </w:pPr>
            <w:r>
              <w:t>完成贷款偿还任务</w:t>
            </w:r>
          </w:p>
        </w:tc>
        <w:tc>
          <w:tcPr>
            <w:tcW w:w="2351" w:type="dxa"/>
            <w:vAlign w:val="center"/>
          </w:tcPr>
          <w:p>
            <w:pPr>
              <w:pStyle w:val="13"/>
            </w:pPr>
            <w:r>
              <w:t>100%</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缓解压力</w:t>
            </w:r>
          </w:p>
        </w:tc>
        <w:tc>
          <w:tcPr>
            <w:tcW w:w="4228" w:type="dxa"/>
            <w:vAlign w:val="center"/>
          </w:tcPr>
          <w:p>
            <w:pPr>
              <w:pStyle w:val="13"/>
            </w:pPr>
            <w:r>
              <w:t>缓解资金压力</w:t>
            </w:r>
          </w:p>
        </w:tc>
        <w:tc>
          <w:tcPr>
            <w:tcW w:w="2351" w:type="dxa"/>
            <w:vAlign w:val="center"/>
          </w:tcPr>
          <w:p>
            <w:pPr>
              <w:pStyle w:val="13"/>
            </w:pPr>
            <w:r>
              <w:t>持续增长</w:t>
            </w:r>
          </w:p>
        </w:tc>
        <w:tc>
          <w:tcPr>
            <w:tcW w:w="1877" w:type="dxa"/>
            <w:vAlign w:val="center"/>
          </w:tcPr>
          <w:p>
            <w:pPr>
              <w:pStyle w:val="13"/>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使用满意度</w:t>
            </w:r>
          </w:p>
        </w:tc>
        <w:tc>
          <w:tcPr>
            <w:tcW w:w="2351" w:type="dxa"/>
            <w:vAlign w:val="center"/>
          </w:tcPr>
          <w:p>
            <w:pPr>
              <w:pStyle w:val="13"/>
            </w:pPr>
            <w:r>
              <w:t>≥95%</w:t>
            </w:r>
          </w:p>
        </w:tc>
        <w:tc>
          <w:tcPr>
            <w:tcW w:w="1877"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2、公益节目购买制作费绩效目标表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13010024P00TFX210003N</w:t>
            </w:r>
          </w:p>
        </w:tc>
        <w:tc>
          <w:tcPr>
            <w:tcW w:w="2835" w:type="dxa"/>
            <w:vAlign w:val="center"/>
          </w:tcPr>
          <w:p>
            <w:pPr>
              <w:pStyle w:val="11"/>
            </w:pPr>
            <w:r>
              <w:t>项目名称</w:t>
            </w:r>
          </w:p>
        </w:tc>
        <w:tc>
          <w:tcPr>
            <w:tcW w:w="6094" w:type="dxa"/>
            <w:gridSpan w:val="3"/>
            <w:vAlign w:val="center"/>
          </w:tcPr>
          <w:p>
            <w:pPr>
              <w:pStyle w:val="13"/>
            </w:pPr>
            <w:r>
              <w:t>公益节目购买制作费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围绕市委、市政府工作做好宣传，保证新闻频道《石家庄新闻》、新闻频率《新闻882》等时政新闻节目的制作和播出，切实提升政策宣传能力，确保党的政策深入民心，对内助力实现美丽城市目标，对外提升石家庄城市知名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围绕市委、市政府工作做好宣传，保证自制宣传片、自制新闻节目、外购节目等节目内容的制作和播出，将市政府重点政策进行专题报道，让政府工作宣传深入民心，对内助力实现美丽城市目标，对外提升石家庄城市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节目时长</w:t>
            </w:r>
          </w:p>
        </w:tc>
        <w:tc>
          <w:tcPr>
            <w:tcW w:w="5386" w:type="dxa"/>
            <w:vAlign w:val="center"/>
          </w:tcPr>
          <w:p>
            <w:pPr>
              <w:pStyle w:val="13"/>
            </w:pPr>
            <w:r>
              <w:t>完成《石家庄新闻》及《新闻882》时政新闻节目的制作和播出</w:t>
            </w:r>
          </w:p>
        </w:tc>
        <w:tc>
          <w:tcPr>
            <w:tcW w:w="2268" w:type="dxa"/>
            <w:vAlign w:val="center"/>
          </w:tcPr>
          <w:p>
            <w:pPr>
              <w:pStyle w:val="13"/>
            </w:pPr>
            <w:r>
              <w:t>36500分钟</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方正书宋_GBK"/>
                <w:lang w:eastAsia="zh-CN"/>
              </w:rPr>
            </w:pPr>
            <w:r>
              <w:rPr>
                <w:rFonts w:hint="eastAsia"/>
                <w:lang w:eastAsia="zh-CN"/>
              </w:rPr>
              <w:t>节目制作</w:t>
            </w:r>
          </w:p>
        </w:tc>
        <w:tc>
          <w:tcPr>
            <w:tcW w:w="5386" w:type="dxa"/>
            <w:vAlign w:val="center"/>
          </w:tcPr>
          <w:p>
            <w:pPr>
              <w:pStyle w:val="13"/>
              <w:rPr>
                <w:rFonts w:hint="eastAsia" w:eastAsia="方正书宋_GBK"/>
                <w:lang w:eastAsia="zh-CN"/>
              </w:rPr>
            </w:pPr>
            <w:r>
              <w:rPr>
                <w:rFonts w:hint="eastAsia"/>
                <w:lang w:eastAsia="zh-CN"/>
              </w:rPr>
              <w:t>合格率</w:t>
            </w:r>
          </w:p>
        </w:tc>
        <w:tc>
          <w:tcPr>
            <w:tcW w:w="2268" w:type="dxa"/>
            <w:vAlign w:val="center"/>
          </w:tcPr>
          <w:p>
            <w:pPr>
              <w:pStyle w:val="13"/>
            </w:pPr>
            <w:r>
              <w:rPr>
                <w:rFonts w:hint="eastAsia"/>
                <w:lang w:val="en-US" w:eastAsia="zh-CN"/>
              </w:rPr>
              <w:t>10</w:t>
            </w:r>
            <w:r>
              <w:t>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资金拨付情况</w:t>
            </w:r>
          </w:p>
        </w:tc>
        <w:tc>
          <w:tcPr>
            <w:tcW w:w="5386" w:type="dxa"/>
            <w:vAlign w:val="center"/>
          </w:tcPr>
          <w:p>
            <w:pPr>
              <w:pStyle w:val="13"/>
            </w:pPr>
            <w:r>
              <w:t>资金及时拨付率</w:t>
            </w:r>
          </w:p>
        </w:tc>
        <w:tc>
          <w:tcPr>
            <w:tcW w:w="2268" w:type="dxa"/>
            <w:vAlign w:val="center"/>
          </w:tcPr>
          <w:p>
            <w:pPr>
              <w:pStyle w:val="13"/>
            </w:pPr>
            <w:r>
              <w:rPr>
                <w:rFonts w:hint="eastAsia"/>
                <w:lang w:val="en-US" w:eastAsia="zh-CN"/>
              </w:rPr>
              <w:t>100</w:t>
            </w:r>
            <w:r>
              <w:t>%</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软硬件成本、人力成本等支出</w:t>
            </w:r>
          </w:p>
        </w:tc>
        <w:tc>
          <w:tcPr>
            <w:tcW w:w="5386" w:type="dxa"/>
            <w:vAlign w:val="center"/>
          </w:tcPr>
          <w:p>
            <w:pPr>
              <w:pStyle w:val="13"/>
            </w:pPr>
            <w:r>
              <w:t>控制在预算成本范围内</w:t>
            </w:r>
          </w:p>
        </w:tc>
        <w:tc>
          <w:tcPr>
            <w:tcW w:w="2268" w:type="dxa"/>
            <w:vAlign w:val="center"/>
          </w:tcPr>
          <w:p>
            <w:pPr>
              <w:pStyle w:val="13"/>
            </w:pPr>
            <w:r>
              <w:t>2000万元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实现良好宣传效果，提升市民对市委市政府重点工作关注和支持；借助多种平台传播石家庄正能量，好声音提升城市外宣美誉度</w:t>
            </w:r>
          </w:p>
        </w:tc>
        <w:tc>
          <w:tcPr>
            <w:tcW w:w="5386" w:type="dxa"/>
            <w:vAlign w:val="center"/>
          </w:tcPr>
          <w:p>
            <w:pPr>
              <w:pStyle w:val="13"/>
            </w:pPr>
            <w:r>
              <w:t>多渠道实现全国传播</w:t>
            </w:r>
          </w:p>
        </w:tc>
        <w:tc>
          <w:tcPr>
            <w:tcW w:w="2268" w:type="dxa"/>
            <w:vAlign w:val="center"/>
          </w:tcPr>
          <w:p>
            <w:pPr>
              <w:pStyle w:val="13"/>
            </w:pPr>
            <w:r>
              <w:t>进一步提升我市形象和美誉度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助力打造让本地人自豪、外地人向往的魅力之城，凝聚城市向心力和吸引力</w:t>
            </w:r>
          </w:p>
        </w:tc>
        <w:tc>
          <w:tcPr>
            <w:tcW w:w="5386" w:type="dxa"/>
            <w:vAlign w:val="center"/>
          </w:tcPr>
          <w:p>
            <w:pPr>
              <w:pStyle w:val="13"/>
            </w:pPr>
            <w:r>
              <w:t>形成城市宣传的良好氛围</w:t>
            </w:r>
          </w:p>
        </w:tc>
        <w:tc>
          <w:tcPr>
            <w:tcW w:w="2268" w:type="dxa"/>
            <w:vAlign w:val="center"/>
          </w:tcPr>
          <w:p>
            <w:pPr>
              <w:pStyle w:val="13"/>
            </w:pPr>
            <w:r>
              <w:t>形成城市宣传的良好氛围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记录城市更新变化过程，留存城市变迁影像档案；全媒体平台发布，形成持续的传播力、影响力</w:t>
            </w:r>
          </w:p>
        </w:tc>
        <w:tc>
          <w:tcPr>
            <w:tcW w:w="5386" w:type="dxa"/>
            <w:vAlign w:val="center"/>
          </w:tcPr>
          <w:p>
            <w:pPr>
              <w:pStyle w:val="13"/>
            </w:pPr>
            <w:r>
              <w:t>留存媒资资料，节目与短视频同步传播。</w:t>
            </w:r>
          </w:p>
        </w:tc>
        <w:tc>
          <w:tcPr>
            <w:tcW w:w="2268" w:type="dxa"/>
            <w:vAlign w:val="center"/>
          </w:tcPr>
          <w:p>
            <w:pPr>
              <w:pStyle w:val="13"/>
            </w:pPr>
            <w:r>
              <w:t>精品视频留存</w:t>
            </w:r>
          </w:p>
        </w:tc>
        <w:tc>
          <w:tcPr>
            <w:tcW w:w="1276" w:type="dxa"/>
            <w:vAlign w:val="center"/>
          </w:tcPr>
          <w:p>
            <w:pPr>
              <w:pStyle w:val="13"/>
            </w:pPr>
            <w:r>
              <w:t>资料留存及播出情况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服务群体调查中，满意和较满意的人数占全部调查人群的比率</w:t>
            </w:r>
          </w:p>
        </w:tc>
        <w:tc>
          <w:tcPr>
            <w:tcW w:w="2268" w:type="dxa"/>
            <w:vAlign w:val="center"/>
          </w:tcPr>
          <w:p>
            <w:pPr>
              <w:pStyle w:val="13"/>
            </w:pPr>
            <w:r>
              <w:t>≥95%</w:t>
            </w:r>
          </w:p>
        </w:tc>
        <w:tc>
          <w:tcPr>
            <w:tcW w:w="1276" w:type="dxa"/>
            <w:vAlign w:val="center"/>
          </w:tcPr>
          <w:p>
            <w:pPr>
              <w:pStyle w:val="13"/>
            </w:pPr>
            <w:r>
              <w:t>得到群众认可</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3、融媒体建设补助资金绩效目标表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13010023P00284F100039</w:t>
            </w:r>
          </w:p>
        </w:tc>
        <w:tc>
          <w:tcPr>
            <w:tcW w:w="2835" w:type="dxa"/>
            <w:vAlign w:val="center"/>
          </w:tcPr>
          <w:p>
            <w:pPr>
              <w:pStyle w:val="11"/>
            </w:pPr>
            <w:r>
              <w:t>项目名称</w:t>
            </w:r>
          </w:p>
        </w:tc>
        <w:tc>
          <w:tcPr>
            <w:tcW w:w="6094" w:type="dxa"/>
            <w:gridSpan w:val="3"/>
            <w:vAlign w:val="center"/>
          </w:tcPr>
          <w:p>
            <w:pPr>
              <w:pStyle w:val="13"/>
            </w:pPr>
            <w:r>
              <w:t>融媒体建设补助资金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w:t>
            </w:r>
          </w:p>
        </w:tc>
        <w:tc>
          <w:tcPr>
            <w:tcW w:w="2835" w:type="dxa"/>
            <w:vAlign w:val="center"/>
          </w:tcPr>
          <w:p>
            <w:pPr>
              <w:pStyle w:val="11"/>
            </w:pPr>
            <w:r>
              <w:t>其中：财政    资金</w:t>
            </w:r>
          </w:p>
        </w:tc>
        <w:tc>
          <w:tcPr>
            <w:tcW w:w="2551" w:type="dxa"/>
            <w:vAlign w:val="center"/>
          </w:tcPr>
          <w:p>
            <w:pPr>
              <w:pStyle w:val="13"/>
            </w:pPr>
            <w:r>
              <w:t>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促进媒体融合，实现新媒体移动端快速发展。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1.融媒体的建设有利于提高创作高质量、有特色的新闻作品的能力，有利于提高舆论传播的影响力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移动媒体传播</w:t>
            </w:r>
          </w:p>
        </w:tc>
        <w:tc>
          <w:tcPr>
            <w:tcW w:w="5386" w:type="dxa"/>
            <w:vAlign w:val="center"/>
          </w:tcPr>
          <w:p>
            <w:pPr>
              <w:pStyle w:val="13"/>
            </w:pPr>
            <w:r>
              <w:t>加强内容建设，短视频制作</w:t>
            </w:r>
          </w:p>
        </w:tc>
        <w:tc>
          <w:tcPr>
            <w:tcW w:w="2268" w:type="dxa"/>
            <w:vAlign w:val="center"/>
          </w:tcPr>
          <w:p>
            <w:pPr>
              <w:pStyle w:val="13"/>
            </w:pPr>
            <w:r>
              <w:t>≥1300条</w:t>
            </w:r>
          </w:p>
        </w:tc>
        <w:tc>
          <w:tcPr>
            <w:tcW w:w="1276" w:type="dxa"/>
            <w:vAlign w:val="center"/>
          </w:tcPr>
          <w:p>
            <w:pPr>
              <w:pStyle w:val="13"/>
            </w:pPr>
            <w:r>
              <w:t>短视频制作情况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保证质量，达到使用标准</w:t>
            </w:r>
          </w:p>
        </w:tc>
        <w:tc>
          <w:tcPr>
            <w:tcW w:w="5386" w:type="dxa"/>
            <w:vAlign w:val="center"/>
          </w:tcPr>
          <w:p>
            <w:pPr>
              <w:pStyle w:val="13"/>
              <w:rPr>
                <w:rFonts w:hint="eastAsia" w:eastAsia="方正书宋_GBK"/>
                <w:lang w:eastAsia="zh-CN"/>
              </w:rPr>
            </w:pPr>
            <w:r>
              <w:rPr>
                <w:rFonts w:hint="eastAsia"/>
                <w:lang w:eastAsia="zh-CN"/>
              </w:rPr>
              <w:t>制作短视频合格率</w:t>
            </w:r>
          </w:p>
        </w:tc>
        <w:tc>
          <w:tcPr>
            <w:tcW w:w="2268" w:type="dxa"/>
            <w:vAlign w:val="center"/>
          </w:tcPr>
          <w:p>
            <w:pPr>
              <w:pStyle w:val="13"/>
              <w:rPr>
                <w:rFonts w:hint="default" w:eastAsia="方正书宋_GBK"/>
                <w:lang w:val="en-US" w:eastAsia="zh-CN"/>
              </w:rPr>
            </w:pPr>
            <w:r>
              <w:rPr>
                <w:rFonts w:hint="eastAsia"/>
                <w:lang w:val="en-US" w:eastAsia="zh-CN"/>
              </w:rPr>
              <w:t>100%</w:t>
            </w:r>
          </w:p>
        </w:tc>
        <w:tc>
          <w:tcPr>
            <w:tcW w:w="1276" w:type="dxa"/>
            <w:vAlign w:val="center"/>
          </w:tcPr>
          <w:p>
            <w:pPr>
              <w:pStyle w:val="13"/>
            </w:pPr>
            <w:r>
              <w:t>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完成拨付情况</w:t>
            </w:r>
          </w:p>
        </w:tc>
        <w:tc>
          <w:tcPr>
            <w:tcW w:w="5386" w:type="dxa"/>
            <w:vAlign w:val="center"/>
          </w:tcPr>
          <w:p>
            <w:pPr>
              <w:pStyle w:val="13"/>
            </w:pPr>
            <w:r>
              <w:t>根据工作完成情况，及时拨付资金</w:t>
            </w:r>
          </w:p>
        </w:tc>
        <w:tc>
          <w:tcPr>
            <w:tcW w:w="2268" w:type="dxa"/>
            <w:vAlign w:val="center"/>
          </w:tcPr>
          <w:p>
            <w:pPr>
              <w:pStyle w:val="13"/>
            </w:pPr>
            <w:r>
              <w:t>2024年12月底</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预算批复</w:t>
            </w:r>
          </w:p>
        </w:tc>
        <w:tc>
          <w:tcPr>
            <w:tcW w:w="5386" w:type="dxa"/>
            <w:vAlign w:val="center"/>
          </w:tcPr>
          <w:p>
            <w:pPr>
              <w:pStyle w:val="13"/>
            </w:pPr>
            <w:r>
              <w:t>控制在预算范围内</w:t>
            </w:r>
          </w:p>
        </w:tc>
        <w:tc>
          <w:tcPr>
            <w:tcW w:w="2268" w:type="dxa"/>
            <w:vAlign w:val="center"/>
          </w:tcPr>
          <w:p>
            <w:pPr>
              <w:pStyle w:val="13"/>
            </w:pPr>
            <w:r>
              <w:t>800万元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促进广电传媒稳步发展</w:t>
            </w:r>
          </w:p>
        </w:tc>
        <w:tc>
          <w:tcPr>
            <w:tcW w:w="5386" w:type="dxa"/>
            <w:vAlign w:val="center"/>
          </w:tcPr>
          <w:p>
            <w:pPr>
              <w:pStyle w:val="13"/>
            </w:pPr>
            <w:r>
              <w:t>促进电视台主流媒体业务，顺应时代变化，完成转型升级，新媒体业务健康发展</w:t>
            </w:r>
          </w:p>
        </w:tc>
        <w:tc>
          <w:tcPr>
            <w:tcW w:w="2268" w:type="dxa"/>
            <w:vAlign w:val="center"/>
          </w:tcPr>
          <w:p>
            <w:pPr>
              <w:pStyle w:val="13"/>
            </w:pPr>
            <w:r>
              <w:t>促进传统媒体转型升级，新媒体健康发展</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意识形态安全</w:t>
            </w:r>
          </w:p>
        </w:tc>
        <w:tc>
          <w:tcPr>
            <w:tcW w:w="5386" w:type="dxa"/>
            <w:vAlign w:val="center"/>
          </w:tcPr>
          <w:p>
            <w:pPr>
              <w:pStyle w:val="13"/>
            </w:pPr>
            <w:r>
              <w:t>建设天朗气清的网络环境</w:t>
            </w:r>
          </w:p>
        </w:tc>
        <w:tc>
          <w:tcPr>
            <w:tcW w:w="2268" w:type="dxa"/>
            <w:vAlign w:val="center"/>
          </w:tcPr>
          <w:p>
            <w:pPr>
              <w:pStyle w:val="13"/>
            </w:pPr>
            <w:r>
              <w:t>打造优质媒体</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网络安全</w:t>
            </w:r>
          </w:p>
        </w:tc>
        <w:tc>
          <w:tcPr>
            <w:tcW w:w="5386" w:type="dxa"/>
            <w:vAlign w:val="center"/>
          </w:tcPr>
          <w:p>
            <w:pPr>
              <w:pStyle w:val="13"/>
            </w:pPr>
            <w:r>
              <w:t>保证网络安全</w:t>
            </w:r>
          </w:p>
        </w:tc>
        <w:tc>
          <w:tcPr>
            <w:tcW w:w="2268" w:type="dxa"/>
            <w:vAlign w:val="center"/>
          </w:tcPr>
          <w:p>
            <w:pPr>
              <w:pStyle w:val="13"/>
            </w:pPr>
            <w:r>
              <w:t>工作计划</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4、石家庄电视发射台绩效目标表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13010023P00881410001D</w:t>
            </w:r>
          </w:p>
        </w:tc>
        <w:tc>
          <w:tcPr>
            <w:tcW w:w="2835" w:type="dxa"/>
            <w:vAlign w:val="center"/>
          </w:tcPr>
          <w:p>
            <w:pPr>
              <w:pStyle w:val="11"/>
            </w:pPr>
            <w:r>
              <w:t>项目名称</w:t>
            </w:r>
          </w:p>
        </w:tc>
        <w:tc>
          <w:tcPr>
            <w:tcW w:w="6094" w:type="dxa"/>
            <w:gridSpan w:val="3"/>
            <w:vAlign w:val="center"/>
          </w:tcPr>
          <w:p>
            <w:pPr>
              <w:pStyle w:val="13"/>
            </w:pPr>
            <w:r>
              <w:t>石家庄电视发射台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w:t>
            </w:r>
          </w:p>
        </w:tc>
        <w:tc>
          <w:tcPr>
            <w:tcW w:w="2835" w:type="dxa"/>
            <w:vAlign w:val="center"/>
          </w:tcPr>
          <w:p>
            <w:pPr>
              <w:pStyle w:val="11"/>
            </w:pPr>
            <w:r>
              <w:t>其中：财政    资金</w:t>
            </w:r>
          </w:p>
        </w:tc>
        <w:tc>
          <w:tcPr>
            <w:tcW w:w="2551" w:type="dxa"/>
            <w:vAlign w:val="center"/>
          </w:tcPr>
          <w:p>
            <w:pPr>
              <w:pStyle w:val="13"/>
            </w:pPr>
            <w:r>
              <w:t>31.20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用于地面数字电视维护经费及两个频道播出专项维护经费，确保地面数字电视有效覆盖，提高央视传播影响力，从面进一步提高社会效益。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1.石家庄电视发射台运行费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运行机器</w:t>
            </w:r>
          </w:p>
        </w:tc>
        <w:tc>
          <w:tcPr>
            <w:tcW w:w="5386" w:type="dxa"/>
            <w:vAlign w:val="center"/>
          </w:tcPr>
          <w:p>
            <w:pPr>
              <w:pStyle w:val="13"/>
            </w:pPr>
            <w:r>
              <w:t>发射机运行维护数量</w:t>
            </w:r>
          </w:p>
        </w:tc>
        <w:tc>
          <w:tcPr>
            <w:tcW w:w="2268" w:type="dxa"/>
            <w:vAlign w:val="center"/>
          </w:tcPr>
          <w:p>
            <w:pPr>
              <w:pStyle w:val="13"/>
            </w:pPr>
            <w:r>
              <w:t>2台</w:t>
            </w:r>
          </w:p>
        </w:tc>
        <w:tc>
          <w:tcPr>
            <w:tcW w:w="1276" w:type="dxa"/>
            <w:vAlign w:val="center"/>
          </w:tcPr>
          <w:p>
            <w:pPr>
              <w:pStyle w:val="13"/>
            </w:pPr>
            <w:r>
              <w:t>实际运行数量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满时间功率</w:t>
            </w:r>
          </w:p>
        </w:tc>
        <w:tc>
          <w:tcPr>
            <w:tcW w:w="5386" w:type="dxa"/>
            <w:vAlign w:val="center"/>
          </w:tcPr>
          <w:p>
            <w:pPr>
              <w:pStyle w:val="13"/>
            </w:pPr>
            <w:r>
              <w:t>发射机满功率满调制度播出率</w:t>
            </w:r>
          </w:p>
        </w:tc>
        <w:tc>
          <w:tcPr>
            <w:tcW w:w="2268" w:type="dxa"/>
            <w:vAlign w:val="center"/>
          </w:tcPr>
          <w:p>
            <w:pPr>
              <w:pStyle w:val="13"/>
            </w:pPr>
            <w:r>
              <w:t>100%</w:t>
            </w:r>
          </w:p>
        </w:tc>
        <w:tc>
          <w:tcPr>
            <w:tcW w:w="1276" w:type="dxa"/>
            <w:vAlign w:val="center"/>
          </w:tcPr>
          <w:p>
            <w:pPr>
              <w:pStyle w:val="13"/>
            </w:pPr>
            <w:r>
              <w:t>设备运行良好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一年内</w:t>
            </w:r>
          </w:p>
        </w:tc>
        <w:tc>
          <w:tcPr>
            <w:tcW w:w="5386" w:type="dxa"/>
            <w:vAlign w:val="center"/>
          </w:tcPr>
          <w:p>
            <w:pPr>
              <w:pStyle w:val="13"/>
            </w:pPr>
            <w:r>
              <w:t>设备全年运行不出现故障</w:t>
            </w:r>
          </w:p>
        </w:tc>
        <w:tc>
          <w:tcPr>
            <w:tcW w:w="2268" w:type="dxa"/>
            <w:vAlign w:val="center"/>
          </w:tcPr>
          <w:p>
            <w:pPr>
              <w:pStyle w:val="13"/>
            </w:pPr>
            <w:r>
              <w:t>稳定运行</w:t>
            </w:r>
          </w:p>
        </w:tc>
        <w:tc>
          <w:tcPr>
            <w:tcW w:w="1276" w:type="dxa"/>
            <w:vAlign w:val="center"/>
          </w:tcPr>
          <w:p>
            <w:pPr>
              <w:pStyle w:val="13"/>
            </w:pPr>
            <w:r>
              <w:t>确保全年稳定运行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w:t>
            </w:r>
          </w:p>
        </w:tc>
        <w:tc>
          <w:tcPr>
            <w:tcW w:w="5386" w:type="dxa"/>
            <w:vAlign w:val="center"/>
          </w:tcPr>
          <w:p>
            <w:pPr>
              <w:pStyle w:val="13"/>
            </w:pPr>
            <w:r>
              <w:t>成本控制在预算范围内</w:t>
            </w:r>
          </w:p>
        </w:tc>
        <w:tc>
          <w:tcPr>
            <w:tcW w:w="2268" w:type="dxa"/>
            <w:vAlign w:val="center"/>
          </w:tcPr>
          <w:p>
            <w:pPr>
              <w:pStyle w:val="13"/>
            </w:pPr>
            <w:r>
              <w:t>31.2万元</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确保播出</w:t>
            </w:r>
          </w:p>
        </w:tc>
        <w:tc>
          <w:tcPr>
            <w:tcW w:w="5386" w:type="dxa"/>
            <w:vAlign w:val="center"/>
          </w:tcPr>
          <w:p>
            <w:pPr>
              <w:pStyle w:val="13"/>
            </w:pPr>
            <w:r>
              <w:t>节目播出成功率</w:t>
            </w:r>
          </w:p>
        </w:tc>
        <w:tc>
          <w:tcPr>
            <w:tcW w:w="2268" w:type="dxa"/>
            <w:vAlign w:val="center"/>
          </w:tcPr>
          <w:p>
            <w:pPr>
              <w:pStyle w:val="13"/>
            </w:pPr>
            <w:r>
              <w:t>100%</w:t>
            </w:r>
          </w:p>
        </w:tc>
        <w:tc>
          <w:tcPr>
            <w:tcW w:w="1276" w:type="dxa"/>
            <w:vAlign w:val="center"/>
          </w:tcPr>
          <w:p>
            <w:pPr>
              <w:pStyle w:val="13"/>
            </w:pPr>
            <w:r>
              <w:t>完成转播任务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有效覆盖</w:t>
            </w:r>
          </w:p>
        </w:tc>
        <w:tc>
          <w:tcPr>
            <w:tcW w:w="5386" w:type="dxa"/>
            <w:vAlign w:val="center"/>
          </w:tcPr>
          <w:p>
            <w:pPr>
              <w:pStyle w:val="13"/>
            </w:pPr>
            <w:r>
              <w:t>数字电视有效覆盖率</w:t>
            </w:r>
          </w:p>
        </w:tc>
        <w:tc>
          <w:tcPr>
            <w:tcW w:w="2268" w:type="dxa"/>
            <w:vAlign w:val="center"/>
          </w:tcPr>
          <w:p>
            <w:pPr>
              <w:pStyle w:val="13"/>
            </w:pPr>
            <w:r>
              <w:t>≥95%</w:t>
            </w:r>
          </w:p>
        </w:tc>
        <w:tc>
          <w:tcPr>
            <w:tcW w:w="1276" w:type="dxa"/>
            <w:vAlign w:val="center"/>
          </w:tcPr>
          <w:p>
            <w:pPr>
              <w:pStyle w:val="13"/>
            </w:pPr>
            <w:r>
              <w:t>实际覆盖情况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确保运行</w:t>
            </w:r>
          </w:p>
        </w:tc>
        <w:tc>
          <w:tcPr>
            <w:tcW w:w="5386" w:type="dxa"/>
            <w:vAlign w:val="center"/>
          </w:tcPr>
          <w:p>
            <w:pPr>
              <w:pStyle w:val="13"/>
            </w:pPr>
            <w:r>
              <w:t>定期对各系统进行预防性日常维护</w:t>
            </w:r>
          </w:p>
        </w:tc>
        <w:tc>
          <w:tcPr>
            <w:tcW w:w="2268" w:type="dxa"/>
            <w:vAlign w:val="center"/>
          </w:tcPr>
          <w:p>
            <w:pPr>
              <w:pStyle w:val="13"/>
            </w:pPr>
            <w:r>
              <w:t>进一步提高运行质量</w:t>
            </w:r>
          </w:p>
        </w:tc>
        <w:tc>
          <w:tcPr>
            <w:tcW w:w="1276" w:type="dxa"/>
            <w:vAlign w:val="center"/>
          </w:tcPr>
          <w:p>
            <w:pPr>
              <w:pStyle w:val="13"/>
            </w:pPr>
            <w:r>
              <w:t>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群众对广播电视基本公共服务满意度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5、石家庄中波台绩效目标表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13010024P00881510001H</w:t>
            </w:r>
          </w:p>
        </w:tc>
        <w:tc>
          <w:tcPr>
            <w:tcW w:w="2835" w:type="dxa"/>
            <w:vAlign w:val="center"/>
          </w:tcPr>
          <w:p>
            <w:pPr>
              <w:pStyle w:val="11"/>
            </w:pPr>
            <w:r>
              <w:t>项目名称</w:t>
            </w:r>
          </w:p>
        </w:tc>
        <w:tc>
          <w:tcPr>
            <w:tcW w:w="6094" w:type="dxa"/>
            <w:gridSpan w:val="3"/>
            <w:vAlign w:val="center"/>
          </w:tcPr>
          <w:p>
            <w:pPr>
              <w:pStyle w:val="13"/>
            </w:pPr>
            <w:r>
              <w:t>石家庄中波台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用于广播发射设备维护经费及三个频率播出专项维护经费，确保广播信号有效覆盖，提高传播影响力，从面进一步提高社会效益。</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1.石家庄广播电视台中波台运行费，系统整体安全性得到进一步提升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运行机器</w:t>
            </w:r>
          </w:p>
          <w:p>
            <w:pPr>
              <w:pStyle w:val="13"/>
            </w:pPr>
          </w:p>
        </w:tc>
        <w:tc>
          <w:tcPr>
            <w:tcW w:w="5386" w:type="dxa"/>
            <w:vAlign w:val="center"/>
          </w:tcPr>
          <w:p>
            <w:pPr>
              <w:pStyle w:val="13"/>
            </w:pPr>
            <w:r>
              <w:t>发射机运行维护数量</w:t>
            </w:r>
          </w:p>
        </w:tc>
        <w:tc>
          <w:tcPr>
            <w:tcW w:w="2268" w:type="dxa"/>
            <w:vAlign w:val="center"/>
          </w:tcPr>
          <w:p>
            <w:pPr>
              <w:pStyle w:val="13"/>
            </w:pPr>
            <w:r>
              <w:t>6台</w:t>
            </w:r>
          </w:p>
        </w:tc>
        <w:tc>
          <w:tcPr>
            <w:tcW w:w="1276" w:type="dxa"/>
            <w:vAlign w:val="center"/>
          </w:tcPr>
          <w:p>
            <w:pPr>
              <w:pStyle w:val="13"/>
            </w:pPr>
            <w:r>
              <w:t>实际运行数量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满时间功率</w:t>
            </w:r>
          </w:p>
        </w:tc>
        <w:tc>
          <w:tcPr>
            <w:tcW w:w="5386" w:type="dxa"/>
            <w:vAlign w:val="center"/>
          </w:tcPr>
          <w:p>
            <w:pPr>
              <w:pStyle w:val="13"/>
            </w:pPr>
            <w:r>
              <w:t>发射机满功率满调制度播出率</w:t>
            </w:r>
          </w:p>
          <w:p>
            <w:pPr>
              <w:pStyle w:val="13"/>
            </w:pPr>
          </w:p>
        </w:tc>
        <w:tc>
          <w:tcPr>
            <w:tcW w:w="2268" w:type="dxa"/>
            <w:vAlign w:val="center"/>
          </w:tcPr>
          <w:p>
            <w:pPr>
              <w:pStyle w:val="13"/>
            </w:pPr>
            <w:r>
              <w:t>≥90%</w:t>
            </w:r>
          </w:p>
        </w:tc>
        <w:tc>
          <w:tcPr>
            <w:tcW w:w="1276" w:type="dxa"/>
            <w:vAlign w:val="center"/>
          </w:tcPr>
          <w:p>
            <w:pPr>
              <w:pStyle w:val="13"/>
            </w:pPr>
            <w:r>
              <w:t>设备运行情况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一年内</w:t>
            </w:r>
          </w:p>
          <w:p>
            <w:pPr>
              <w:pStyle w:val="13"/>
            </w:pPr>
          </w:p>
        </w:tc>
        <w:tc>
          <w:tcPr>
            <w:tcW w:w="5386" w:type="dxa"/>
            <w:vAlign w:val="center"/>
          </w:tcPr>
          <w:p>
            <w:pPr>
              <w:pStyle w:val="13"/>
            </w:pPr>
            <w:r>
              <w:t>一年以内完成</w:t>
            </w:r>
          </w:p>
        </w:tc>
        <w:tc>
          <w:tcPr>
            <w:tcW w:w="2268" w:type="dxa"/>
            <w:vAlign w:val="center"/>
          </w:tcPr>
          <w:p>
            <w:pPr>
              <w:pStyle w:val="13"/>
            </w:pPr>
            <w:r>
              <w:t>2024年12月31日</w:t>
            </w:r>
          </w:p>
        </w:tc>
        <w:tc>
          <w:tcPr>
            <w:tcW w:w="1276" w:type="dxa"/>
            <w:vAlign w:val="center"/>
          </w:tcPr>
          <w:p>
            <w:pPr>
              <w:pStyle w:val="13"/>
            </w:pPr>
            <w:r>
              <w:t>确保全年稳定运行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w:t>
            </w:r>
          </w:p>
          <w:p>
            <w:pPr>
              <w:pStyle w:val="13"/>
            </w:pPr>
          </w:p>
        </w:tc>
        <w:tc>
          <w:tcPr>
            <w:tcW w:w="5386" w:type="dxa"/>
            <w:vAlign w:val="center"/>
          </w:tcPr>
          <w:p>
            <w:pPr>
              <w:pStyle w:val="13"/>
            </w:pPr>
            <w:r>
              <w:t>控制在预算范围内</w:t>
            </w:r>
          </w:p>
          <w:p>
            <w:pPr>
              <w:pStyle w:val="13"/>
            </w:pPr>
          </w:p>
        </w:tc>
        <w:tc>
          <w:tcPr>
            <w:tcW w:w="2268" w:type="dxa"/>
            <w:vAlign w:val="center"/>
          </w:tcPr>
          <w:p>
            <w:pPr>
              <w:pStyle w:val="13"/>
            </w:pPr>
            <w:r>
              <w:t>12万元</w:t>
            </w:r>
          </w:p>
        </w:tc>
        <w:tc>
          <w:tcPr>
            <w:tcW w:w="1276" w:type="dxa"/>
            <w:vAlign w:val="center"/>
          </w:tcPr>
          <w:p>
            <w:pPr>
              <w:pStyle w:val="13"/>
            </w:pPr>
            <w:r>
              <w:t>收支预算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有效覆盖</w:t>
            </w:r>
          </w:p>
          <w:p>
            <w:pPr>
              <w:pStyle w:val="13"/>
            </w:pPr>
          </w:p>
        </w:tc>
        <w:tc>
          <w:tcPr>
            <w:tcW w:w="5386" w:type="dxa"/>
            <w:vAlign w:val="center"/>
          </w:tcPr>
          <w:p>
            <w:pPr>
              <w:pStyle w:val="13"/>
            </w:pPr>
            <w:r>
              <w:t>广播频率信号有效覆盖</w:t>
            </w:r>
          </w:p>
          <w:p>
            <w:pPr>
              <w:pStyle w:val="13"/>
            </w:pPr>
          </w:p>
        </w:tc>
        <w:tc>
          <w:tcPr>
            <w:tcW w:w="2268" w:type="dxa"/>
            <w:vAlign w:val="center"/>
          </w:tcPr>
          <w:p>
            <w:pPr>
              <w:pStyle w:val="13"/>
            </w:pPr>
            <w:r>
              <w:t>提高传播影响力</w:t>
            </w:r>
          </w:p>
        </w:tc>
        <w:tc>
          <w:tcPr>
            <w:tcW w:w="1276" w:type="dxa"/>
            <w:vAlign w:val="center"/>
          </w:tcPr>
          <w:p>
            <w:pPr>
              <w:pStyle w:val="13"/>
            </w:pPr>
            <w:r>
              <w:t>实际覆盖情况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确保运行</w:t>
            </w:r>
          </w:p>
          <w:p>
            <w:pPr>
              <w:pStyle w:val="13"/>
            </w:pPr>
          </w:p>
        </w:tc>
        <w:tc>
          <w:tcPr>
            <w:tcW w:w="5386" w:type="dxa"/>
            <w:vAlign w:val="center"/>
          </w:tcPr>
          <w:p>
            <w:pPr>
              <w:pStyle w:val="13"/>
            </w:pPr>
            <w:r>
              <w:t>定期对各系统进行预防性日常维护</w:t>
            </w:r>
          </w:p>
          <w:p>
            <w:pPr>
              <w:pStyle w:val="13"/>
            </w:pPr>
          </w:p>
        </w:tc>
        <w:tc>
          <w:tcPr>
            <w:tcW w:w="2268" w:type="dxa"/>
            <w:vAlign w:val="center"/>
          </w:tcPr>
          <w:p>
            <w:pPr>
              <w:pStyle w:val="13"/>
            </w:pPr>
            <w:r>
              <w:t>进一步提高运行质量</w:t>
            </w:r>
          </w:p>
        </w:tc>
        <w:tc>
          <w:tcPr>
            <w:tcW w:w="1276" w:type="dxa"/>
            <w:vAlign w:val="center"/>
          </w:tcPr>
          <w:p>
            <w:pPr>
              <w:pStyle w:val="13"/>
            </w:pPr>
            <w:r>
              <w:t>运行情况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投诉率</w:t>
            </w:r>
          </w:p>
        </w:tc>
        <w:tc>
          <w:tcPr>
            <w:tcW w:w="5386" w:type="dxa"/>
            <w:vAlign w:val="center"/>
          </w:tcPr>
          <w:p>
            <w:pPr>
              <w:pStyle w:val="13"/>
            </w:pPr>
            <w:r>
              <w:t>因广播节目信号不佳造成的听众投诉率</w:t>
            </w:r>
          </w:p>
        </w:tc>
        <w:tc>
          <w:tcPr>
            <w:tcW w:w="2268" w:type="dxa"/>
            <w:vAlign w:val="center"/>
          </w:tcPr>
          <w:p>
            <w:pPr>
              <w:pStyle w:val="13"/>
            </w:pPr>
            <w:r>
              <w:t>≤10%</w:t>
            </w:r>
          </w:p>
        </w:tc>
        <w:tc>
          <w:tcPr>
            <w:tcW w:w="1276" w:type="dxa"/>
            <w:vAlign w:val="center"/>
          </w:tcPr>
          <w:p>
            <w:pPr>
              <w:pStyle w:val="13"/>
            </w:pPr>
            <w:r>
              <w:t>实际收听情况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6、专项债券付息服务费绩效目标表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13010023P009810100019</w:t>
            </w:r>
          </w:p>
        </w:tc>
        <w:tc>
          <w:tcPr>
            <w:tcW w:w="2835" w:type="dxa"/>
            <w:vAlign w:val="center"/>
          </w:tcPr>
          <w:p>
            <w:pPr>
              <w:pStyle w:val="11"/>
            </w:pPr>
            <w:r>
              <w:t>项目名称</w:t>
            </w:r>
          </w:p>
        </w:tc>
        <w:tc>
          <w:tcPr>
            <w:tcW w:w="6094" w:type="dxa"/>
            <w:gridSpan w:val="3"/>
            <w:vAlign w:val="center"/>
          </w:tcPr>
          <w:p>
            <w:pPr>
              <w:pStyle w:val="13"/>
            </w:pPr>
            <w:r>
              <w:t>专项债券付息服务费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发行了债券4000万元，债券付息服务费100元，以最小的资金提高使用效率，保证电视台的正常运行。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1.媒体融合基础设施提升改造债券付息服务费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100元</w:t>
            </w:r>
          </w:p>
        </w:tc>
        <w:tc>
          <w:tcPr>
            <w:tcW w:w="5386" w:type="dxa"/>
            <w:vAlign w:val="center"/>
          </w:tcPr>
          <w:p>
            <w:pPr>
              <w:pStyle w:val="13"/>
            </w:pPr>
            <w:r>
              <w:t>使用专项债券4000万元支付的手续费</w:t>
            </w:r>
          </w:p>
        </w:tc>
        <w:tc>
          <w:tcPr>
            <w:tcW w:w="2268" w:type="dxa"/>
            <w:vAlign w:val="center"/>
          </w:tcPr>
          <w:p>
            <w:pPr>
              <w:pStyle w:val="13"/>
            </w:pPr>
            <w:r>
              <w:t>100元</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付款情况</w:t>
            </w:r>
          </w:p>
        </w:tc>
        <w:tc>
          <w:tcPr>
            <w:tcW w:w="5386" w:type="dxa"/>
            <w:vAlign w:val="center"/>
          </w:tcPr>
          <w:p>
            <w:pPr>
              <w:pStyle w:val="13"/>
            </w:pPr>
            <w:r>
              <w:t>按规定足额支付</w:t>
            </w:r>
          </w:p>
        </w:tc>
        <w:tc>
          <w:tcPr>
            <w:tcW w:w="2268" w:type="dxa"/>
            <w:vAlign w:val="center"/>
          </w:tcPr>
          <w:p>
            <w:pPr>
              <w:pStyle w:val="13"/>
            </w:pPr>
            <w:r>
              <w:t>100%</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规定时间内完成</w:t>
            </w:r>
          </w:p>
        </w:tc>
        <w:tc>
          <w:tcPr>
            <w:tcW w:w="2268" w:type="dxa"/>
            <w:vAlign w:val="center"/>
          </w:tcPr>
          <w:p>
            <w:pPr>
              <w:pStyle w:val="13"/>
            </w:pPr>
            <w:r>
              <w:t>100%</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预算内</w:t>
            </w:r>
          </w:p>
        </w:tc>
        <w:tc>
          <w:tcPr>
            <w:tcW w:w="5386" w:type="dxa"/>
            <w:vAlign w:val="center"/>
          </w:tcPr>
          <w:p>
            <w:pPr>
              <w:pStyle w:val="13"/>
            </w:pPr>
            <w:r>
              <w:t>控制在预算范围内</w:t>
            </w:r>
          </w:p>
        </w:tc>
        <w:tc>
          <w:tcPr>
            <w:tcW w:w="2268" w:type="dxa"/>
            <w:vAlign w:val="center"/>
          </w:tcPr>
          <w:p>
            <w:pPr>
              <w:pStyle w:val="13"/>
            </w:pPr>
            <w:r>
              <w:t>100元</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促进电视台业务转型升级，媒体融合业务可持续发展</w:t>
            </w:r>
          </w:p>
        </w:tc>
        <w:tc>
          <w:tcPr>
            <w:tcW w:w="5386" w:type="dxa"/>
            <w:vAlign w:val="center"/>
          </w:tcPr>
          <w:p>
            <w:pPr>
              <w:pStyle w:val="13"/>
            </w:pPr>
            <w:r>
              <w:t>以各种形式经媒体公开发表的新闻报道</w:t>
            </w:r>
          </w:p>
        </w:tc>
        <w:tc>
          <w:tcPr>
            <w:tcW w:w="2268" w:type="dxa"/>
            <w:vAlign w:val="center"/>
          </w:tcPr>
          <w:p>
            <w:pPr>
              <w:pStyle w:val="13"/>
            </w:pPr>
            <w:r>
              <w:t>持续增长</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债券付息服务</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使用满意度</w:t>
            </w:r>
          </w:p>
        </w:tc>
        <w:tc>
          <w:tcPr>
            <w:tcW w:w="2268" w:type="dxa"/>
            <w:vAlign w:val="center"/>
          </w:tcPr>
          <w:p>
            <w:pPr>
              <w:pStyle w:val="13"/>
              <w:rPr>
                <w:rFonts w:hint="eastAsia" w:eastAsia="方正书宋_GBK"/>
                <w:lang w:eastAsia="zh-CN"/>
              </w:rPr>
            </w:pPr>
            <w:r>
              <w:t>≥95</w:t>
            </w:r>
            <w:r>
              <w:rPr>
                <w:rFonts w:hint="eastAsia"/>
                <w:lang w:val="en-US" w:eastAsia="zh-CN"/>
              </w:rPr>
              <w:t>%</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7、专项债券利息绩效目标表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13010023P00951310003A</w:t>
            </w:r>
          </w:p>
        </w:tc>
        <w:tc>
          <w:tcPr>
            <w:tcW w:w="2835" w:type="dxa"/>
            <w:vAlign w:val="center"/>
          </w:tcPr>
          <w:p>
            <w:pPr>
              <w:pStyle w:val="11"/>
            </w:pPr>
            <w:r>
              <w:t>项目名称</w:t>
            </w:r>
          </w:p>
        </w:tc>
        <w:tc>
          <w:tcPr>
            <w:tcW w:w="6094" w:type="dxa"/>
            <w:gridSpan w:val="3"/>
            <w:vAlign w:val="center"/>
          </w:tcPr>
          <w:p>
            <w:pPr>
              <w:pStyle w:val="13"/>
            </w:pPr>
            <w:r>
              <w:t>专项债券利息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136.80</w:t>
            </w:r>
          </w:p>
        </w:tc>
        <w:tc>
          <w:tcPr>
            <w:tcW w:w="2835" w:type="dxa"/>
            <w:vAlign w:val="center"/>
          </w:tcPr>
          <w:p>
            <w:pPr>
              <w:pStyle w:val="11"/>
            </w:pPr>
            <w:r>
              <w:t>其中：财政    资金</w:t>
            </w:r>
          </w:p>
        </w:tc>
        <w:tc>
          <w:tcPr>
            <w:tcW w:w="2551" w:type="dxa"/>
            <w:vAlign w:val="center"/>
          </w:tcPr>
          <w:p>
            <w:pPr>
              <w:pStyle w:val="13"/>
            </w:pPr>
            <w:r>
              <w:t>136.80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发行债券4000万元，136.8万元用于支付发行债券的利息。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1.保证资金的正常运转 ，支付债券付息，提高资金的使用效益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发行债券4000万元</w:t>
            </w:r>
          </w:p>
        </w:tc>
        <w:tc>
          <w:tcPr>
            <w:tcW w:w="5386" w:type="dxa"/>
            <w:vAlign w:val="center"/>
          </w:tcPr>
          <w:p>
            <w:pPr>
              <w:pStyle w:val="13"/>
            </w:pPr>
            <w:r>
              <w:t>使用专项债券4000万元的利息</w:t>
            </w:r>
          </w:p>
        </w:tc>
        <w:tc>
          <w:tcPr>
            <w:tcW w:w="2268" w:type="dxa"/>
            <w:vAlign w:val="center"/>
          </w:tcPr>
          <w:p>
            <w:pPr>
              <w:pStyle w:val="13"/>
            </w:pPr>
            <w:r>
              <w:t>136.8万元</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执行情况</w:t>
            </w:r>
          </w:p>
        </w:tc>
        <w:tc>
          <w:tcPr>
            <w:tcW w:w="5386" w:type="dxa"/>
            <w:vAlign w:val="center"/>
          </w:tcPr>
          <w:p>
            <w:pPr>
              <w:pStyle w:val="13"/>
            </w:pPr>
            <w:r>
              <w:t>按规定时间足额偿还</w:t>
            </w:r>
          </w:p>
        </w:tc>
        <w:tc>
          <w:tcPr>
            <w:tcW w:w="2268" w:type="dxa"/>
            <w:vAlign w:val="center"/>
          </w:tcPr>
          <w:p>
            <w:pPr>
              <w:pStyle w:val="13"/>
            </w:pPr>
            <w:r>
              <w:t>100%</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一年以内</w:t>
            </w:r>
          </w:p>
        </w:tc>
        <w:tc>
          <w:tcPr>
            <w:tcW w:w="5386" w:type="dxa"/>
            <w:vAlign w:val="center"/>
          </w:tcPr>
          <w:p>
            <w:pPr>
              <w:pStyle w:val="13"/>
            </w:pPr>
            <w:r>
              <w:t>按规定时间内支付率</w:t>
            </w:r>
          </w:p>
        </w:tc>
        <w:tc>
          <w:tcPr>
            <w:tcW w:w="2268" w:type="dxa"/>
            <w:vAlign w:val="center"/>
          </w:tcPr>
          <w:p>
            <w:pPr>
              <w:pStyle w:val="13"/>
            </w:pPr>
            <w:r>
              <w:t>100%</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预算范围内</w:t>
            </w:r>
          </w:p>
        </w:tc>
        <w:tc>
          <w:tcPr>
            <w:tcW w:w="5386" w:type="dxa"/>
            <w:vAlign w:val="center"/>
          </w:tcPr>
          <w:p>
            <w:pPr>
              <w:pStyle w:val="13"/>
            </w:pPr>
            <w:r>
              <w:t>控制在预算成本范围内</w:t>
            </w:r>
          </w:p>
        </w:tc>
        <w:tc>
          <w:tcPr>
            <w:tcW w:w="2268" w:type="dxa"/>
            <w:vAlign w:val="center"/>
          </w:tcPr>
          <w:p>
            <w:pPr>
              <w:pStyle w:val="13"/>
            </w:pPr>
            <w:r>
              <w:t>136.8万元</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资金最大化</w:t>
            </w:r>
          </w:p>
        </w:tc>
        <w:tc>
          <w:tcPr>
            <w:tcW w:w="5386" w:type="dxa"/>
            <w:vAlign w:val="center"/>
          </w:tcPr>
          <w:p>
            <w:pPr>
              <w:pStyle w:val="13"/>
            </w:pPr>
            <w:r>
              <w:t>使用最小资金</w:t>
            </w:r>
          </w:p>
        </w:tc>
        <w:tc>
          <w:tcPr>
            <w:tcW w:w="2268" w:type="dxa"/>
            <w:vAlign w:val="center"/>
          </w:tcPr>
          <w:p>
            <w:pPr>
              <w:pStyle w:val="13"/>
            </w:pPr>
            <w:r>
              <w:t>获得最大效益</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完成任务</w:t>
            </w:r>
          </w:p>
        </w:tc>
        <w:tc>
          <w:tcPr>
            <w:tcW w:w="5386" w:type="dxa"/>
            <w:vAlign w:val="center"/>
          </w:tcPr>
          <w:p>
            <w:pPr>
              <w:pStyle w:val="13"/>
            </w:pPr>
            <w:r>
              <w:t>完成利息付款任务</w:t>
            </w:r>
          </w:p>
        </w:tc>
        <w:tc>
          <w:tcPr>
            <w:tcW w:w="2268" w:type="dxa"/>
            <w:vAlign w:val="center"/>
          </w:tcPr>
          <w:p>
            <w:pPr>
              <w:pStyle w:val="13"/>
            </w:pPr>
            <w:r>
              <w:t>完成任务</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缓解资金压力</w:t>
            </w:r>
          </w:p>
        </w:tc>
        <w:tc>
          <w:tcPr>
            <w:tcW w:w="5386" w:type="dxa"/>
            <w:vAlign w:val="center"/>
          </w:tcPr>
          <w:p>
            <w:pPr>
              <w:pStyle w:val="13"/>
            </w:pPr>
            <w:r>
              <w:t>缓解了台里的资金压力</w:t>
            </w:r>
          </w:p>
        </w:tc>
        <w:tc>
          <w:tcPr>
            <w:tcW w:w="2268" w:type="dxa"/>
            <w:vAlign w:val="center"/>
          </w:tcPr>
          <w:p>
            <w:pPr>
              <w:pStyle w:val="13"/>
            </w:pPr>
            <w:r>
              <w:t>电视台工作可持续运行</w:t>
            </w:r>
          </w:p>
        </w:tc>
        <w:tc>
          <w:tcPr>
            <w:tcW w:w="1276" w:type="dxa"/>
            <w:vAlign w:val="center"/>
          </w:tcPr>
          <w:p>
            <w:pPr>
              <w:pStyle w:val="13"/>
            </w:pPr>
            <w:r>
              <w:t>市委市政府相关文件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付款情况满意度</w:t>
            </w:r>
          </w:p>
        </w:tc>
        <w:tc>
          <w:tcPr>
            <w:tcW w:w="2268" w:type="dxa"/>
            <w:vAlign w:val="center"/>
          </w:tcPr>
          <w:p>
            <w:pPr>
              <w:pStyle w:val="13"/>
              <w:rPr>
                <w:rFonts w:hint="eastAsia" w:eastAsia="方正书宋_GBK"/>
                <w:lang w:eastAsia="zh-CN"/>
              </w:rPr>
            </w:pPr>
            <w:r>
              <w:t>≥98</w:t>
            </w:r>
            <w:r>
              <w:rPr>
                <w:rFonts w:hint="eastAsia"/>
                <w:lang w:val="en-US" w:eastAsia="zh-CN"/>
              </w:rPr>
              <w:t>%</w:t>
            </w:r>
          </w:p>
        </w:tc>
        <w:tc>
          <w:tcPr>
            <w:tcW w:w="1276" w:type="dxa"/>
            <w:vAlign w:val="center"/>
          </w:tcPr>
          <w:p>
            <w:pPr>
              <w:pStyle w:val="13"/>
            </w:pPr>
            <w:r>
              <w:t>市委市政府相关文件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359石家庄广播电视台</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2585.00</w:t>
            </w:r>
          </w:p>
        </w:tc>
        <w:tc>
          <w:tcPr>
            <w:tcW w:w="964" w:type="dxa"/>
            <w:vAlign w:val="center"/>
          </w:tcPr>
          <w:p>
            <w:pPr>
              <w:pStyle w:val="16"/>
            </w:pPr>
            <w:r>
              <w:t>2585.00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石家庄广播电视台本级小计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2585.00</w:t>
            </w:r>
          </w:p>
        </w:tc>
        <w:tc>
          <w:tcPr>
            <w:tcW w:w="964" w:type="dxa"/>
            <w:vAlign w:val="center"/>
          </w:tcPr>
          <w:p>
            <w:pPr>
              <w:pStyle w:val="16"/>
            </w:pPr>
            <w:r>
              <w:t>2585.00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公益节目购买制作费</w:t>
            </w:r>
          </w:p>
        </w:tc>
        <w:tc>
          <w:tcPr>
            <w:tcW w:w="964" w:type="dxa"/>
            <w:vAlign w:val="center"/>
          </w:tcPr>
          <w:p>
            <w:pPr>
              <w:pStyle w:val="12"/>
            </w:pPr>
            <w:r>
              <w:t>2000.00</w:t>
            </w:r>
          </w:p>
        </w:tc>
        <w:tc>
          <w:tcPr>
            <w:tcW w:w="1134" w:type="dxa"/>
            <w:vAlign w:val="center"/>
          </w:tcPr>
          <w:p>
            <w:pPr>
              <w:pStyle w:val="13"/>
            </w:pPr>
            <w:r>
              <w:t>广播电视传输服务</w:t>
            </w:r>
          </w:p>
        </w:tc>
        <w:tc>
          <w:tcPr>
            <w:tcW w:w="1134" w:type="dxa"/>
            <w:vAlign w:val="center"/>
          </w:tcPr>
          <w:p>
            <w:pPr>
              <w:pStyle w:val="13"/>
            </w:pPr>
            <w:r>
              <w:t>C06020500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2000.00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融媒体建设补助资金</w:t>
            </w:r>
          </w:p>
        </w:tc>
        <w:tc>
          <w:tcPr>
            <w:tcW w:w="964" w:type="dxa"/>
            <w:vAlign w:val="center"/>
          </w:tcPr>
          <w:p>
            <w:pPr>
              <w:pStyle w:val="12"/>
            </w:pPr>
            <w:r>
              <w:t>800.00</w:t>
            </w:r>
          </w:p>
        </w:tc>
        <w:tc>
          <w:tcPr>
            <w:tcW w:w="1134" w:type="dxa"/>
            <w:vAlign w:val="center"/>
          </w:tcPr>
          <w:p>
            <w:pPr>
              <w:pStyle w:val="13"/>
            </w:pPr>
            <w:r>
              <w:t>广播、电视、电影设备零部件</w:t>
            </w:r>
          </w:p>
        </w:tc>
        <w:tc>
          <w:tcPr>
            <w:tcW w:w="1134" w:type="dxa"/>
            <w:vAlign w:val="center"/>
          </w:tcPr>
          <w:p>
            <w:pPr>
              <w:pStyle w:val="13"/>
            </w:pPr>
            <w:r>
              <w:t>A02091900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185.00</w:t>
            </w:r>
          </w:p>
        </w:tc>
        <w:tc>
          <w:tcPr>
            <w:tcW w:w="964" w:type="dxa"/>
            <w:vAlign w:val="center"/>
          </w:tcPr>
          <w:p>
            <w:pPr>
              <w:pStyle w:val="12"/>
            </w:pPr>
            <w:r>
              <w:t>185.00</w:t>
            </w:r>
          </w:p>
        </w:tc>
        <w:tc>
          <w:tcPr>
            <w:tcW w:w="964" w:type="dxa"/>
            <w:vAlign w:val="center"/>
          </w:tcPr>
          <w:p>
            <w:pPr>
              <w:pStyle w:val="12"/>
            </w:pPr>
            <w:r>
              <w:t>185.00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融媒体建设补助资金</w:t>
            </w:r>
          </w:p>
        </w:tc>
        <w:tc>
          <w:tcPr>
            <w:tcW w:w="964" w:type="dxa"/>
            <w:vAlign w:val="center"/>
          </w:tcPr>
          <w:p>
            <w:pPr>
              <w:pStyle w:val="12"/>
            </w:pPr>
            <w:r>
              <w:t>800.00</w:t>
            </w:r>
          </w:p>
        </w:tc>
        <w:tc>
          <w:tcPr>
            <w:tcW w:w="1134" w:type="dxa"/>
            <w:vAlign w:val="center"/>
          </w:tcPr>
          <w:p>
            <w:pPr>
              <w:pStyle w:val="13"/>
            </w:pPr>
            <w:r>
              <w:t>其他广播、电视、电影设备</w:t>
            </w:r>
          </w:p>
        </w:tc>
        <w:tc>
          <w:tcPr>
            <w:tcW w:w="1134" w:type="dxa"/>
            <w:vAlign w:val="center"/>
          </w:tcPr>
          <w:p>
            <w:pPr>
              <w:pStyle w:val="13"/>
            </w:pPr>
            <w:r>
              <w:t>A02099900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石家庄广播电视台（含所属单位）上年末固定资产金额为</w:t>
      </w:r>
      <w:r>
        <w:rPr>
          <w:rFonts w:hint="eastAsia" w:eastAsia="方正仿宋_GBK" w:cs="Times New Roman"/>
          <w:b w:val="0"/>
          <w:color w:val="000000"/>
          <w:sz w:val="28"/>
          <w:highlight w:val="none"/>
          <w:lang w:val="en-US" w:eastAsia="zh-CN"/>
        </w:rPr>
        <w:t>70489.20</w:t>
      </w:r>
      <w:r>
        <w:rPr>
          <w:rFonts w:ascii="Times New Roman" w:hAnsi="Times New Roman" w:eastAsia="方正仿宋_GBK" w:cs="Times New Roman"/>
          <w:b w:val="0"/>
          <w:color w:val="000000"/>
          <w:sz w:val="28"/>
          <w:highlight w:val="none"/>
        </w:rPr>
        <w:t>万元</w:t>
      </w:r>
      <w:r>
        <w:rPr>
          <w:rFonts w:ascii="Times New Roman" w:hAnsi="Times New Roman" w:eastAsia="方正仿宋_GBK" w:cs="Times New Roman"/>
          <w:b w:val="0"/>
          <w:color w:val="000000"/>
          <w:sz w:val="28"/>
        </w:rPr>
        <w:t>（详见下表）。本年度拟购置固定资产总额为0.00万元，已按要求列入政府采购预算，详见政府采购预算表。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359石家庄广播电视台</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房屋建筑物</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10</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47198.50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设备（除车辆）</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6788</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29661.10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车辆</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20</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367.06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ind w:firstLine="0" w:firstLineChars="0"/>
              <w:rPr>
                <w:rFonts w:hint="eastAsia" w:ascii="方正书宋_GBK" w:hAnsi="方正书宋_GBK" w:eastAsia="方正书宋_GBK" w:cs="方正书宋_GBK"/>
                <w:sz w:val="21"/>
                <w:szCs w:val="24"/>
                <w:highlight w:val="none"/>
                <w:lang w:val="en-US" w:eastAsia="zh-CN" w:bidi="ar-SA"/>
              </w:rPr>
            </w:pPr>
            <w:r>
              <w:rPr>
                <w:rFonts w:hint="eastAsia"/>
                <w:highlight w:val="none"/>
                <w:lang w:eastAsia="zh-CN"/>
              </w:rPr>
              <w:t>家具</w:t>
            </w:r>
          </w:p>
        </w:tc>
        <w:tc>
          <w:tcPr>
            <w:tcW w:w="4933" w:type="dxa"/>
            <w:vAlign w:val="center"/>
          </w:tcPr>
          <w:p>
            <w:pPr>
              <w:pStyle w:val="14"/>
              <w:rPr>
                <w:rFonts w:hint="default" w:eastAsia="方正书宋_GBK"/>
                <w:highlight w:val="none"/>
                <w:lang w:val="en-US" w:eastAsia="zh-CN"/>
              </w:rPr>
            </w:pPr>
            <w:r>
              <w:rPr>
                <w:rFonts w:hint="eastAsia"/>
                <w:highlight w:val="none"/>
                <w:lang w:val="en-US" w:eastAsia="zh-CN"/>
              </w:rPr>
              <w:t>870</w:t>
            </w:r>
          </w:p>
        </w:tc>
        <w:tc>
          <w:tcPr>
            <w:tcW w:w="4933" w:type="dxa"/>
            <w:vAlign w:val="center"/>
          </w:tcPr>
          <w:p>
            <w:pPr>
              <w:pStyle w:val="12"/>
              <w:rPr>
                <w:rFonts w:hint="default" w:eastAsia="方正书宋_GBK"/>
                <w:highlight w:val="none"/>
                <w:lang w:val="en-US" w:eastAsia="zh-CN"/>
              </w:rPr>
            </w:pPr>
            <w:r>
              <w:rPr>
                <w:rFonts w:hint="eastAsia"/>
                <w:highlight w:val="none"/>
                <w:lang w:val="en-US" w:eastAsia="zh-CN"/>
              </w:rPr>
              <w:t>425.34</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8CFF40"/>
    <w:multiLevelType w:val="singleLevel"/>
    <w:tmpl w:val="BF8CFF4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06733BD7"/>
    <w:rsid w:val="0BED77CE"/>
    <w:rsid w:val="15F0598A"/>
    <w:rsid w:val="2E6553F2"/>
    <w:rsid w:val="2FF72A0E"/>
    <w:rsid w:val="355100B6"/>
    <w:rsid w:val="414E12FA"/>
    <w:rsid w:val="43023CB2"/>
    <w:rsid w:val="449B1D2B"/>
    <w:rsid w:val="543420F5"/>
    <w:rsid w:val="55282B3C"/>
    <w:rsid w:val="565F6F47"/>
    <w:rsid w:val="568344A3"/>
    <w:rsid w:val="59C74AA1"/>
    <w:rsid w:val="5A0C4C53"/>
    <w:rsid w:val="5BEA08FF"/>
    <w:rsid w:val="5C1D1300"/>
    <w:rsid w:val="5CA97A1B"/>
    <w:rsid w:val="6237131C"/>
    <w:rsid w:val="65537E90"/>
    <w:rsid w:val="6F5B0F22"/>
    <w:rsid w:val="7DEB6659"/>
    <w:rsid w:val="7E220F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2024-02-01T11:04:14Z</dcterms:created>
  <dcterms:modified xsi:type="dcterms:W3CDTF">2024-02-01T03:04:14Z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2024-02-01T11:04:15Z</dcterms:created>
  <dcterms:modified xsi:type="dcterms:W3CDTF">2024-02-01T03:04:15Z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2024-02-01T11:04:15Z</dcterms:created>
  <dcterms:modified xsi:type="dcterms:W3CDTF">2024-02-01T03:04:15Z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2024-02-01T11:04:16Z</dcterms:created>
  <dcterms:modified xsi:type="dcterms:W3CDTF">2024-02-01T03:04:16Z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2024-02-01T11:04:13Z</dcterms:created>
  <dcterms:modified xsi:type="dcterms:W3CDTF">2024-02-01T03:04:13Z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2024-02-01T11:04:12Z</dcterms:created>
  <dcterms:modified xsi:type="dcterms:W3CDTF">2024-02-01T03:04:12Z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2024-02-01T11:04:12Z</dcterms:created>
  <dcterms:modified xsi:type="dcterms:W3CDTF">2024-02-01T03:04:12Z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2024-02-01T11:04:13Z</dcterms:created>
  <dcterms:modified xsi:type="dcterms:W3CDTF">2024-02-01T03:04:13Z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2024-02-01T11:04:10Z</dcterms:created>
  <dcterms:modified xsi:type="dcterms:W3CDTF">2024-02-01T03:04:10Z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2024-02-01T11:04:13Z</dcterms:created>
  <dcterms:modified xsi:type="dcterms:W3CDTF">2024-02-01T03:04:13Z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2024-02-01T11:04:14Z</dcterms:created>
  <dcterms:modified xsi:type="dcterms:W3CDTF">2024-02-01T03:04:14Z</dcterms:modified>
</cp:coreProperties>
</file>

<file path=customXml/itemProps1.xml><?xml version="1.0" encoding="utf-8"?>
<ds:datastoreItem xmlns:ds="http://schemas.openxmlformats.org/officeDocument/2006/customXml" ds:itemID="{b4e634b9-e9ae-437e-bc76-21cec661c877}">
  <ds:schemaRefs/>
</ds:datastoreItem>
</file>

<file path=customXml/itemProps10.xml><?xml version="1.0" encoding="utf-8"?>
<ds:datastoreItem xmlns:ds="http://schemas.openxmlformats.org/officeDocument/2006/customXml" ds:itemID="{d4131315-4ec8-480c-b7f7-e7df85385477}">
  <ds:schemaRefs/>
</ds:datastoreItem>
</file>

<file path=customXml/itemProps11.xml><?xml version="1.0" encoding="utf-8"?>
<ds:datastoreItem xmlns:ds="http://schemas.openxmlformats.org/officeDocument/2006/customXml" ds:itemID="{9daad7b3-937b-48ce-8197-8f2bb43f311b}">
  <ds:schemaRefs/>
</ds:datastoreItem>
</file>

<file path=customXml/itemProps12.xml><?xml version="1.0" encoding="utf-8"?>
<ds:datastoreItem xmlns:ds="http://schemas.openxmlformats.org/officeDocument/2006/customXml" ds:itemID="{fe41db6c-0f64-4d48-a078-e3d3a81febcc}">
  <ds:schemaRefs/>
</ds:datastoreItem>
</file>

<file path=customXml/itemProps13.xml><?xml version="1.0" encoding="utf-8"?>
<ds:datastoreItem xmlns:ds="http://schemas.openxmlformats.org/officeDocument/2006/customXml" ds:itemID="{70d0119b-2d44-434d-ac6a-f421f35a4d12}">
  <ds:schemaRefs/>
</ds:datastoreItem>
</file>

<file path=customXml/itemProps14.xml><?xml version="1.0" encoding="utf-8"?>
<ds:datastoreItem xmlns:ds="http://schemas.openxmlformats.org/officeDocument/2006/customXml" ds:itemID="{0a5619ac-7ab6-4035-81a9-4d36d6f9d5b0}">
  <ds:schemaRefs/>
</ds:datastoreItem>
</file>

<file path=customXml/itemProps15.xml><?xml version="1.0" encoding="utf-8"?>
<ds:datastoreItem xmlns:ds="http://schemas.openxmlformats.org/officeDocument/2006/customXml" ds:itemID="{f1072c96-3b85-413c-b520-131940aca93c}">
  <ds:schemaRefs/>
</ds:datastoreItem>
</file>

<file path=customXml/itemProps16.xml><?xml version="1.0" encoding="utf-8"?>
<ds:datastoreItem xmlns:ds="http://schemas.openxmlformats.org/officeDocument/2006/customXml" ds:itemID="{66a7d01b-b6f1-4939-a560-ba04460b6c1d}">
  <ds:schemaRefs/>
</ds:datastoreItem>
</file>

<file path=customXml/itemProps17.xml><?xml version="1.0" encoding="utf-8"?>
<ds:datastoreItem xmlns:ds="http://schemas.openxmlformats.org/officeDocument/2006/customXml" ds:itemID="{f1aba0c4-46e0-41a9-becb-129cd9028741}">
  <ds:schemaRefs/>
</ds:datastoreItem>
</file>

<file path=customXml/itemProps18.xml><?xml version="1.0" encoding="utf-8"?>
<ds:datastoreItem xmlns:ds="http://schemas.openxmlformats.org/officeDocument/2006/customXml" ds:itemID="{d2f94ba9-543b-49a7-9daf-aac1057e969a}">
  <ds:schemaRefs/>
</ds:datastoreItem>
</file>

<file path=customXml/itemProps19.xml><?xml version="1.0" encoding="utf-8"?>
<ds:datastoreItem xmlns:ds="http://schemas.openxmlformats.org/officeDocument/2006/customXml" ds:itemID="{c40a41fe-4b68-4249-9702-d1cd6fc7e27b}">
  <ds:schemaRefs/>
</ds:datastoreItem>
</file>

<file path=customXml/itemProps2.xml><?xml version="1.0" encoding="utf-8"?>
<ds:datastoreItem xmlns:ds="http://schemas.openxmlformats.org/officeDocument/2006/customXml" ds:itemID="{ca0f2fa7-5803-48c5-9d58-7eee27aa2fb3}">
  <ds:schemaRefs/>
</ds:datastoreItem>
</file>

<file path=customXml/itemProps20.xml><?xml version="1.0" encoding="utf-8"?>
<ds:datastoreItem xmlns:ds="http://schemas.openxmlformats.org/officeDocument/2006/customXml" ds:itemID="{781476da-d8e7-4f3f-9bff-25792d5911bc}">
  <ds:schemaRefs/>
</ds:datastoreItem>
</file>

<file path=customXml/itemProps21.xml><?xml version="1.0" encoding="utf-8"?>
<ds:datastoreItem xmlns:ds="http://schemas.openxmlformats.org/officeDocument/2006/customXml" ds:itemID="{16ae7985-7c1b-4adb-a76f-a37a8a206de3}">
  <ds:schemaRefs/>
</ds:datastoreItem>
</file>

<file path=customXml/itemProps22.xml><?xml version="1.0" encoding="utf-8"?>
<ds:datastoreItem xmlns:ds="http://schemas.openxmlformats.org/officeDocument/2006/customXml" ds:itemID="{fbcf8183-c8b2-427b-b036-3690a6b75cce}">
  <ds:schemaRefs/>
</ds:datastoreItem>
</file>

<file path=customXml/itemProps3.xml><?xml version="1.0" encoding="utf-8"?>
<ds:datastoreItem xmlns:ds="http://schemas.openxmlformats.org/officeDocument/2006/customXml" ds:itemID="{e8d33dcc-1ab6-4180-8873-38b418f6a5bf}">
  <ds:schemaRefs/>
</ds:datastoreItem>
</file>

<file path=customXml/itemProps4.xml><?xml version="1.0" encoding="utf-8"?>
<ds:datastoreItem xmlns:ds="http://schemas.openxmlformats.org/officeDocument/2006/customXml" ds:itemID="{e373122d-3672-4c2e-a344-0e17aa62a96f}">
  <ds:schemaRefs/>
</ds:datastoreItem>
</file>

<file path=customXml/itemProps5.xml><?xml version="1.0" encoding="utf-8"?>
<ds:datastoreItem xmlns:ds="http://schemas.openxmlformats.org/officeDocument/2006/customXml" ds:itemID="{df9fd131-a86e-4b8a-9894-517307b20112}">
  <ds:schemaRefs/>
</ds:datastoreItem>
</file>

<file path=customXml/itemProps6.xml><?xml version="1.0" encoding="utf-8"?>
<ds:datastoreItem xmlns:ds="http://schemas.openxmlformats.org/officeDocument/2006/customXml" ds:itemID="{f7e232cc-0506-44dc-9e70-f2d9f6e05e5c}">
  <ds:schemaRefs/>
</ds:datastoreItem>
</file>

<file path=customXml/itemProps7.xml><?xml version="1.0" encoding="utf-8"?>
<ds:datastoreItem xmlns:ds="http://schemas.openxmlformats.org/officeDocument/2006/customXml" ds:itemID="{6fe3c5d6-6fc9-4676-ac1b-4d4869a27a24}">
  <ds:schemaRefs/>
</ds:datastoreItem>
</file>

<file path=customXml/itemProps8.xml><?xml version="1.0" encoding="utf-8"?>
<ds:datastoreItem xmlns:ds="http://schemas.openxmlformats.org/officeDocument/2006/customXml" ds:itemID="{ae90d67c-4785-4a42-915e-ce123c7aa0c0}">
  <ds:schemaRefs/>
</ds:datastoreItem>
</file>

<file path=customXml/itemProps9.xml><?xml version="1.0" encoding="utf-8"?>
<ds:datastoreItem xmlns:ds="http://schemas.openxmlformats.org/officeDocument/2006/customXml" ds:itemID="{b1e62785-3a01-4174-a568-07b4bd2f01f0}">
  <ds:schemaRefs/>
</ds:datastoreItem>
</file>

<file path=docProps/app.xml><?xml version="1.0" encoding="utf-8"?>
<Properties xmlns="http://schemas.openxmlformats.org/officeDocument/2006/extended-properties" xmlns:vt="http://schemas.openxmlformats.org/officeDocument/2006/docPropsVTypes">
  <TotalTime>52</TotalTime>
  <ScaleCrop>false</ScaleCrop>
  <LinksUpToDate>false</LinksUpToDate>
  <Application>WPS Office_11.8.2.11734_F1E327BC-269C-435d-A152-05C5408002CA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2024-02-01T11:04:00Z</dcterms:created>
  <dc:creator>Administrator</dc:creator>
  <cp:lastModifiedBy>冯宏涛</cp:lastModifiedBy>
  <dcterms:modified xsi:type="dcterms:W3CDTF">2024-02-02T01:39:53Z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E53BA7DFD0914E73BA769546315A5140</vt:lpwstr>
  </property>
</Properties>
</file>