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石家庄市人民政府外事办公室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2022年度整体支出绩效自评报告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石家庄市人民政府外事办公室</w:t>
      </w:r>
      <w:r>
        <w:rPr>
          <w:rFonts w:hint="eastAsia" w:ascii="仿宋" w:hAnsi="仿宋" w:eastAsia="仿宋"/>
          <w:sz w:val="32"/>
          <w:szCs w:val="32"/>
        </w:rPr>
        <w:t>部门2022年整体支出情况实施了财政支出绩效自评价，形成本评价报告。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eastAsia="仿宋_GB2312"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Cs/>
          <w:sz w:val="32"/>
          <w:szCs w:val="32"/>
          <w:lang w:val="en-US" w:eastAsia="zh-CN"/>
        </w:rPr>
        <w:t>1、</w:t>
      </w:r>
      <w:r>
        <w:rPr>
          <w:rFonts w:hint="eastAsia" w:ascii="仿宋_GB2312" w:eastAsia="仿宋_GB2312"/>
          <w:bCs/>
          <w:sz w:val="32"/>
          <w:szCs w:val="32"/>
          <w:lang w:eastAsia="zh-CN"/>
        </w:rPr>
        <w:t>主要职责：</w:t>
      </w:r>
    </w:p>
    <w:p>
      <w:pPr>
        <w:numPr>
          <w:ilvl w:val="0"/>
          <w:numId w:val="0"/>
        </w:numPr>
        <w:snapToGrid w:val="0"/>
        <w:spacing w:line="520" w:lineRule="exact"/>
        <w:rPr>
          <w:rFonts w:hint="eastAsia" w:ascii="仿宋_GB2312" w:eastAsia="仿宋_GB2312"/>
          <w:bCs/>
          <w:sz w:val="32"/>
          <w:szCs w:val="32"/>
        </w:rPr>
      </w:pPr>
      <w:r>
        <w:rPr>
          <w:rFonts w:hint="eastAsia" w:ascii="仿宋_GB2312" w:eastAsia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bCs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bCs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bCs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bCs/>
          <w:sz w:val="32"/>
          <w:szCs w:val="32"/>
        </w:rPr>
        <w:t>贯彻执行党和国家对外方针政策、涉港澳方针政策和法律法规。贯彻执行市委市政府外事、港澳工作的决策部署,拟定全市性外事、港澳工作规定。</w:t>
      </w:r>
    </w:p>
    <w:p>
      <w:pPr>
        <w:numPr>
          <w:ilvl w:val="0"/>
          <w:numId w:val="0"/>
        </w:numPr>
        <w:snapToGrid w:val="0"/>
        <w:spacing w:line="520" w:lineRule="exact"/>
        <w:ind w:firstLine="640"/>
        <w:rPr>
          <w:rFonts w:hint="eastAsia" w:ascii="仿宋_GB2312" w:eastAsia="仿宋_GB2312"/>
          <w:bCs/>
          <w:sz w:val="32"/>
          <w:szCs w:val="32"/>
        </w:rPr>
      </w:pPr>
      <w:r>
        <w:rPr>
          <w:rFonts w:hint="eastAsia" w:ascii="仿宋_GB2312" w:eastAsia="仿宋_GB2312"/>
          <w:bCs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bCs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bCs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bCs/>
          <w:sz w:val="32"/>
          <w:szCs w:val="32"/>
        </w:rPr>
        <w:t>贯彻执行和协调推进全市对外交流合作规划和部署,对全市外事工作履行综合归口管理职能。</w:t>
      </w:r>
    </w:p>
    <w:p>
      <w:pPr>
        <w:numPr>
          <w:ilvl w:val="0"/>
          <w:numId w:val="0"/>
        </w:numPr>
        <w:snapToGrid w:val="0"/>
        <w:spacing w:line="520" w:lineRule="exact"/>
        <w:ind w:firstLine="640"/>
        <w:rPr>
          <w:rFonts w:hint="eastAsia" w:ascii="仿宋_GB2312" w:eastAsia="仿宋_GB2312"/>
          <w:bCs/>
          <w:sz w:val="32"/>
          <w:szCs w:val="32"/>
        </w:rPr>
      </w:pPr>
      <w:r>
        <w:rPr>
          <w:rFonts w:hint="eastAsia" w:ascii="仿宋_GB2312" w:eastAsia="仿宋_GB2312"/>
          <w:bCs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bCs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bCs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bCs/>
          <w:sz w:val="32"/>
          <w:szCs w:val="32"/>
        </w:rPr>
        <w:t>承担我市涉港澳事务综合性工作,负责我市与港澳的交往。</w:t>
      </w:r>
    </w:p>
    <w:p>
      <w:pPr>
        <w:numPr>
          <w:ilvl w:val="0"/>
          <w:numId w:val="0"/>
        </w:numPr>
        <w:snapToGrid w:val="0"/>
        <w:spacing w:line="520" w:lineRule="exact"/>
        <w:ind w:firstLine="640"/>
        <w:rPr>
          <w:rFonts w:hint="eastAsia" w:ascii="仿宋_GB2312" w:eastAsia="仿宋_GB2312"/>
          <w:bCs/>
          <w:sz w:val="32"/>
          <w:szCs w:val="32"/>
        </w:rPr>
      </w:pPr>
      <w:r>
        <w:rPr>
          <w:rFonts w:hint="eastAsia" w:ascii="仿宋_GB2312" w:eastAsia="仿宋_GB2312"/>
          <w:bCs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bCs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bCs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bCs/>
          <w:sz w:val="32"/>
          <w:szCs w:val="32"/>
        </w:rPr>
        <w:t>承办市领导对外交往事宜,会同有关部门推动全市各领域对外交往。</w:t>
      </w:r>
    </w:p>
    <w:p>
      <w:pPr>
        <w:numPr>
          <w:ilvl w:val="0"/>
          <w:numId w:val="0"/>
        </w:numPr>
        <w:snapToGrid w:val="0"/>
        <w:spacing w:line="520" w:lineRule="exact"/>
        <w:ind w:firstLine="640"/>
        <w:rPr>
          <w:rFonts w:hint="eastAsia" w:ascii="仿宋_GB2312" w:eastAsia="仿宋_GB2312"/>
          <w:bCs/>
          <w:sz w:val="32"/>
          <w:szCs w:val="32"/>
        </w:rPr>
      </w:pPr>
      <w:r>
        <w:rPr>
          <w:rFonts w:hint="eastAsia" w:ascii="仿宋_GB2312" w:eastAsia="仿宋_GB2312"/>
          <w:bCs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bCs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bCs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bCs/>
          <w:sz w:val="32"/>
          <w:szCs w:val="32"/>
        </w:rPr>
        <w:t>负责指导和管理全市因公出国、赴港澳工作。</w:t>
      </w:r>
    </w:p>
    <w:p>
      <w:pPr>
        <w:numPr>
          <w:ilvl w:val="0"/>
          <w:numId w:val="0"/>
        </w:numPr>
        <w:snapToGrid w:val="0"/>
        <w:spacing w:line="520" w:lineRule="exact"/>
        <w:ind w:firstLine="640"/>
        <w:rPr>
          <w:rFonts w:hint="eastAsia" w:ascii="仿宋_GB2312" w:eastAsia="仿宋_GB2312"/>
          <w:bCs/>
          <w:sz w:val="32"/>
          <w:szCs w:val="32"/>
        </w:rPr>
      </w:pPr>
      <w:r>
        <w:rPr>
          <w:rFonts w:hint="eastAsia" w:ascii="仿宋_GB2312" w:eastAsia="仿宋_GB2312"/>
          <w:bCs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bCs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bCs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bCs/>
          <w:sz w:val="32"/>
          <w:szCs w:val="32"/>
        </w:rPr>
        <w:t>负责重要外宾邀请、报批工作,组织接待来访的党宾、国宾、政要等重要外宾及外国驻华外交人员。</w:t>
      </w:r>
    </w:p>
    <w:p>
      <w:pPr>
        <w:numPr>
          <w:ilvl w:val="0"/>
          <w:numId w:val="0"/>
        </w:numPr>
        <w:snapToGrid w:val="0"/>
        <w:spacing w:line="520" w:lineRule="exact"/>
        <w:ind w:firstLine="640"/>
        <w:rPr>
          <w:rFonts w:hint="eastAsia" w:ascii="仿宋_GB2312" w:eastAsia="仿宋_GB2312"/>
          <w:bCs/>
          <w:sz w:val="32"/>
          <w:szCs w:val="32"/>
        </w:rPr>
      </w:pPr>
      <w:r>
        <w:rPr>
          <w:rFonts w:hint="eastAsia" w:ascii="仿宋_GB2312" w:eastAsia="仿宋_GB2312"/>
          <w:bCs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bCs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bCs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bCs/>
          <w:sz w:val="32"/>
          <w:szCs w:val="32"/>
        </w:rPr>
        <w:t>负责我市境外机构和公民领事保护协调工作,统筹管理我市邀请外国人来华签证工作,会同或配合有关部门处理我市的涉外事务。</w:t>
      </w:r>
    </w:p>
    <w:p>
      <w:pPr>
        <w:numPr>
          <w:ilvl w:val="0"/>
          <w:numId w:val="0"/>
        </w:numPr>
        <w:snapToGrid w:val="0"/>
        <w:spacing w:line="520" w:lineRule="exact"/>
        <w:ind w:firstLine="640"/>
        <w:rPr>
          <w:rFonts w:hint="eastAsia" w:ascii="仿宋_GB2312" w:eastAsia="仿宋_GB2312"/>
          <w:bCs/>
          <w:sz w:val="32"/>
          <w:szCs w:val="32"/>
        </w:rPr>
      </w:pPr>
      <w:r>
        <w:rPr>
          <w:rFonts w:hint="eastAsia" w:ascii="仿宋_GB2312" w:eastAsia="仿宋_GB2312"/>
          <w:bCs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bCs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bCs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bCs/>
          <w:sz w:val="32"/>
          <w:szCs w:val="32"/>
        </w:rPr>
        <w:t>办理来我市采访的外国记者相关事务,会同有关部门办理港澳记者来我市采访的有关事宜,会同有关部门开展对外宣传工作。</w:t>
      </w:r>
    </w:p>
    <w:p>
      <w:pPr>
        <w:numPr>
          <w:ilvl w:val="0"/>
          <w:numId w:val="0"/>
        </w:numPr>
        <w:snapToGrid w:val="0"/>
        <w:spacing w:line="520" w:lineRule="exact"/>
        <w:ind w:firstLine="640"/>
        <w:rPr>
          <w:rFonts w:hint="eastAsia" w:ascii="仿宋_GB2312" w:eastAsia="仿宋_GB2312"/>
          <w:bCs/>
          <w:sz w:val="32"/>
          <w:szCs w:val="32"/>
        </w:rPr>
      </w:pPr>
      <w:r>
        <w:rPr>
          <w:rFonts w:hint="eastAsia" w:ascii="仿宋_GB2312" w:eastAsia="仿宋_GB2312"/>
          <w:bCs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bCs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bCs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bCs/>
          <w:sz w:val="32"/>
          <w:szCs w:val="32"/>
        </w:rPr>
        <w:t>统筹协调全市友好城市工作,指导石家庄市人民对外友好协会的工作。</w:t>
      </w:r>
    </w:p>
    <w:p>
      <w:pPr>
        <w:numPr>
          <w:ilvl w:val="0"/>
          <w:numId w:val="0"/>
        </w:numPr>
        <w:snapToGrid w:val="0"/>
        <w:spacing w:line="520" w:lineRule="exact"/>
        <w:ind w:firstLine="64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eastAsia="仿宋_GB2312"/>
          <w:bCs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bCs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bCs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bCs/>
          <w:sz w:val="32"/>
          <w:szCs w:val="32"/>
        </w:rPr>
        <w:t>完成省委外事工作委员会办公室、省外办和市委市政府交办的其他任务。</w:t>
      </w:r>
    </w:p>
    <w:p>
      <w:pPr>
        <w:snapToGrid w:val="0"/>
        <w:spacing w:line="520" w:lineRule="exact"/>
        <w:ind w:firstLine="640" w:firstLineChars="200"/>
        <w:rPr>
          <w:rFonts w:hint="eastAsia" w:ascii="仿宋_GB2312" w:eastAsia="仿宋_GB2312"/>
          <w:bCs/>
          <w:sz w:val="32"/>
          <w:szCs w:val="32"/>
        </w:rPr>
      </w:pPr>
      <w:r>
        <w:rPr>
          <w:rFonts w:hint="eastAsia" w:ascii="仿宋_GB2312" w:eastAsia="仿宋_GB2312"/>
          <w:bCs/>
          <w:sz w:val="32"/>
          <w:szCs w:val="32"/>
          <w:lang w:val="en-US" w:eastAsia="zh-CN"/>
        </w:rPr>
        <w:t>2、</w:t>
      </w:r>
      <w:r>
        <w:rPr>
          <w:rFonts w:hint="eastAsia" w:ascii="仿宋_GB2312" w:eastAsia="仿宋_GB2312"/>
          <w:bCs/>
          <w:sz w:val="32"/>
          <w:szCs w:val="32"/>
        </w:rPr>
        <w:t>机构</w:t>
      </w:r>
      <w:r>
        <w:rPr>
          <w:rFonts w:hint="eastAsia" w:ascii="仿宋_GB2312" w:eastAsia="仿宋_GB2312"/>
          <w:bCs/>
          <w:sz w:val="32"/>
          <w:szCs w:val="32"/>
          <w:lang w:eastAsia="zh-CN"/>
        </w:rPr>
        <w:t>以及人员</w:t>
      </w:r>
      <w:r>
        <w:rPr>
          <w:rFonts w:hint="eastAsia" w:ascii="仿宋_GB2312" w:eastAsia="仿宋_GB2312"/>
          <w:bCs/>
          <w:sz w:val="32"/>
          <w:szCs w:val="32"/>
        </w:rPr>
        <w:t>情况</w:t>
      </w:r>
      <w:r>
        <w:rPr>
          <w:rFonts w:hint="eastAsia" w:ascii="仿宋_GB2312" w:eastAsia="仿宋_GB2312"/>
          <w:bCs/>
          <w:sz w:val="32"/>
          <w:szCs w:val="32"/>
          <w:lang w:eastAsia="zh-CN"/>
        </w:rPr>
        <w:t>：</w:t>
      </w:r>
      <w:r>
        <w:rPr>
          <w:rFonts w:hint="eastAsia" w:ascii="仿宋_GB2312" w:eastAsia="仿宋_GB2312"/>
          <w:bCs/>
          <w:sz w:val="32"/>
          <w:szCs w:val="32"/>
          <w:lang w:val="en-US" w:eastAsia="zh-CN"/>
        </w:rPr>
        <w:t>石家庄市人民政府外事办公室共3个下属事业单位，分别为：石家庄市人民对外友好协会、石家庄市对外交流合作中心、石家庄市国际事务服务中心。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2022年末部门在职人数63人，离休2人，退休38人。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/>
          <w:sz w:val="32"/>
          <w:szCs w:val="32"/>
          <w:lang w:eastAsia="zh-CN"/>
        </w:rPr>
        <w:t>资产</w:t>
      </w:r>
      <w:r>
        <w:rPr>
          <w:rFonts w:hint="eastAsia" w:ascii="仿宋" w:hAnsi="仿宋" w:eastAsia="仿宋"/>
          <w:sz w:val="32"/>
          <w:szCs w:val="32"/>
        </w:rPr>
        <w:t>基本情况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2022年资产构成主要有固定资产、银行存款；负债主要有退休人员报销的药费等。</w:t>
      </w:r>
    </w:p>
    <w:p>
      <w:pPr>
        <w:widowControl w:val="0"/>
        <w:numPr>
          <w:ilvl w:val="0"/>
          <w:numId w:val="1"/>
        </w:numPr>
        <w:wordWrap/>
        <w:adjustRightInd w:val="0"/>
        <w:snapToGrid w:val="0"/>
        <w:spacing w:line="560" w:lineRule="exact"/>
        <w:ind w:left="-13" w:leftChars="0" w:right="0" w:firstLine="643" w:firstLine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部门收支预决算情况</w:t>
      </w:r>
    </w:p>
    <w:p>
      <w:pPr>
        <w:snapToGrid w:val="0"/>
        <w:spacing w:line="520" w:lineRule="exact"/>
        <w:ind w:firstLine="640" w:firstLineChars="200"/>
        <w:rPr>
          <w:rFonts w:hint="eastAsia" w:ascii="仿宋_GB2312" w:eastAsia="仿宋_GB2312"/>
          <w:bCs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/>
          <w:bCs/>
          <w:sz w:val="32"/>
          <w:szCs w:val="32"/>
          <w:highlight w:val="none"/>
          <w:lang w:val="en-US" w:eastAsia="zh-CN"/>
        </w:rPr>
        <w:t>2022年本部门一般公共预算拨款安排1538.66万元，预算支出1538.66万元，基本支出1410.59万元,项目支出128.07万元。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本单位2022年度决算收入1656.01万元</w:t>
      </w:r>
      <w:r>
        <w:rPr>
          <w:rFonts w:hint="eastAsia" w:ascii="仿宋_GB2312" w:eastAsia="仿宋_GB2312" w:cs="DengXian-Regular"/>
          <w:sz w:val="32"/>
          <w:szCs w:val="32"/>
          <w:highlight w:val="none"/>
          <w:lang w:val="en-US" w:eastAsia="zh-CN"/>
        </w:rPr>
        <w:t>，</w:t>
      </w:r>
      <w:r>
        <w:rPr>
          <w:rFonts w:hint="eastAsia" w:ascii="仿宋_GB2312" w:eastAsia="仿宋_GB2312" w:cs="DengXian-Regular"/>
          <w:sz w:val="32"/>
          <w:szCs w:val="32"/>
          <w:highlight w:val="none"/>
          <w:lang w:eastAsia="zh-CN"/>
        </w:rPr>
        <w:t>其中基本支出</w:t>
      </w:r>
      <w:r>
        <w:rPr>
          <w:rFonts w:hint="eastAsia" w:ascii="仿宋_GB2312" w:eastAsia="仿宋_GB2312" w:cs="DengXian-Regular"/>
          <w:sz w:val="32"/>
          <w:szCs w:val="32"/>
          <w:highlight w:val="none"/>
          <w:lang w:val="en-US" w:eastAsia="zh-CN"/>
        </w:rPr>
        <w:t>1632.96万元，项目支出23.05万元。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（三）部门整体支出绩效目标、指标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2022年，我们在市委、市政府领导下，坚持以习近平总书记系列重要讲话精神引领外事工作方向，认真贯彻落实市委、市政府工作部署，</w:t>
      </w:r>
      <w:r>
        <w:rPr>
          <w:rFonts w:hint="eastAsia" w:ascii="仿宋_GB2312" w:hAnsi="仿宋_GB2312" w:eastAsia="仿宋_GB2312"/>
          <w:color w:val="000000"/>
          <w:sz w:val="32"/>
          <w:lang w:val="en-US" w:eastAsia="zh-CN"/>
        </w:rPr>
        <w:t>始终坚持聚焦服务好国际化省会城市建设这个中心，科学统筹好常态化涉外疫情防控和外事工作开展两项重要任务，切实强化好思想理论体系、统筹协调机制、对外平台渠道和人才队伍建设四个方面支撑。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将全年工作细化分解，认真谋划开展各项外事专项活动，始终坚持把预算绩效管理作为一项重点工作来抓，较好的完成了整体绩效目标以及各项指标。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构建“部门职责—工作活动—预算项目”三个层级的绩效预算管理结构，成立预算绩效领导小组，建立了预算项目全周期管理机制。通过实施以结果为导向、以绩效提高为目标的一系列管理措施，有效提高了财政资金的使用效益。</w:t>
      </w:r>
    </w:p>
    <w:p>
      <w:pPr>
        <w:widowControl w:val="0"/>
        <w:numPr>
          <w:ilvl w:val="0"/>
          <w:numId w:val="2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>
      <w:pPr>
        <w:snapToGrid w:val="0"/>
        <w:spacing w:line="52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eastAsia="仿宋_GB2312"/>
          <w:bCs/>
          <w:sz w:val="32"/>
          <w:szCs w:val="32"/>
          <w:lang w:val="en-US" w:eastAsia="zh-CN"/>
        </w:rPr>
        <w:t>按照绩效预算管理要求，遵循先绩效后预算的原则，我办认真梳理部门职责，修订工作活动目录，按照部门职责、工作活动绩效目标、绩效指标进行梳理，根据项目与工作活动相对应的要求，按照部门职责工作活动目录，我部门认真编制本年项目预算，按照财政局开展项目绩效自评工作的安排，开展了项目标绩效自评工作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ind w:firstLine="640" w:firstLineChars="200"/>
        <w:rPr>
          <w:rFonts w:hint="eastAsia" w:ascii="仿宋_GB2312" w:hAnsi="仿宋" w:eastAsia="仿宋_GB2312"/>
          <w:color w:val="auto"/>
          <w:sz w:val="32"/>
          <w:szCs w:val="32"/>
          <w:lang w:val="en-US"/>
        </w:rPr>
      </w:pPr>
      <w:r>
        <w:rPr>
          <w:rFonts w:hint="eastAsia" w:ascii="仿宋_GB2312" w:hAnsi="仿宋" w:eastAsia="仿宋_GB2312"/>
          <w:color w:val="auto"/>
          <w:sz w:val="32"/>
          <w:szCs w:val="32"/>
        </w:rPr>
        <w:t>绩效目标：进一步加强与现有国际友城在更大范围、更广领域、更高层次上开展国际交流合作，全面提升我市国际友城发展质量。加大各项支持保障力度，制定“一城一策”，积极推动新国际友城建设，不断拓展我市对外交往渠道，更好服务全市经济社会发展。充分借助外事资源，利用安排出访和接待契机，加强精准对接，扎实做好我市202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年重大经贸活动外事服务保障工作。202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年，</w:t>
      </w:r>
      <w:r>
        <w:rPr>
          <w:rFonts w:hint="eastAsia" w:ascii="仿宋_GB2312" w:hAnsi="仿宋" w:eastAsia="仿宋_GB2312"/>
          <w:color w:val="auto"/>
          <w:sz w:val="32"/>
          <w:szCs w:val="32"/>
          <w:lang w:eastAsia="zh-CN"/>
        </w:rPr>
        <w:t>受国际疫情影响，没有接待来访团出组、没有组织出访团组。</w:t>
      </w: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ind w:firstLine="640" w:firstLineChars="200"/>
        <w:rPr>
          <w:rFonts w:hint="eastAsia"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  <w:lang w:val="en-US" w:eastAsia="zh-CN"/>
        </w:rPr>
        <w:t>1、</w:t>
      </w:r>
      <w:r>
        <w:rPr>
          <w:rFonts w:hint="eastAsia" w:ascii="楷体" w:hAnsi="楷体" w:eastAsia="楷体"/>
          <w:sz w:val="32"/>
          <w:szCs w:val="32"/>
        </w:rPr>
        <w:t>增强涉外管理能力</w:t>
      </w:r>
    </w:p>
    <w:p>
      <w:pPr>
        <w:ind w:firstLine="640" w:firstLineChars="200"/>
        <w:rPr>
          <w:rFonts w:hint="eastAsia" w:ascii="仿宋_GB2312" w:hAnsi="仿宋" w:eastAsia="仿宋_GB2312"/>
          <w:color w:val="auto"/>
          <w:sz w:val="32"/>
          <w:szCs w:val="32"/>
        </w:rPr>
      </w:pPr>
      <w:r>
        <w:rPr>
          <w:rFonts w:hint="eastAsia" w:ascii="仿宋_GB2312" w:hAnsi="仿宋" w:eastAsia="仿宋_GB2312"/>
          <w:color w:val="auto"/>
          <w:sz w:val="32"/>
          <w:szCs w:val="32"/>
        </w:rPr>
        <w:t>绩效目标：根据国际疫情形势变化，牵头做好防范外部环境领域重大风险工作，落实境外安全与领事保护各项工作任务。认真做好202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年度全市因公出国计划工作，积极为市领导出访提供高效服务，探索因公临时出国审批程序的简化工作。组织市直相关部门</w:t>
      </w:r>
      <w:r>
        <w:rPr>
          <w:rFonts w:hint="eastAsia" w:ascii="仿宋_GB2312" w:hAnsi="仿宋" w:eastAsia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各县（市、区）</w:t>
      </w:r>
      <w:r>
        <w:rPr>
          <w:rFonts w:hint="eastAsia" w:ascii="仿宋_GB2312" w:hAnsi="仿宋" w:eastAsia="仿宋_GB2312"/>
          <w:color w:val="auto"/>
          <w:sz w:val="32"/>
          <w:szCs w:val="32"/>
          <w:lang w:eastAsia="zh-CN"/>
        </w:rPr>
        <w:t>外事工作人员，院校、医院外事工作负责人，有关企业代表开展业务培训会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，进一步强化在因公出国、领事保护、APEC卡办理使用等方面的政策法规宣传力度。</w:t>
      </w:r>
    </w:p>
    <w:p>
      <w:pPr>
        <w:ind w:firstLine="640" w:firstLineChars="200"/>
        <w:rPr>
          <w:rFonts w:hint="eastAsia" w:ascii="仿宋_GB2312" w:hAnsi="仿宋" w:eastAsia="仿宋_GB2312"/>
          <w:color w:val="auto"/>
          <w:sz w:val="32"/>
          <w:szCs w:val="32"/>
        </w:rPr>
      </w:pPr>
      <w:r>
        <w:rPr>
          <w:rFonts w:hint="eastAsia" w:ascii="仿宋_GB2312" w:hAnsi="仿宋" w:eastAsia="仿宋_GB2312"/>
          <w:color w:val="auto"/>
          <w:sz w:val="32"/>
          <w:szCs w:val="32"/>
        </w:rPr>
        <w:t>绩效指标：计划领事保护培训</w:t>
      </w:r>
      <w:r>
        <w:rPr>
          <w:rFonts w:hint="eastAsia" w:ascii="仿宋_GB2312" w:hAnsi="仿宋" w:eastAsia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APEC商务旅行卡培训等200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人次左右，培训对象满意度≥90%。</w:t>
      </w:r>
    </w:p>
    <w:p>
      <w:pPr>
        <w:ind w:firstLine="640" w:firstLineChars="200"/>
        <w:rPr>
          <w:rFonts w:hint="eastAsia"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  <w:lang w:val="en-US" w:eastAsia="zh-CN"/>
        </w:rPr>
        <w:t>2、</w:t>
      </w:r>
      <w:r>
        <w:rPr>
          <w:rFonts w:hint="eastAsia" w:ascii="楷体" w:hAnsi="楷体" w:eastAsia="楷体"/>
          <w:sz w:val="32"/>
          <w:szCs w:val="32"/>
        </w:rPr>
        <w:t>增强重大涉外活动服务保障能力</w:t>
      </w:r>
    </w:p>
    <w:p>
      <w:pPr>
        <w:rPr>
          <w:rFonts w:hint="eastAsia" w:ascii="仿宋_GB2312" w:hAnsi="仿宋" w:eastAsia="仿宋_GB2312"/>
          <w:color w:val="auto"/>
          <w:sz w:val="32"/>
          <w:szCs w:val="32"/>
        </w:rPr>
      </w:pP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绩效目标：进一步加强与现有国际友城在更大范围、更广领域、更高层次上开展国际交流合作，全面提升我市国际友城发展质量。加大各项支持保障力度，制定“一城一策”，积极推动新国际友城建设，不断拓展我市对外交往渠道，更好服务全市经济社会发展。充分借助外事资源，利用安排出访和接待契机，加强精准对接，扎实做好我市202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年重大经贸活动外事服务保障工作。</w:t>
      </w:r>
    </w:p>
    <w:p>
      <w:pPr>
        <w:widowControl w:val="0"/>
        <w:wordWrap/>
        <w:spacing w:line="560" w:lineRule="exact"/>
        <w:ind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" w:eastAsia="仿宋_GB2312"/>
          <w:color w:val="auto"/>
          <w:sz w:val="32"/>
          <w:szCs w:val="32"/>
        </w:rPr>
        <w:t>绩效指标：</w:t>
      </w:r>
      <w:r>
        <w:rPr>
          <w:rFonts w:hint="eastAsia" w:ascii="仿宋_GB2312" w:hAnsi="仿宋" w:eastAsia="仿宋_GB2312"/>
          <w:color w:val="auto"/>
          <w:sz w:val="32"/>
          <w:szCs w:val="32"/>
          <w:lang w:eastAsia="zh-CN"/>
        </w:rPr>
        <w:t>计划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接待外国友好组织和团体、民间友好人士来访，组织我市友好代表团出访。</w:t>
      </w:r>
      <w:r>
        <w:rPr>
          <w:rFonts w:hint="eastAsia" w:ascii="仿宋_GB2312" w:hAnsi="仿宋_GB2312" w:eastAsia="仿宋_GB2312"/>
          <w:color w:val="000000"/>
          <w:sz w:val="32"/>
        </w:rPr>
        <w:t>在国际疫情蔓延背景下，</w:t>
      </w:r>
      <w:r>
        <w:rPr>
          <w:rFonts w:hint="eastAsia" w:ascii="仿宋_GB2312" w:hAnsi="仿宋_GB2312" w:eastAsia="仿宋_GB2312"/>
          <w:color w:val="000000"/>
          <w:sz w:val="32"/>
          <w:lang w:eastAsia="zh-CN"/>
        </w:rPr>
        <w:t>我办积极推</w:t>
      </w:r>
      <w:r>
        <w:rPr>
          <w:rFonts w:hint="eastAsia" w:ascii="仿宋_GB2312" w:hAnsi="仿宋_GB2312" w:eastAsia="仿宋_GB2312"/>
          <w:color w:val="000000"/>
          <w:sz w:val="32"/>
        </w:rPr>
        <w:t>动“云外事”、开展“云外交”，探索线上交流活动，</w:t>
      </w:r>
      <w:r>
        <w:rPr>
          <w:rFonts w:hint="eastAsia" w:ascii="仿宋_GB2312" w:hAnsi="仿宋_GB2312" w:eastAsia="仿宋_GB2312"/>
          <w:color w:val="000000"/>
          <w:sz w:val="32"/>
          <w:lang w:eastAsia="zh-CN"/>
        </w:rPr>
        <w:t>持续</w:t>
      </w:r>
      <w:r>
        <w:rPr>
          <w:rFonts w:hint="eastAsia" w:ascii="仿宋_GB2312" w:hAnsi="仿宋_GB2312" w:eastAsia="仿宋_GB2312"/>
          <w:color w:val="000000"/>
          <w:sz w:val="32"/>
        </w:rPr>
        <w:t>提升常态化疫情防控下的民间对外交流水平。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widowControl w:val="0"/>
        <w:wordWrap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/>
          <w:color w:val="000000"/>
          <w:sz w:val="32"/>
        </w:rPr>
      </w:pPr>
      <w:r>
        <w:rPr>
          <w:rFonts w:hint="eastAsia" w:ascii="仿宋_GB2312" w:hAnsi="仿宋_GB2312" w:eastAsia="仿宋_GB2312"/>
          <w:color w:val="000000"/>
          <w:sz w:val="32"/>
        </w:rPr>
        <w:t>根据部门职责定位和各项工作履职情况进行综合评价，给出总得分90分，综合绩效评价等级为优秀。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</w:rPr>
      </w:pPr>
      <w:r>
        <w:rPr>
          <w:rFonts w:hint="eastAsia" w:ascii="仿宋" w:hAnsi="仿宋" w:eastAsia="仿宋" w:cs="仿宋"/>
          <w:kern w:val="2"/>
          <w:sz w:val="32"/>
          <w:szCs w:val="32"/>
        </w:rPr>
        <w:t>一是提高认识。我单位部分人员对绩效管理认识不足，下一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kern w:val="2"/>
          <w:sz w:val="32"/>
          <w:szCs w:val="32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eastAsia="zh-CN"/>
        </w:rPr>
        <w:t>步</w:t>
      </w:r>
      <w:r>
        <w:rPr>
          <w:rFonts w:hint="eastAsia" w:ascii="仿宋" w:hAnsi="仿宋" w:eastAsia="仿宋" w:cs="仿宋"/>
          <w:kern w:val="2"/>
          <w:sz w:val="32"/>
          <w:szCs w:val="32"/>
        </w:rPr>
        <w:t>提高大家对绩效自评的认识。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</w:rPr>
      </w:pPr>
      <w:r>
        <w:rPr>
          <w:rFonts w:hint="eastAsia" w:ascii="仿宋" w:hAnsi="仿宋" w:eastAsia="仿宋" w:cs="仿宋"/>
          <w:kern w:val="2"/>
          <w:sz w:val="32"/>
          <w:szCs w:val="32"/>
        </w:rPr>
        <w:t>二是科学设置绩效指标。克服运用一些共性指标，针对不同项目设置个性化、实效化指标，使绩效管理更加合理化。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eastAsia="zh-CN"/>
        </w:rPr>
        <w:t>三是充分运用绩效评价结果。通过自评，认真梳理全年工作，合理安排资金及完成时限，使预算更加趋于合理。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eastAsia="zh-CN"/>
        </w:rPr>
        <w:t>四是通过绩效评价，促进工作计划、预算编制的制度化，科学化建设，促进实现绩效目标的积极性。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评价工作组人员名单及签字</w:t>
      </w:r>
    </w:p>
    <w:tbl>
      <w:tblPr>
        <w:tblStyle w:val="6"/>
        <w:tblW w:w="89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9"/>
        <w:gridCol w:w="3657"/>
        <w:gridCol w:w="2062"/>
        <w:gridCol w:w="22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999" w:type="dxa"/>
            <w:vAlign w:val="top"/>
          </w:tcPr>
          <w:p>
            <w:pPr>
              <w:autoSpaceDE w:val="0"/>
              <w:spacing w:line="360" w:lineRule="auto"/>
              <w:jc w:val="center"/>
              <w:rPr>
                <w:vertAlign w:val="baseline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  <w:vertAlign w:val="baseline"/>
                <w:lang w:eastAsia="zh-CN"/>
              </w:rPr>
              <w:t>姓名</w:t>
            </w:r>
          </w:p>
        </w:tc>
        <w:tc>
          <w:tcPr>
            <w:tcW w:w="3657" w:type="dxa"/>
            <w:vAlign w:val="top"/>
          </w:tcPr>
          <w:p>
            <w:pPr>
              <w:autoSpaceDE w:val="0"/>
              <w:spacing w:line="360" w:lineRule="auto"/>
              <w:jc w:val="center"/>
              <w:rPr>
                <w:vertAlign w:val="baseline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  <w:vertAlign w:val="baseline"/>
                <w:lang w:eastAsia="zh-CN"/>
              </w:rPr>
              <w:t>工作单位</w:t>
            </w:r>
          </w:p>
        </w:tc>
        <w:tc>
          <w:tcPr>
            <w:tcW w:w="2062" w:type="dxa"/>
            <w:vAlign w:val="top"/>
          </w:tcPr>
          <w:p>
            <w:pPr>
              <w:autoSpaceDE w:val="0"/>
              <w:spacing w:line="360" w:lineRule="auto"/>
              <w:jc w:val="center"/>
              <w:rPr>
                <w:vertAlign w:val="baseline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  <w:vertAlign w:val="baseline"/>
                <w:lang w:eastAsia="zh-CN"/>
              </w:rPr>
              <w:t>职务</w:t>
            </w:r>
          </w:p>
        </w:tc>
        <w:tc>
          <w:tcPr>
            <w:tcW w:w="2240" w:type="dxa"/>
            <w:vAlign w:val="top"/>
          </w:tcPr>
          <w:p>
            <w:pPr>
              <w:autoSpaceDE w:val="0"/>
              <w:spacing w:line="360" w:lineRule="auto"/>
              <w:jc w:val="center"/>
              <w:rPr>
                <w:vertAlign w:val="baseline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  <w:vertAlign w:val="baseline"/>
                <w:lang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99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eastAsia="zh-CN"/>
              </w:rPr>
            </w:pPr>
            <w:bookmarkStart w:id="0" w:name="_GoBack" w:colFirst="0" w:colLast="2"/>
            <w:r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eastAsia="zh-CN"/>
              </w:rPr>
              <w:t>孟</w:t>
            </w:r>
            <w:r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eastAsia="zh-CN"/>
              </w:rPr>
              <w:t>硕</w:t>
            </w:r>
          </w:p>
        </w:tc>
        <w:tc>
          <w:tcPr>
            <w:tcW w:w="3657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vertAlign w:val="baseline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eastAsia="zh-CN"/>
              </w:rPr>
              <w:t>石家庄市人民政府外事办公室</w:t>
            </w:r>
          </w:p>
        </w:tc>
        <w:tc>
          <w:tcPr>
            <w:tcW w:w="206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eastAsia="zh-CN"/>
              </w:rPr>
              <w:t>副主任</w:t>
            </w:r>
          </w:p>
        </w:tc>
        <w:tc>
          <w:tcPr>
            <w:tcW w:w="22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99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eastAsia="zh-CN"/>
              </w:rPr>
              <w:t>么光亚</w:t>
            </w:r>
          </w:p>
        </w:tc>
        <w:tc>
          <w:tcPr>
            <w:tcW w:w="3657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vertAlign w:val="baseline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eastAsia="zh-CN"/>
              </w:rPr>
              <w:t>石家庄市人民政府外事办公室</w:t>
            </w:r>
          </w:p>
        </w:tc>
        <w:tc>
          <w:tcPr>
            <w:tcW w:w="206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eastAsia="zh-CN"/>
              </w:rPr>
              <w:t>综合科科长</w:t>
            </w:r>
          </w:p>
        </w:tc>
        <w:tc>
          <w:tcPr>
            <w:tcW w:w="22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99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eastAsia="zh-CN"/>
              </w:rPr>
              <w:t>梁</w:t>
            </w:r>
            <w:r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eastAsia="zh-CN"/>
              </w:rPr>
              <w:t>永</w:t>
            </w:r>
          </w:p>
        </w:tc>
        <w:tc>
          <w:tcPr>
            <w:tcW w:w="3657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eastAsia" w:eastAsia="宋体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石家庄市人民政府外事办公室</w:t>
            </w:r>
          </w:p>
        </w:tc>
        <w:tc>
          <w:tcPr>
            <w:tcW w:w="206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eastAsia="zh-CN"/>
              </w:rPr>
              <w:t>纪检专职副书记</w:t>
            </w:r>
          </w:p>
        </w:tc>
        <w:tc>
          <w:tcPr>
            <w:tcW w:w="22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99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eastAsia="zh-CN"/>
              </w:rPr>
              <w:t>王文红</w:t>
            </w:r>
          </w:p>
        </w:tc>
        <w:tc>
          <w:tcPr>
            <w:tcW w:w="3657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eastAsia="zh-CN"/>
              </w:rPr>
              <w:t>石家庄市人民政府外事办公室</w:t>
            </w:r>
          </w:p>
        </w:tc>
        <w:tc>
          <w:tcPr>
            <w:tcW w:w="206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textAlignment w:val="auto"/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  <w:vertAlign w:val="baseline"/>
                <w:lang w:eastAsia="zh-CN"/>
              </w:rPr>
              <w:t>科员</w:t>
            </w:r>
          </w:p>
        </w:tc>
        <w:tc>
          <w:tcPr>
            <w:tcW w:w="22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vertAlign w:val="baseline"/>
              </w:rPr>
            </w:pPr>
          </w:p>
        </w:tc>
      </w:tr>
      <w:bookmarkEnd w:id="0"/>
    </w:tbl>
    <w:p>
      <w:pPr>
        <w:pStyle w:val="2"/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abstractNum w:abstractNumId="2">
    <w:nsid w:val="62442D15"/>
    <w:multiLevelType w:val="singleLevel"/>
    <w:tmpl w:val="62442D15"/>
    <w:lvl w:ilvl="0" w:tentative="0">
      <w:start w:val="1"/>
      <w:numFmt w:val="chineseCounting"/>
      <w:suff w:val="nothing"/>
      <w:lvlText w:val="（%1）"/>
      <w:lvlJc w:val="left"/>
      <w:pPr>
        <w:ind w:left="-13"/>
      </w:pPr>
    </w:lvl>
  </w:abstractNum>
  <w:abstractNum w:abstractNumId="3">
    <w:nsid w:val="62451369"/>
    <w:multiLevelType w:val="singleLevel"/>
    <w:tmpl w:val="62451369"/>
    <w:lvl w:ilvl="0" w:tentative="0">
      <w:start w:val="6"/>
      <w:numFmt w:val="chineseCounting"/>
      <w:suff w:val="nothing"/>
      <w:lvlText w:val="%1、"/>
      <w:lvlJc w:val="left"/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2U1M2RjMjU5MWQ1NjY0N2E5Njg0OGE3MTM5YzMyMWQ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248C197D"/>
    <w:rsid w:val="252959AF"/>
    <w:rsid w:val="277A6671"/>
    <w:rsid w:val="292D35B7"/>
    <w:rsid w:val="33EB6CFF"/>
    <w:rsid w:val="35A12947"/>
    <w:rsid w:val="37387040"/>
    <w:rsid w:val="39584F9F"/>
    <w:rsid w:val="3B625C0A"/>
    <w:rsid w:val="3CEE1963"/>
    <w:rsid w:val="4BB47013"/>
    <w:rsid w:val="4C9C27FE"/>
    <w:rsid w:val="4D7C737D"/>
    <w:rsid w:val="512260B4"/>
    <w:rsid w:val="52BD6ACB"/>
    <w:rsid w:val="55537534"/>
    <w:rsid w:val="561A74F1"/>
    <w:rsid w:val="597244E8"/>
    <w:rsid w:val="5DFB54B1"/>
    <w:rsid w:val="5EB71C30"/>
    <w:rsid w:val="66AF0CE5"/>
    <w:rsid w:val="6AC537CF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="Cambria" w:hAnsi="Cambria" w:eastAsia="楷体_GB2312"/>
      <w:b/>
      <w:bCs/>
      <w:sz w:val="32"/>
      <w:szCs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2362</Words>
  <Characters>2451</Characters>
  <Lines>4</Lines>
  <Paragraphs>1</Paragraphs>
  <TotalTime>1</TotalTime>
  <ScaleCrop>false</ScaleCrop>
  <LinksUpToDate>false</LinksUpToDate>
  <CharactersWithSpaces>2476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然然</cp:lastModifiedBy>
  <cp:lastPrinted>2022-01-19T07:24:00Z</cp:lastPrinted>
  <dcterms:modified xsi:type="dcterms:W3CDTF">2023-04-03T01:41:21Z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4811400A1AFA478CAC04F8E1E27C9E0B</vt:lpwstr>
  </property>
</Properties>
</file>