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rPr>
          <w:rFonts w:ascii="仿宋" w:hAnsi="仿宋" w:eastAsia="仿宋" w:cs="仿宋"/>
          <w:sz w:val="32"/>
          <w:szCs w:val="32"/>
        </w:rPr>
      </w:pPr>
    </w:p>
    <w:p>
      <w:pPr>
        <w:snapToGrid w:val="0"/>
        <w:spacing w:line="360" w:lineRule="auto"/>
        <w:jc w:val="center"/>
        <w:rPr>
          <w:rFonts w:hint="eastAsia" w:ascii="宋体" w:hAnsi="宋体" w:cs="宋体"/>
          <w:b/>
          <w:bCs/>
          <w:kern w:val="0"/>
          <w:sz w:val="44"/>
          <w:szCs w:val="44"/>
        </w:rPr>
      </w:pPr>
    </w:p>
    <w:p>
      <w:pPr>
        <w:snapToGrid w:val="0"/>
        <w:spacing w:line="360" w:lineRule="auto"/>
        <w:jc w:val="center"/>
        <w:rPr>
          <w:rFonts w:ascii="宋体" w:hAnsi="宋体" w:cs="宋体"/>
          <w:b/>
          <w:bCs/>
          <w:sz w:val="44"/>
          <w:szCs w:val="44"/>
        </w:rPr>
      </w:pPr>
      <w:r>
        <w:rPr>
          <w:rFonts w:hint="eastAsia" w:ascii="宋体" w:hAnsi="宋体" w:cs="宋体"/>
          <w:b/>
          <w:bCs/>
          <w:kern w:val="0"/>
          <w:sz w:val="44"/>
          <w:szCs w:val="44"/>
        </w:rPr>
        <w:t>市</w:t>
      </w:r>
      <w:r>
        <w:rPr>
          <w:rFonts w:hint="eastAsia" w:ascii="宋体" w:hAnsi="宋体" w:cs="宋体"/>
          <w:b/>
          <w:bCs/>
          <w:kern w:val="0"/>
          <w:sz w:val="44"/>
          <w:szCs w:val="44"/>
          <w:lang w:eastAsia="zh-CN"/>
        </w:rPr>
        <w:t>侨联</w:t>
      </w:r>
      <w:r>
        <w:rPr>
          <w:rFonts w:hint="eastAsia" w:ascii="宋体" w:hAnsi="宋体" w:cs="宋体"/>
          <w:b/>
          <w:bCs/>
          <w:kern w:val="0"/>
          <w:sz w:val="44"/>
          <w:szCs w:val="44"/>
        </w:rPr>
        <w:t>2021年度整体支出</w:t>
      </w:r>
      <w:r>
        <w:rPr>
          <w:rFonts w:hint="eastAsia" w:ascii="宋体" w:hAnsi="宋体" w:cs="宋体"/>
          <w:b/>
          <w:bCs/>
          <w:sz w:val="44"/>
          <w:szCs w:val="44"/>
        </w:rPr>
        <w:t>绩效自评报告</w:t>
      </w:r>
    </w:p>
    <w:p>
      <w:pPr>
        <w:snapToGrid w:val="0"/>
        <w:spacing w:line="360" w:lineRule="auto"/>
        <w:ind w:firstLine="640" w:firstLineChars="200"/>
        <w:rPr>
          <w:rFonts w:hint="eastAsia" w:ascii="仿宋" w:hAnsi="仿宋" w:eastAsia="仿宋" w:cs="仿宋"/>
          <w:sz w:val="32"/>
          <w:szCs w:val="32"/>
        </w:rPr>
      </w:pP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贯彻落实市委市政府《关于全面落实预算绩效管理的实施意见》（石发【2019】8号）文件精神，遵循“科学性、规范性、客观性和公正性”的原则，对</w:t>
      </w:r>
      <w:r>
        <w:rPr>
          <w:rFonts w:hint="eastAsia" w:ascii="仿宋" w:hAnsi="仿宋" w:eastAsia="仿宋" w:cs="仿宋"/>
          <w:sz w:val="32"/>
          <w:szCs w:val="32"/>
          <w:lang w:eastAsia="zh-CN"/>
        </w:rPr>
        <w:t>市侨联</w:t>
      </w:r>
      <w:r>
        <w:rPr>
          <w:rFonts w:hint="eastAsia" w:ascii="仿宋" w:hAnsi="仿宋" w:eastAsia="仿宋" w:cs="仿宋"/>
          <w:sz w:val="32"/>
          <w:szCs w:val="32"/>
        </w:rPr>
        <w:t>2021年整体支出情况实施了财政支出绩效自评价，形成本评价报告。</w:t>
      </w:r>
    </w:p>
    <w:p>
      <w:pPr>
        <w:pStyle w:val="15"/>
        <w:numPr>
          <w:ilvl w:val="0"/>
          <w:numId w:val="1"/>
        </w:numPr>
        <w:snapToGrid w:val="0"/>
        <w:spacing w:line="360" w:lineRule="auto"/>
        <w:ind w:firstLineChars="0"/>
        <w:rPr>
          <w:rFonts w:ascii="黑体" w:hAnsi="黑体" w:eastAsia="黑体" w:cs="黑体"/>
          <w:sz w:val="32"/>
          <w:szCs w:val="32"/>
        </w:rPr>
      </w:pPr>
      <w:r>
        <w:rPr>
          <w:rFonts w:hint="eastAsia" w:ascii="黑体" w:hAnsi="黑体" w:eastAsia="黑体" w:cs="黑体"/>
          <w:sz w:val="32"/>
          <w:szCs w:val="32"/>
        </w:rPr>
        <w:t>部门基本情况</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（一）部门概况</w:t>
      </w:r>
    </w:p>
    <w:p>
      <w:pPr>
        <w:snapToGrid w:val="0"/>
        <w:spacing w:line="360" w:lineRule="auto"/>
        <w:ind w:firstLine="800" w:firstLineChars="250"/>
        <w:rPr>
          <w:rFonts w:ascii="黑体" w:hAnsi="黑体" w:eastAsia="黑体" w:cs="黑体"/>
          <w:sz w:val="32"/>
          <w:szCs w:val="32"/>
        </w:rPr>
      </w:pPr>
      <w:r>
        <w:rPr>
          <w:rFonts w:hint="eastAsia" w:ascii="仿宋_GB2312" w:hAnsi="仿宋" w:eastAsia="仿宋_GB2312"/>
          <w:sz w:val="32"/>
          <w:szCs w:val="32"/>
        </w:rPr>
        <w:t>1．主要职能</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w:t>
      </w:r>
      <w:r>
        <w:rPr>
          <w:rFonts w:hint="eastAsia" w:ascii="仿宋_GB2312" w:hAnsi="仿宋" w:eastAsia="仿宋_GB2312"/>
          <w:sz w:val="32"/>
          <w:szCs w:val="32"/>
        </w:rPr>
        <w:t>）密切联系广大归侨侨眷和海外侨胞，了解侨情民意，沟通渠道，化解矛盾；加强归侨侨眷的法制教育和思想道德教育，为国家的改革发展稳定服务。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2</w:t>
      </w:r>
      <w:r>
        <w:rPr>
          <w:rFonts w:hint="eastAsia" w:ascii="仿宋_GB2312" w:hAnsi="仿宋" w:eastAsia="仿宋_GB2312"/>
          <w:sz w:val="32"/>
          <w:szCs w:val="32"/>
        </w:rPr>
        <w:t>）依法维护归侨侨眷的合法权益和海外侨胞在国内的正当利益；反映归侨侨眷和海外侨胞的意见和要求；参与起草有关法律、法规；为归侨侨眷和海外侨胞提供法律咨询服务。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3</w:t>
      </w:r>
      <w:r>
        <w:rPr>
          <w:rFonts w:hint="eastAsia" w:ascii="仿宋_GB2312" w:hAnsi="仿宋" w:eastAsia="仿宋_GB2312"/>
          <w:sz w:val="32"/>
          <w:szCs w:val="32"/>
        </w:rPr>
        <w:t>）配合有关部门做好推荐市人大代表和政协委员的人事安排工作，为他们履行参政议政和民主监督职能提供服务。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4</w:t>
      </w:r>
      <w:r>
        <w:rPr>
          <w:rFonts w:hint="eastAsia" w:ascii="仿宋_GB2312" w:hAnsi="仿宋" w:eastAsia="仿宋_GB2312"/>
          <w:sz w:val="32"/>
          <w:szCs w:val="32"/>
        </w:rPr>
        <w:t>）促进海外侨胞与祖国进行经济合作和科技交流；为归侨侨眷兴办企业和海外侨胞来华投资服务。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5</w:t>
      </w:r>
      <w:r>
        <w:rPr>
          <w:rFonts w:hint="eastAsia" w:ascii="仿宋_GB2312" w:hAnsi="仿宋" w:eastAsia="仿宋_GB2312"/>
          <w:sz w:val="32"/>
          <w:szCs w:val="32"/>
        </w:rPr>
        <w:t>）配合有关部门进一步拓展与台湾同胞的联络渠道；加强同港澳侨团的联系，密切与海外侨胞及其社团的联系，参与以地缘、血缘、业缘为纽带组成的侨社团的联谊活动。</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6</w:t>
      </w:r>
      <w:r>
        <w:rPr>
          <w:rFonts w:hint="eastAsia" w:ascii="仿宋_GB2312" w:hAnsi="仿宋" w:eastAsia="仿宋_GB2312"/>
          <w:sz w:val="32"/>
          <w:szCs w:val="32"/>
        </w:rPr>
        <w:t>）宣传党和政府侨务工作的方针、政策，宣传归侨、侨眷的先进事迹和海外侨胞回国服务、为国服务的爱国爱乡行动；开展海内外民间文化、学术交流与合作；为归侨、侨眷和海外侨胞在国内兴办文教、卫生和其他社会公益事业服务。</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7</w:t>
      </w:r>
      <w:r>
        <w:rPr>
          <w:rFonts w:hint="eastAsia" w:ascii="仿宋_GB2312" w:hAnsi="仿宋" w:eastAsia="仿宋_GB2312"/>
          <w:sz w:val="32"/>
          <w:szCs w:val="32"/>
        </w:rPr>
        <w:t>）根据《中国侨联章程》提出的任务和要求，研究制定工作计划和发展规划，组织实施我市归侨侨眷代表大会、委员会、常务委员会的决议、决定。指导各县（市）区级侨联及基层侨联组织工作。</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8</w:t>
      </w:r>
      <w:r>
        <w:rPr>
          <w:rFonts w:hint="eastAsia" w:ascii="仿宋_GB2312" w:hAnsi="仿宋" w:eastAsia="仿宋_GB2312"/>
          <w:sz w:val="32"/>
          <w:szCs w:val="32"/>
        </w:rPr>
        <w:t>）加强侨联组织建设和干部队伍建设，提高人员素质和办事效率，注重调查研究工作，协调有关部门提供可靠依据，并实施发挥监督作用。</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9</w:t>
      </w:r>
      <w:r>
        <w:rPr>
          <w:rFonts w:hint="eastAsia" w:ascii="仿宋_GB2312" w:hAnsi="仿宋" w:eastAsia="仿宋_GB2312"/>
          <w:sz w:val="32"/>
          <w:szCs w:val="32"/>
        </w:rPr>
        <w:t>）承担中共石家庄市委、市政府授权的有关事项。</w:t>
      </w:r>
    </w:p>
    <w:p>
      <w:pPr>
        <w:snapToGrid w:val="0"/>
        <w:spacing w:line="360" w:lineRule="auto"/>
        <w:ind w:firstLine="640" w:firstLineChars="200"/>
        <w:rPr>
          <w:rFonts w:ascii="仿宋_GB2312" w:hAnsi="仿宋" w:eastAsia="仿宋_GB2312"/>
          <w:sz w:val="32"/>
          <w:szCs w:val="32"/>
        </w:rPr>
      </w:pPr>
      <w:r>
        <w:rPr>
          <w:rFonts w:hint="eastAsia" w:ascii="仿宋_GB2312" w:hAnsi="仿宋" w:eastAsia="仿宋_GB2312"/>
          <w:sz w:val="32"/>
          <w:szCs w:val="32"/>
        </w:rPr>
        <w:t>2．机构及人员情况</w:t>
      </w:r>
    </w:p>
    <w:p>
      <w:pPr>
        <w:snapToGrid w:val="0"/>
        <w:spacing w:line="360" w:lineRule="auto"/>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石家庄市</w:t>
      </w:r>
      <w:r>
        <w:rPr>
          <w:rFonts w:hint="eastAsia" w:ascii="仿宋" w:hAnsi="仿宋" w:eastAsia="仿宋" w:cs="仿宋"/>
          <w:color w:val="auto"/>
          <w:sz w:val="32"/>
          <w:szCs w:val="32"/>
          <w:lang w:eastAsia="zh-CN"/>
        </w:rPr>
        <w:t>归国华侨联合会</w:t>
      </w:r>
      <w:r>
        <w:rPr>
          <w:rFonts w:hint="eastAsia" w:ascii="仿宋" w:hAnsi="仿宋" w:eastAsia="仿宋" w:cs="仿宋"/>
          <w:color w:val="auto"/>
          <w:sz w:val="32"/>
          <w:szCs w:val="32"/>
        </w:rPr>
        <w:t>执行政府会计制度，为一级预算单位</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无下属单位</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2021年末实有</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人，其中在职</w:t>
      </w:r>
      <w:r>
        <w:rPr>
          <w:rFonts w:hint="eastAsia" w:ascii="仿宋" w:hAnsi="仿宋" w:eastAsia="仿宋" w:cs="仿宋"/>
          <w:color w:val="auto"/>
          <w:sz w:val="32"/>
          <w:szCs w:val="32"/>
          <w:lang w:val="en-US" w:eastAsia="zh-CN"/>
        </w:rPr>
        <w:t>15</w:t>
      </w:r>
      <w:r>
        <w:rPr>
          <w:rFonts w:hint="eastAsia" w:ascii="仿宋" w:hAnsi="仿宋" w:eastAsia="仿宋" w:cs="仿宋"/>
          <w:color w:val="auto"/>
          <w:sz w:val="32"/>
          <w:szCs w:val="32"/>
        </w:rPr>
        <w:t>人，退休</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人。</w:t>
      </w:r>
    </w:p>
    <w:p>
      <w:pPr>
        <w:snapToGrid w:val="0"/>
        <w:spacing w:line="360" w:lineRule="auto"/>
        <w:ind w:firstLine="640" w:firstLineChars="200"/>
        <w:rPr>
          <w:rFonts w:ascii="仿宋_GB2312" w:hAnsi="仿宋" w:eastAsia="仿宋_GB2312"/>
          <w:sz w:val="32"/>
          <w:szCs w:val="32"/>
        </w:rPr>
      </w:pPr>
      <w:r>
        <w:rPr>
          <w:rFonts w:hint="eastAsia" w:ascii="仿宋_GB2312" w:hAnsi="仿宋" w:eastAsia="仿宋_GB2312"/>
          <w:sz w:val="32"/>
          <w:szCs w:val="32"/>
        </w:rPr>
        <w:t>3．资产情况</w:t>
      </w:r>
    </w:p>
    <w:p>
      <w:pPr>
        <w:snapToGrid w:val="0"/>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2021年末流动资产合计</w:t>
      </w:r>
      <w:r>
        <w:rPr>
          <w:rFonts w:hint="eastAsia" w:ascii="仿宋" w:hAnsi="仿宋" w:eastAsia="仿宋" w:cs="仿宋"/>
          <w:color w:val="auto"/>
          <w:sz w:val="32"/>
          <w:szCs w:val="32"/>
          <w:lang w:val="en-US" w:eastAsia="zh-CN"/>
        </w:rPr>
        <w:t>658766.97</w:t>
      </w:r>
      <w:r>
        <w:rPr>
          <w:rFonts w:hint="eastAsia" w:ascii="仿宋" w:hAnsi="仿宋" w:eastAsia="仿宋" w:cs="仿宋"/>
          <w:color w:val="auto"/>
          <w:sz w:val="32"/>
          <w:szCs w:val="32"/>
        </w:rPr>
        <w:t>元，</w:t>
      </w:r>
      <w:r>
        <w:rPr>
          <w:rFonts w:hint="eastAsia" w:ascii="仿宋" w:hAnsi="仿宋" w:eastAsia="仿宋" w:cs="仿宋"/>
          <w:color w:val="auto"/>
          <w:sz w:val="32"/>
          <w:szCs w:val="32"/>
          <w:lang w:eastAsia="zh-CN"/>
        </w:rPr>
        <w:t>其中</w:t>
      </w:r>
      <w:r>
        <w:rPr>
          <w:rFonts w:hint="eastAsia" w:ascii="仿宋" w:hAnsi="仿宋" w:eastAsia="仿宋" w:cs="仿宋"/>
          <w:color w:val="auto"/>
          <w:sz w:val="32"/>
          <w:szCs w:val="32"/>
        </w:rPr>
        <w:t>银行存款</w:t>
      </w:r>
      <w:r>
        <w:rPr>
          <w:rFonts w:hint="eastAsia" w:ascii="仿宋" w:hAnsi="仿宋" w:eastAsia="仿宋" w:cs="仿宋"/>
          <w:color w:val="auto"/>
          <w:sz w:val="32"/>
          <w:szCs w:val="32"/>
          <w:lang w:val="en-US" w:eastAsia="zh-CN"/>
        </w:rPr>
        <w:t>658674.76元,库存现金92.21元</w:t>
      </w:r>
      <w:r>
        <w:rPr>
          <w:rFonts w:hint="eastAsia" w:ascii="仿宋" w:hAnsi="仿宋" w:eastAsia="仿宋" w:cs="仿宋"/>
          <w:color w:val="auto"/>
          <w:sz w:val="32"/>
          <w:szCs w:val="32"/>
        </w:rPr>
        <w:t>。负债合计27171.97元，均为其他应付款。资产原值为</w:t>
      </w:r>
      <w:r>
        <w:rPr>
          <w:rFonts w:hint="eastAsia" w:ascii="仿宋" w:hAnsi="仿宋" w:eastAsia="仿宋" w:cs="仿宋"/>
          <w:color w:val="auto"/>
          <w:sz w:val="32"/>
          <w:szCs w:val="32"/>
          <w:lang w:val="en-US" w:eastAsia="zh-CN"/>
        </w:rPr>
        <w:t>581334</w:t>
      </w:r>
      <w:r>
        <w:rPr>
          <w:rFonts w:hint="eastAsia" w:ascii="仿宋" w:hAnsi="仿宋" w:eastAsia="仿宋" w:cs="仿宋"/>
          <w:color w:val="auto"/>
          <w:sz w:val="32"/>
          <w:szCs w:val="32"/>
        </w:rPr>
        <w:t>元，资产净值为</w:t>
      </w:r>
      <w:r>
        <w:rPr>
          <w:rFonts w:hint="eastAsia" w:ascii="仿宋" w:hAnsi="仿宋" w:eastAsia="仿宋" w:cs="仿宋"/>
          <w:color w:val="auto"/>
          <w:sz w:val="32"/>
          <w:szCs w:val="32"/>
          <w:lang w:val="en-US" w:eastAsia="zh-CN"/>
        </w:rPr>
        <w:t>123896.92</w:t>
      </w:r>
      <w:r>
        <w:rPr>
          <w:rFonts w:hint="eastAsia" w:ascii="仿宋" w:hAnsi="仿宋" w:eastAsia="仿宋" w:cs="仿宋"/>
          <w:color w:val="auto"/>
          <w:sz w:val="32"/>
          <w:szCs w:val="32"/>
        </w:rPr>
        <w:t>元。</w:t>
      </w:r>
    </w:p>
    <w:p>
      <w:pPr>
        <w:numPr>
          <w:ilvl w:val="0"/>
          <w:numId w:val="2"/>
        </w:numPr>
        <w:snapToGrid w:val="0"/>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部门收支预决算情况</w:t>
      </w:r>
    </w:p>
    <w:p>
      <w:pPr>
        <w:numPr>
          <w:ilvl w:val="0"/>
          <w:numId w:val="0"/>
        </w:numPr>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color w:val="333333"/>
          <w:sz w:val="32"/>
          <w:szCs w:val="32"/>
          <w:shd w:val="clear" w:color="auto" w:fill="FFFFFF"/>
        </w:rPr>
        <w:t>石家庄市归国华侨联合会20</w:t>
      </w:r>
      <w:r>
        <w:rPr>
          <w:rFonts w:hint="eastAsia" w:ascii="仿宋" w:hAnsi="仿宋" w:eastAsia="仿宋" w:cs="仿宋"/>
          <w:color w:val="333333"/>
          <w:sz w:val="32"/>
          <w:szCs w:val="32"/>
          <w:shd w:val="clear" w:color="auto" w:fill="FFFFFF"/>
          <w:lang w:val="en-US" w:eastAsia="zh-CN"/>
        </w:rPr>
        <w:t>21</w:t>
      </w:r>
      <w:r>
        <w:rPr>
          <w:rFonts w:hint="eastAsia" w:ascii="仿宋" w:hAnsi="仿宋" w:eastAsia="仿宋" w:cs="仿宋"/>
          <w:color w:val="333333"/>
          <w:sz w:val="32"/>
          <w:szCs w:val="32"/>
          <w:shd w:val="clear" w:color="auto" w:fill="FFFFFF"/>
        </w:rPr>
        <w:t>年</w:t>
      </w:r>
      <w:r>
        <w:rPr>
          <w:rFonts w:hint="eastAsia" w:ascii="仿宋" w:hAnsi="仿宋" w:eastAsia="仿宋" w:cs="仿宋"/>
          <w:color w:val="333333"/>
          <w:sz w:val="32"/>
          <w:szCs w:val="32"/>
          <w:shd w:val="clear" w:color="auto" w:fill="FFFFFF"/>
          <w:lang w:eastAsia="zh-CN"/>
        </w:rPr>
        <w:t>度</w:t>
      </w:r>
      <w:r>
        <w:rPr>
          <w:rFonts w:hint="eastAsia" w:ascii="仿宋" w:hAnsi="仿宋" w:eastAsia="仿宋" w:cs="仿宋"/>
          <w:color w:val="333333"/>
          <w:sz w:val="32"/>
          <w:szCs w:val="32"/>
          <w:shd w:val="clear" w:color="auto" w:fill="FFFFFF"/>
        </w:rPr>
        <w:t>预算收入</w:t>
      </w:r>
      <w:r>
        <w:rPr>
          <w:rFonts w:hint="eastAsia" w:ascii="仿宋" w:hAnsi="仿宋" w:eastAsia="仿宋" w:cs="仿宋"/>
          <w:color w:val="333333"/>
          <w:sz w:val="32"/>
          <w:szCs w:val="32"/>
          <w:shd w:val="clear" w:color="auto" w:fill="FFFFFF"/>
          <w:lang w:eastAsia="zh-CN"/>
        </w:rPr>
        <w:t>总计</w:t>
      </w:r>
      <w:r>
        <w:rPr>
          <w:rFonts w:hint="eastAsia" w:ascii="仿宋" w:hAnsi="仿宋" w:eastAsia="仿宋" w:cs="仿宋"/>
          <w:color w:val="333333"/>
          <w:sz w:val="32"/>
          <w:szCs w:val="32"/>
          <w:shd w:val="clear" w:color="auto" w:fill="FFFFFF"/>
          <w:lang w:val="en-US" w:eastAsia="zh-CN"/>
        </w:rPr>
        <w:t>397.248076</w:t>
      </w:r>
      <w:r>
        <w:rPr>
          <w:rFonts w:hint="eastAsia" w:ascii="仿宋" w:hAnsi="仿宋" w:eastAsia="仿宋" w:cs="仿宋"/>
          <w:color w:val="333333"/>
          <w:sz w:val="32"/>
          <w:szCs w:val="32"/>
          <w:shd w:val="clear" w:color="auto" w:fill="FFFFFF"/>
        </w:rPr>
        <w:t>万元</w:t>
      </w:r>
      <w:r>
        <w:rPr>
          <w:rFonts w:hint="eastAsia" w:ascii="仿宋" w:hAnsi="仿宋" w:eastAsia="仿宋" w:cs="仿宋"/>
          <w:color w:val="333333"/>
          <w:sz w:val="32"/>
          <w:szCs w:val="32"/>
          <w:shd w:val="clear" w:color="auto" w:fill="FFFFFF"/>
          <w:lang w:eastAsia="zh-CN"/>
        </w:rPr>
        <w:t>，</w:t>
      </w:r>
      <w:r>
        <w:rPr>
          <w:rFonts w:hint="eastAsia" w:ascii="仿宋" w:hAnsi="仿宋" w:eastAsia="仿宋" w:cs="仿宋"/>
          <w:color w:val="333333"/>
          <w:sz w:val="32"/>
          <w:szCs w:val="32"/>
          <w:shd w:val="clear" w:color="auto" w:fill="FFFFFF"/>
        </w:rPr>
        <w:t>其中，一般公共预算收入</w:t>
      </w:r>
      <w:r>
        <w:rPr>
          <w:rFonts w:hint="eastAsia" w:ascii="仿宋" w:hAnsi="仿宋" w:eastAsia="仿宋" w:cs="仿宋"/>
          <w:color w:val="333333"/>
          <w:sz w:val="32"/>
          <w:szCs w:val="32"/>
          <w:shd w:val="clear" w:color="auto" w:fill="FFFFFF"/>
          <w:lang w:val="en-US" w:eastAsia="zh-CN"/>
        </w:rPr>
        <w:t>356.288076</w:t>
      </w:r>
      <w:r>
        <w:rPr>
          <w:rFonts w:hint="eastAsia" w:ascii="仿宋" w:hAnsi="仿宋" w:eastAsia="仿宋" w:cs="仿宋"/>
          <w:color w:val="333333"/>
          <w:sz w:val="32"/>
          <w:szCs w:val="32"/>
          <w:shd w:val="clear" w:color="auto" w:fill="FFFFFF"/>
        </w:rPr>
        <w:t>万元，上年结转结余</w:t>
      </w:r>
      <w:r>
        <w:rPr>
          <w:rFonts w:hint="eastAsia" w:ascii="仿宋" w:hAnsi="仿宋" w:eastAsia="仿宋" w:cs="仿宋"/>
          <w:color w:val="333333"/>
          <w:sz w:val="32"/>
          <w:szCs w:val="32"/>
          <w:shd w:val="clear" w:color="auto" w:fill="FFFFFF"/>
          <w:lang w:val="en-US" w:eastAsia="zh-CN"/>
        </w:rPr>
        <w:t>40.96</w:t>
      </w:r>
      <w:r>
        <w:rPr>
          <w:rFonts w:hint="eastAsia" w:ascii="仿宋" w:hAnsi="仿宋" w:eastAsia="仿宋" w:cs="仿宋"/>
          <w:color w:val="333333"/>
          <w:sz w:val="32"/>
          <w:szCs w:val="32"/>
          <w:shd w:val="clear" w:color="auto" w:fill="FFFFFF"/>
        </w:rPr>
        <w:t>万元。20</w:t>
      </w:r>
      <w:r>
        <w:rPr>
          <w:rFonts w:hint="eastAsia" w:ascii="仿宋" w:hAnsi="仿宋" w:eastAsia="仿宋" w:cs="仿宋"/>
          <w:color w:val="333333"/>
          <w:sz w:val="32"/>
          <w:szCs w:val="32"/>
          <w:shd w:val="clear" w:color="auto" w:fill="FFFFFF"/>
          <w:lang w:val="en-US" w:eastAsia="zh-CN"/>
        </w:rPr>
        <w:t>21</w:t>
      </w:r>
      <w:r>
        <w:rPr>
          <w:rFonts w:hint="eastAsia" w:ascii="仿宋" w:hAnsi="仿宋" w:eastAsia="仿宋" w:cs="仿宋"/>
          <w:color w:val="333333"/>
          <w:sz w:val="32"/>
          <w:szCs w:val="32"/>
          <w:shd w:val="clear" w:color="auto" w:fill="FFFFFF"/>
        </w:rPr>
        <w:t>年</w:t>
      </w:r>
      <w:r>
        <w:rPr>
          <w:rFonts w:hint="eastAsia" w:ascii="仿宋" w:hAnsi="仿宋" w:eastAsia="仿宋" w:cs="仿宋"/>
          <w:color w:val="333333"/>
          <w:sz w:val="32"/>
          <w:szCs w:val="32"/>
          <w:shd w:val="clear" w:color="auto" w:fill="FFFFFF"/>
          <w:lang w:eastAsia="zh-CN"/>
        </w:rPr>
        <w:t>度</w:t>
      </w:r>
      <w:r>
        <w:rPr>
          <w:rFonts w:hint="eastAsia" w:ascii="仿宋" w:hAnsi="仿宋" w:eastAsia="仿宋" w:cs="仿宋"/>
          <w:color w:val="333333"/>
          <w:sz w:val="32"/>
          <w:szCs w:val="32"/>
          <w:shd w:val="clear" w:color="auto" w:fill="FFFFFF"/>
        </w:rPr>
        <w:t>支出</w:t>
      </w:r>
      <w:r>
        <w:rPr>
          <w:rFonts w:hint="eastAsia" w:ascii="仿宋" w:hAnsi="仿宋" w:eastAsia="仿宋" w:cs="仿宋"/>
          <w:color w:val="333333"/>
          <w:sz w:val="32"/>
          <w:szCs w:val="32"/>
          <w:shd w:val="clear" w:color="auto" w:fill="FFFFFF"/>
          <w:lang w:val="en-US" w:eastAsia="zh-CN"/>
        </w:rPr>
        <w:t>334.252876万元</w:t>
      </w:r>
      <w:r>
        <w:rPr>
          <w:rFonts w:hint="eastAsia" w:ascii="仿宋" w:hAnsi="仿宋" w:eastAsia="仿宋" w:cs="仿宋"/>
          <w:color w:val="333333"/>
          <w:sz w:val="32"/>
          <w:szCs w:val="32"/>
          <w:shd w:val="clear" w:color="auto" w:fill="FFFFFF"/>
          <w:lang w:eastAsia="zh-CN"/>
        </w:rPr>
        <w:t>，</w:t>
      </w:r>
      <w:r>
        <w:rPr>
          <w:rFonts w:hint="eastAsia" w:ascii="仿宋" w:hAnsi="仿宋" w:eastAsia="仿宋" w:cs="仿宋"/>
          <w:color w:val="333333"/>
          <w:sz w:val="32"/>
          <w:szCs w:val="32"/>
          <w:shd w:val="clear" w:color="auto" w:fill="FFFFFF"/>
        </w:rPr>
        <w:t>结转结余</w:t>
      </w:r>
      <w:r>
        <w:rPr>
          <w:rFonts w:hint="eastAsia" w:ascii="仿宋" w:hAnsi="仿宋" w:eastAsia="仿宋" w:cs="仿宋"/>
          <w:color w:val="333333"/>
          <w:sz w:val="32"/>
          <w:szCs w:val="32"/>
          <w:shd w:val="clear" w:color="auto" w:fill="FFFFFF"/>
          <w:lang w:val="en-US" w:eastAsia="zh-CN"/>
        </w:rPr>
        <w:t>62.9952</w:t>
      </w:r>
      <w:r>
        <w:rPr>
          <w:rFonts w:hint="eastAsia" w:ascii="仿宋" w:hAnsi="仿宋" w:eastAsia="仿宋" w:cs="仿宋"/>
          <w:color w:val="333333"/>
          <w:sz w:val="32"/>
          <w:szCs w:val="32"/>
          <w:shd w:val="clear" w:color="auto" w:fill="FFFFFF"/>
        </w:rPr>
        <w:t>万元</w:t>
      </w:r>
      <w:r>
        <w:rPr>
          <w:rFonts w:hint="eastAsia" w:ascii="仿宋" w:hAnsi="仿宋" w:eastAsia="仿宋" w:cs="仿宋"/>
          <w:color w:val="333333"/>
          <w:sz w:val="32"/>
          <w:szCs w:val="32"/>
          <w:shd w:val="clear" w:color="auto" w:fill="FFFFFF"/>
          <w:lang w:eastAsia="zh-CN"/>
        </w:rPr>
        <w:t>。</w:t>
      </w:r>
      <w:r>
        <w:rPr>
          <w:rFonts w:hint="eastAsia" w:ascii="仿宋" w:hAnsi="仿宋" w:eastAsia="仿宋" w:cs="仿宋"/>
          <w:color w:val="333333"/>
          <w:sz w:val="32"/>
          <w:szCs w:val="32"/>
          <w:shd w:val="clear" w:color="auto" w:fill="FFFFFF"/>
        </w:rPr>
        <w:t>其中，人员经费支出</w:t>
      </w:r>
      <w:r>
        <w:rPr>
          <w:rFonts w:hint="eastAsia" w:ascii="仿宋" w:hAnsi="仿宋" w:eastAsia="仿宋" w:cs="仿宋"/>
          <w:color w:val="333333"/>
          <w:sz w:val="32"/>
          <w:szCs w:val="32"/>
          <w:shd w:val="clear" w:color="auto" w:fill="FFFFFF"/>
          <w:lang w:val="en-US" w:eastAsia="zh-CN"/>
        </w:rPr>
        <w:t>218.234413</w:t>
      </w:r>
      <w:r>
        <w:rPr>
          <w:rFonts w:hint="eastAsia" w:ascii="仿宋" w:hAnsi="仿宋" w:eastAsia="仿宋" w:cs="仿宋"/>
          <w:color w:val="333333"/>
          <w:sz w:val="32"/>
          <w:szCs w:val="32"/>
          <w:shd w:val="clear" w:color="auto" w:fill="FFFFFF"/>
        </w:rPr>
        <w:t>万元，正常公用经费</w:t>
      </w:r>
      <w:r>
        <w:rPr>
          <w:rFonts w:hint="eastAsia" w:ascii="仿宋" w:hAnsi="仿宋" w:eastAsia="仿宋" w:cs="仿宋"/>
          <w:color w:val="333333"/>
          <w:sz w:val="32"/>
          <w:szCs w:val="32"/>
          <w:shd w:val="clear" w:color="auto" w:fill="FFFFFF"/>
          <w:lang w:val="en-US" w:eastAsia="zh-CN"/>
        </w:rPr>
        <w:t>36.047335</w:t>
      </w:r>
      <w:r>
        <w:rPr>
          <w:rFonts w:hint="eastAsia" w:ascii="仿宋" w:hAnsi="仿宋" w:eastAsia="仿宋" w:cs="仿宋"/>
          <w:color w:val="333333"/>
          <w:sz w:val="32"/>
          <w:szCs w:val="32"/>
          <w:shd w:val="clear" w:color="auto" w:fill="FFFFFF"/>
        </w:rPr>
        <w:t>万元，项目支出</w:t>
      </w:r>
      <w:r>
        <w:rPr>
          <w:rFonts w:hint="eastAsia" w:ascii="仿宋" w:hAnsi="仿宋" w:eastAsia="仿宋" w:cs="仿宋"/>
          <w:color w:val="333333"/>
          <w:sz w:val="32"/>
          <w:szCs w:val="32"/>
          <w:shd w:val="clear" w:color="auto" w:fill="FFFFFF"/>
          <w:lang w:val="en-US" w:eastAsia="zh-CN"/>
        </w:rPr>
        <w:t>79.971128</w:t>
      </w:r>
      <w:r>
        <w:rPr>
          <w:rFonts w:hint="eastAsia" w:ascii="仿宋" w:hAnsi="仿宋" w:eastAsia="仿宋" w:cs="仿宋"/>
          <w:color w:val="333333"/>
          <w:sz w:val="32"/>
          <w:szCs w:val="32"/>
          <w:shd w:val="clear" w:color="auto" w:fill="FFFFFF"/>
        </w:rPr>
        <w:t>万元。</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（三）部门整体支出绩效目标、指标</w:t>
      </w:r>
    </w:p>
    <w:p>
      <w:pPr>
        <w:snapToGrid w:val="0"/>
        <w:spacing w:line="360" w:lineRule="auto"/>
        <w:ind w:firstLine="640" w:firstLineChars="200"/>
        <w:rPr>
          <w:rFonts w:hint="eastAsia" w:ascii="仿宋" w:hAnsi="仿宋" w:eastAsia="仿宋" w:cs="仿宋"/>
          <w:color w:val="333333"/>
          <w:sz w:val="32"/>
          <w:szCs w:val="32"/>
          <w:shd w:val="clear" w:color="auto" w:fill="FFFFFF"/>
        </w:rPr>
      </w:pPr>
      <w:r>
        <w:rPr>
          <w:rFonts w:hint="eastAsia" w:ascii="仿宋" w:hAnsi="仿宋" w:eastAsia="仿宋" w:cs="仿宋"/>
          <w:color w:val="333333"/>
          <w:sz w:val="32"/>
          <w:szCs w:val="32"/>
          <w:shd w:val="clear" w:color="auto" w:fill="FFFFFF"/>
        </w:rPr>
        <w:t>全面学习习近平新时代中国特色社会主义思想，深入学习贯彻党的十九届五中全会、省委九届十一次会议、市委十届十次会议精神，围绕市委、市政府的决策部署，在中国侨联和河北省侨联的指导下，坚持“两个并重”、“两个拓展”，积极推进两个建设，深化侨联改革。参与社会管理，加强海内外文化交流，积极服务省会经济发展。做好侨联基础建设工作。</w:t>
      </w:r>
    </w:p>
    <w:p>
      <w:pPr>
        <w:snapToGrid w:val="0"/>
        <w:spacing w:line="360" w:lineRule="auto"/>
        <w:ind w:firstLine="640" w:firstLineChars="200"/>
        <w:rPr>
          <w:rFonts w:ascii="仿宋" w:hAnsi="仿宋" w:eastAsia="仿宋"/>
          <w:sz w:val="32"/>
        </w:rPr>
      </w:pPr>
      <w:r>
        <w:rPr>
          <w:rFonts w:hint="eastAsia" w:ascii="黑体" w:hAnsi="黑体" w:eastAsia="黑体" w:cs="黑体"/>
          <w:sz w:val="32"/>
          <w:szCs w:val="32"/>
        </w:rPr>
        <w:t>二、绩效自评工作组织开展情况</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（一）自评的组织工作</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color w:val="333333"/>
          <w:sz w:val="32"/>
          <w:szCs w:val="32"/>
          <w:shd w:val="clear" w:color="auto" w:fill="FFFFFF"/>
        </w:rPr>
        <w:t>我</w:t>
      </w:r>
      <w:r>
        <w:rPr>
          <w:rFonts w:hint="eastAsia" w:ascii="仿宋" w:hAnsi="仿宋" w:eastAsia="仿宋" w:cs="仿宋"/>
          <w:color w:val="333333"/>
          <w:sz w:val="32"/>
          <w:szCs w:val="32"/>
          <w:shd w:val="clear" w:color="auto" w:fill="FFFFFF"/>
          <w:lang w:eastAsia="zh-CN"/>
        </w:rPr>
        <w:t>会</w:t>
      </w:r>
      <w:r>
        <w:rPr>
          <w:rFonts w:hint="eastAsia" w:ascii="仿宋" w:hAnsi="仿宋" w:eastAsia="仿宋" w:cs="仿宋"/>
          <w:color w:val="333333"/>
          <w:sz w:val="32"/>
          <w:szCs w:val="32"/>
          <w:shd w:val="clear" w:color="auto" w:fill="FFFFFF"/>
        </w:rPr>
        <w:t>成立了预算绩效管理领导小组，定期或不定期召开会议，研究、协调、解决预算绩效管理工作中存在的问題，确保我</w:t>
      </w:r>
      <w:r>
        <w:rPr>
          <w:rFonts w:hint="eastAsia" w:ascii="仿宋" w:hAnsi="仿宋" w:eastAsia="仿宋" w:cs="仿宋"/>
          <w:color w:val="333333"/>
          <w:sz w:val="32"/>
          <w:szCs w:val="32"/>
          <w:shd w:val="clear" w:color="auto" w:fill="FFFFFF"/>
          <w:lang w:eastAsia="zh-CN"/>
        </w:rPr>
        <w:t>会</w:t>
      </w:r>
      <w:r>
        <w:rPr>
          <w:rFonts w:hint="eastAsia" w:ascii="仿宋" w:hAnsi="仿宋" w:eastAsia="仿宋" w:cs="仿宋"/>
          <w:color w:val="333333"/>
          <w:sz w:val="32"/>
          <w:szCs w:val="32"/>
          <w:shd w:val="clear" w:color="auto" w:fill="FFFFFF"/>
        </w:rPr>
        <w:t>预算绩效管理工作顺利推进。绩效自评工作中，多次召开会议，确保自评工作顺利开展。</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（二）自评的方法和过程</w:t>
      </w:r>
    </w:p>
    <w:p>
      <w:pPr>
        <w:snapToGrid w:val="0"/>
        <w:spacing w:line="360" w:lineRule="auto"/>
        <w:ind w:firstLine="640" w:firstLineChars="200"/>
        <w:rPr>
          <w:rFonts w:ascii="仿宋" w:hAnsi="仿宋" w:eastAsia="仿宋" w:cs="仿宋"/>
          <w:color w:val="333333"/>
          <w:sz w:val="32"/>
          <w:szCs w:val="32"/>
          <w:shd w:val="clear" w:color="auto" w:fill="FFFFFF"/>
        </w:rPr>
      </w:pPr>
      <w:r>
        <w:rPr>
          <w:rFonts w:hint="eastAsia" w:ascii="仿宋" w:hAnsi="仿宋" w:eastAsia="仿宋" w:cs="仿宋"/>
          <w:sz w:val="32"/>
          <w:szCs w:val="32"/>
        </w:rPr>
        <w:t>我</w:t>
      </w:r>
      <w:r>
        <w:rPr>
          <w:rFonts w:hint="eastAsia" w:ascii="仿宋" w:hAnsi="仿宋" w:eastAsia="仿宋" w:cs="仿宋"/>
          <w:sz w:val="32"/>
          <w:szCs w:val="32"/>
          <w:lang w:eastAsia="zh-CN"/>
        </w:rPr>
        <w:t>会</w:t>
      </w:r>
      <w:r>
        <w:rPr>
          <w:rFonts w:hint="eastAsia" w:ascii="仿宋" w:hAnsi="仿宋" w:eastAsia="仿宋" w:cs="仿宋"/>
          <w:sz w:val="32"/>
          <w:szCs w:val="32"/>
        </w:rPr>
        <w:t>以绩效目标实现为导向，进一步加强制度建设，提升自评质量。一是抓好绩效目标编制，及时报送绩效目标。二是做好了绩效跟踪监控，按要求加强过程监控。三是深入开展财政支出绩效评价，对2021年度项目按照年初绩效目标逐一核查，</w:t>
      </w:r>
      <w:r>
        <w:rPr>
          <w:rFonts w:hint="eastAsia" w:ascii="仿宋" w:hAnsi="仿宋" w:eastAsia="仿宋" w:cs="仿宋"/>
          <w:color w:val="333333"/>
          <w:sz w:val="32"/>
          <w:szCs w:val="32"/>
          <w:shd w:val="clear" w:color="auto" w:fill="FFFFFF"/>
        </w:rPr>
        <w:t>预算项目绩效目标完成达标，达到了年初预算项目安排的工作目标。</w:t>
      </w:r>
      <w:r>
        <w:rPr>
          <w:rFonts w:hint="eastAsia" w:ascii="仿宋" w:hAnsi="仿宋" w:eastAsia="仿宋" w:cs="仿宋"/>
          <w:sz w:val="32"/>
          <w:szCs w:val="32"/>
        </w:rPr>
        <w:t>四是强化评价结果应用。组织绩效自评和绩效跟踪监控，对发现的问题及时改正，加强评价结果与项目资金安排的衔接。五是健全绩效管理工作机制，明确职责分工，努力提高了绩效管理工作水平。</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三、部门整体支出绩效目标实现情况及指标分析</w:t>
      </w:r>
    </w:p>
    <w:p>
      <w:pPr>
        <w:snapToGrid w:val="0"/>
        <w:spacing w:line="360" w:lineRule="auto"/>
        <w:ind w:firstLine="640" w:firstLineChars="200"/>
        <w:jc w:val="left"/>
        <w:rPr>
          <w:rFonts w:ascii="黑体" w:hAnsi="黑体" w:eastAsia="黑体" w:cs="黑体"/>
          <w:sz w:val="32"/>
          <w:szCs w:val="32"/>
        </w:rPr>
      </w:pPr>
      <w:r>
        <w:rPr>
          <w:rFonts w:hint="eastAsia" w:ascii="黑体" w:hAnsi="黑体" w:eastAsia="黑体" w:cs="黑体"/>
          <w:sz w:val="32"/>
          <w:szCs w:val="32"/>
        </w:rPr>
        <w:t>（一）总体绩效目标实现情况</w:t>
      </w:r>
    </w:p>
    <w:p>
      <w:pPr>
        <w:snapToGrid w:val="0"/>
        <w:spacing w:line="360" w:lineRule="auto"/>
        <w:ind w:firstLine="640" w:firstLineChars="200"/>
        <w:rPr>
          <w:rFonts w:hint="eastAsia" w:ascii="黑体" w:hAnsi="黑体" w:eastAsia="黑体" w:cs="黑体"/>
          <w:color w:val="auto"/>
          <w:sz w:val="32"/>
          <w:szCs w:val="32"/>
        </w:rPr>
      </w:pPr>
      <w:r>
        <w:rPr>
          <w:rFonts w:hint="eastAsia" w:ascii="仿宋" w:hAnsi="仿宋" w:eastAsia="仿宋" w:cs="仿宋"/>
          <w:color w:val="auto"/>
          <w:sz w:val="32"/>
          <w:szCs w:val="32"/>
        </w:rPr>
        <w:t>2021年石家庄市侨联全面学习习近平新时代中国特色社会主义思想，深入学习贯彻党的十九届五中全会、省委九届十一次会议、市委十届十次会议精神，围绕市委、市政府的决策部署，在中国侨联和河北省侨联的指导下，坚持“两个并重”、“两个拓展”，积极推进两个建设，深化侨联改革</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参与社会管理，加强海内外文化交流，积极服务省会经济发展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做好侨联基础建设工作</w:t>
      </w:r>
      <w:r>
        <w:rPr>
          <w:rFonts w:hint="eastAsia" w:ascii="仿宋" w:hAnsi="仿宋" w:eastAsia="仿宋" w:cs="仿宋"/>
          <w:color w:val="auto"/>
          <w:sz w:val="32"/>
          <w:szCs w:val="32"/>
          <w:lang w:eastAsia="zh-CN"/>
        </w:rPr>
        <w:t>，圆满完成各项指标任务。</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（二）分项绩效目标实现情况及指标分析</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lang w:val="en-US" w:eastAsia="zh-CN"/>
        </w:rPr>
        <w:t>1.</w:t>
      </w:r>
      <w:r>
        <w:rPr>
          <w:rFonts w:hint="eastAsia" w:ascii="仿宋" w:hAnsi="仿宋" w:eastAsia="仿宋" w:cs="仿宋"/>
          <w:kern w:val="2"/>
          <w:sz w:val="32"/>
          <w:szCs w:val="32"/>
        </w:rPr>
        <w:t>发挥桥梁纽带作用，服务省会发展大局</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rPr>
        <w:t>争取中国侨联、省侨联支持，为建设现代化、国际化美丽省会贡献侨界力量。利用出席2021数博会的时机，邀请中央委员、中国侨联党组书记、主席万立骏，到我市侨资侨属企业东旭集团围绕我市新侨创新创业等情况进行走访调研；邀请省侨联领导分别赴正定县、鹿泉区、藁城区、赞皇县等地对侨资侨属企业进行考察调研，了解企业发展过程中遇到的困难和问题，并就相关工作提出指导意见。市侨联领导先后对侨联委员进行走访调研，组织21名侨商在藁城举办了“创业中华˙创新河北”海内外侨商藁城行活动，努力搭建引侨资汇侨智的平台，拓宽海内外侨商侨领与石家庄的交流合作渠道。</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rPr>
        <w:t>凝神聚智，招贤引才，为省会人才强市贡献侨智。依托市委市人才强市契机，积极探索发挥侨联委员主体作用和服务新侨创新创业、归国留学人员的有效方式方法，不断涵养侨界人才资源。立足侨联常委、委员，特别是侨胞之家、新侨工作站等抓手和载体，开展好人才交流活动，营造侨联引才引智浓厚氛围。积极筹划域外人才“雁回巢”活动和第一届“海石杯”高层次人才创新创业大赛，推选10名域外侨界优秀人才入选市人才信息库，推荐市管拔尖人才1名；推荐省侨联侨界专家委员会青年专家人选3名，推荐石家庄市欧美同学会（石家庄市留学人员联谊会）会员人选5名，推荐续期市第三批高层次人才支持计划人选1名。</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lang w:val="en-US" w:eastAsia="zh-CN"/>
        </w:rPr>
        <w:t>2.</w:t>
      </w:r>
      <w:r>
        <w:rPr>
          <w:rFonts w:hint="eastAsia" w:ascii="仿宋" w:hAnsi="仿宋" w:eastAsia="仿宋" w:cs="仿宋"/>
          <w:kern w:val="2"/>
          <w:sz w:val="32"/>
          <w:szCs w:val="32"/>
        </w:rPr>
        <w:t>持续推进基层组织建设，夯实基层基础</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rPr>
        <w:t>巩本建新，持续发力，促进“侨胞之家”、“新侨工作站”建设全面推进。侨联组织的活力在基层、优势在基层、生命在基层，我会始终把基层侨联组织建设作为工作重点，先后出台《石家庄市侨联2021年度创建“侨胞之家”实施办法》、《关于恢复或成立基层侨联组织的通知》、《加强“侨胞之家”建设的意见》等文件。通过市侨联的持续全面推进和县区党委的支持，截止目前，桥西区、新华区、栾城区、鹿泉区、正定县、赵县、元氏县等9个县（区）已完成侨联换届。创建侨胞之家14家，新侨工作站6家，其中有市级“侨胞之家”12家，省级“侨胞之家”2家。我会基层侨联组织建设和“侨胞之家”建设得到中国侨联、省侨联的高度评价，并在省侨联组织召开的基层建设工作会议介绍了经验作法。</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rPr>
        <w:t>立足阵地，激发活力，以“侨胞之家”活动开展促侨联组织凝聚力向心力提升。一年来，“侨胞之家”建设成效显著，在联络联谊、为侨服务等方面发挥了重要作用。栾城区“侨胞之家”的侨胞志愿者服务队、鹿泉区大者“侨胞之家”的“冀侨讲堂”、长安区艺果培训学校“侨胞之家”的庆祝中华人民共和国成立70周年、建党100周年联谊活动；正定县“侨胞之家”100余人的企业家沙龙；合创大厦“侨胞之家”针对创新创业以及留学归国人员政策解读，“侨胞之家”已成为侨界群众的情感地标和精神家园。七一前夕，我会与省侨联联合举办了“冀侨讲堂”启动仪式，并邀请专家讲授“祖国兴衰荣辱与共”专题党课，在省会侨界营造了浓厚的庆祝建党100周年氛围，体现了党有号召、侨有行动。</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lang w:val="en-US" w:eastAsia="zh-CN"/>
        </w:rPr>
        <w:t>3.</w:t>
      </w:r>
      <w:r>
        <w:rPr>
          <w:rFonts w:hint="eastAsia" w:ascii="仿宋" w:hAnsi="仿宋" w:eastAsia="仿宋" w:cs="仿宋"/>
          <w:kern w:val="2"/>
          <w:sz w:val="32"/>
          <w:szCs w:val="32"/>
        </w:rPr>
        <w:t>弘扬燕赵文化，促进海内外文化交流</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rPr>
        <w:t>依托载体，畅通渠道，侨联组织为联络文化交流搭桥铺路。以“数博会”、“合作会”等省市品牌活动和传统节日为载体，不断巩固亚、美、欧、非洲等地海外联络阵地，重点加强同“一带一路”沿线国家侨社团联系。在路易·艾黎124岁诞辰纪念日之际，我会配合省侨联在河北师范大学举行了弘扬路易·黎精神暨新西兰研究中心揭牌仪式，进一步促进省会和新西兰的友好交流。同时，与来访的海南和成都考察团就侨联组织建设、服务经济发展等方面进行探讨，为两地侨联共享侨务资源、携手发展奠定基础。</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rPr>
        <w:t>创新手段，线上线下，拓展侨联对外文化交流新模式。发挥省会高校作用，举办“亲情中华·为你讲故事”网上春、秋令营，通过中华经典故事、疫情防控知识、河北风景名胜等视频、动画，引导来自巴拿马、西班牙、英国近250名华裔青少年了解中国国情、中国文化、燕赵文化，当好连接中外的桥梁，做好传承优秀文化的小使者。联合市教育局组织全市44所学校、5.1万余名高中学生参加第二十二届世界华人学生作文大赛，引导青少年围绕省会讲好中华好故事，传播燕赵好声音，进一步促进了海内外华人青少年的文化交流，展现了石家庄新形象。</w:t>
      </w:r>
    </w:p>
    <w:p>
      <w:pPr>
        <w:pStyle w:val="6"/>
        <w:shd w:val="clear" w:color="auto" w:fill="FFFFFF"/>
        <w:snapToGrid w:val="0"/>
        <w:spacing w:before="0" w:beforeAutospacing="0" w:after="0" w:afterAutospacing="0" w:line="360" w:lineRule="auto"/>
        <w:ind w:firstLine="640" w:firstLineChars="200"/>
        <w:jc w:val="both"/>
        <w:rPr>
          <w:rFonts w:hint="eastAsia" w:ascii="仿宋" w:hAnsi="仿宋" w:eastAsia="仿宋" w:cs="仿宋"/>
          <w:kern w:val="2"/>
          <w:sz w:val="32"/>
          <w:szCs w:val="32"/>
        </w:rPr>
      </w:pPr>
      <w:r>
        <w:rPr>
          <w:rFonts w:hint="eastAsia" w:ascii="仿宋" w:hAnsi="仿宋" w:eastAsia="仿宋" w:cs="仿宋"/>
          <w:kern w:val="2"/>
          <w:sz w:val="32"/>
          <w:szCs w:val="32"/>
          <w:lang w:val="en-US" w:eastAsia="zh-CN"/>
        </w:rPr>
        <w:t>4.</w:t>
      </w:r>
      <w:r>
        <w:rPr>
          <w:rFonts w:hint="eastAsia" w:ascii="仿宋" w:hAnsi="仿宋" w:eastAsia="仿宋" w:cs="仿宋"/>
          <w:kern w:val="2"/>
          <w:sz w:val="32"/>
          <w:szCs w:val="32"/>
        </w:rPr>
        <w:t>树牢法治思维，提升依法工作水平</w:t>
      </w:r>
    </w:p>
    <w:p>
      <w:pPr>
        <w:pStyle w:val="6"/>
        <w:shd w:val="clear" w:color="auto" w:fill="FFFFFF"/>
        <w:snapToGrid w:val="0"/>
        <w:spacing w:before="0" w:beforeAutospacing="0" w:after="0" w:afterAutospacing="0" w:line="360" w:lineRule="auto"/>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市侨联党组高度重视法治建设和国家安全工作，多次召开党组会专题研究法治建设和国家安全工作，将这两项工作同侨联业务工作同谋划、同部署、同落实，并分别成立领导小组，明确专人负责，切实加强组织领导，压紧压实工作责任，形成了齐抓共管、分工明确、共同推进的工作格局。一是抓好侨联机关法治建设和国家安全工作。发挥党组理论学习中心组带头作用，深入学习贯彻习近平法治思想和习近平总书记“七一”重要讲话精神，认真学习《习近平关于总体国家安全观论述摘编》、《宪法》、《民法典》、《网络安全法》、《中华人民共和国归侨侨眷权益</w:t>
      </w:r>
      <w:bookmarkStart w:id="0" w:name="_GoBack"/>
      <w:r>
        <w:rPr>
          <w:rFonts w:hint="eastAsia" w:ascii="仿宋" w:hAnsi="仿宋" w:eastAsia="仿宋" w:cs="仿宋"/>
          <w:kern w:val="2"/>
          <w:sz w:val="32"/>
          <w:szCs w:val="32"/>
        </w:rPr>
        <w:t>保护法</w:t>
      </w:r>
      <w:bookmarkEnd w:id="0"/>
      <w:r>
        <w:rPr>
          <w:rFonts w:hint="eastAsia" w:ascii="仿宋" w:hAnsi="仿宋" w:eastAsia="仿宋" w:cs="仿宋"/>
          <w:kern w:val="2"/>
          <w:sz w:val="32"/>
          <w:szCs w:val="32"/>
        </w:rPr>
        <w:t xml:space="preserve">》等法律法规文件，组织机关全体人员观看安全教育视频短片，参加2021年石家庄市宪法法律知识考试等活动，切实提高了机关人员的法律意识和防范能力。二是加强宣传教育，在省会侨界营造学法用法守法的浓厚氛围。通过印制《市侨联关于在归侨侨眷中开展法治宣传教育的第八个五年规划》，在大者侨胞之家举办“法治河北，冀侨同心”普法讲座，在石家庄市长安区艺果文化艺术培训学校“侨胞之家”创建侨法宣传角，组织部分省会侨界人士到西柏坡国家安全教育馆参观以及开展民法典进侨企等活动，积极宣传党的涉侨政策法律，引导省会侨界群众增强社会主义法治观念，通过正常渠道反映呼声、解决困难。引导海外侨胞侨领侨团发扬自强不息、敬业乐群、扶危济困等中华传统美德，积极融入和回馈当地社会，遵守驻在国法律，尊重当地习俗，与驻在国人民和睦相处，用自己的劳动、创造和奉献赢得信任和尊重，展示中华儿女的良好形象。全年，我会推荐省侨联法顾委委员5名，推荐石家庄中院涉侨调解员9名，聘请2名律师担任市侨联常年法律顾问。   </w:t>
      </w:r>
    </w:p>
    <w:p>
      <w:pPr>
        <w:snapToGrid w:val="0"/>
        <w:spacing w:line="360" w:lineRule="auto"/>
        <w:ind w:firstLine="640" w:firstLineChars="200"/>
        <w:jc w:val="left"/>
        <w:rPr>
          <w:rFonts w:ascii="黑体" w:hAnsi="黑体" w:eastAsia="黑体" w:cs="黑体"/>
          <w:sz w:val="32"/>
          <w:szCs w:val="32"/>
        </w:rPr>
      </w:pPr>
      <w:r>
        <w:rPr>
          <w:rFonts w:hint="eastAsia" w:ascii="黑体" w:hAnsi="黑体" w:eastAsia="黑体" w:cs="黑体"/>
          <w:sz w:val="32"/>
          <w:szCs w:val="32"/>
        </w:rPr>
        <w:t>四、评价结论和评价等级</w:t>
      </w:r>
    </w:p>
    <w:p>
      <w:pPr>
        <w:snapToGrid w:val="0"/>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根据部门职责定位和各项工作履职情况进行综合评价，给出总得分</w:t>
      </w:r>
      <w:r>
        <w:rPr>
          <w:rFonts w:hint="eastAsia" w:ascii="仿宋" w:hAnsi="仿宋" w:eastAsia="仿宋" w:cs="仿宋"/>
          <w:sz w:val="32"/>
          <w:szCs w:val="32"/>
          <w:lang w:val="en-US" w:eastAsia="zh-CN"/>
        </w:rPr>
        <w:t>85</w:t>
      </w:r>
      <w:r>
        <w:rPr>
          <w:rFonts w:hint="eastAsia" w:ascii="仿宋" w:hAnsi="仿宋" w:eastAsia="仿宋" w:cs="仿宋"/>
          <w:sz w:val="32"/>
          <w:szCs w:val="32"/>
        </w:rPr>
        <w:t>分，综合绩效评价等级为优秀。</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五、存在问题及改进措施</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rPr>
      </w:pPr>
      <w:r>
        <w:rPr>
          <w:rFonts w:hint="eastAsia" w:ascii="仿宋" w:hAnsi="仿宋" w:eastAsia="仿宋" w:cs="仿宋"/>
          <w:kern w:val="2"/>
          <w:sz w:val="32"/>
          <w:szCs w:val="32"/>
        </w:rPr>
        <w:t>一是提高认识。我单位部分人员对绩效管理认识不足，下一步将加大绩效管理宣传力度，使单位内部各部门都能参与进来，提高大家对绩效自评的认识。</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rPr>
      </w:pPr>
      <w:r>
        <w:rPr>
          <w:rFonts w:hint="eastAsia" w:ascii="仿宋" w:hAnsi="仿宋" w:eastAsia="仿宋" w:cs="仿宋"/>
          <w:kern w:val="2"/>
          <w:sz w:val="32"/>
          <w:szCs w:val="32"/>
        </w:rPr>
        <w:t>二是科学设置绩效指标。克服运用一些共性指标，针对不同项目设置个性化、实效化指标，使绩效管理更加合理化。</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lang w:eastAsia="zh-CN"/>
        </w:rPr>
      </w:pPr>
      <w:r>
        <w:rPr>
          <w:rFonts w:hint="eastAsia" w:ascii="仿宋" w:hAnsi="仿宋" w:eastAsia="仿宋" w:cs="仿宋"/>
          <w:kern w:val="2"/>
          <w:sz w:val="32"/>
          <w:szCs w:val="32"/>
          <w:lang w:eastAsia="zh-CN"/>
        </w:rPr>
        <w:t>三是充分运用绩效评价结果。通过自评，认真梳理全年工作，合理安排资金及完成时限，使预算更加趋于合理。</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kern w:val="2"/>
          <w:sz w:val="32"/>
          <w:szCs w:val="32"/>
        </w:rPr>
      </w:pPr>
      <w:r>
        <w:rPr>
          <w:rFonts w:hint="eastAsia" w:ascii="仿宋" w:hAnsi="仿宋" w:eastAsia="仿宋" w:cs="仿宋"/>
          <w:kern w:val="2"/>
          <w:sz w:val="32"/>
          <w:szCs w:val="32"/>
          <w:lang w:eastAsia="zh-CN"/>
        </w:rPr>
        <w:t>四是通过绩效评价，促进工作计划、预算编制的制度化，科学化建设，促进实现绩效目标的积极性。</w:t>
      </w:r>
    </w:p>
    <w:p>
      <w:pPr>
        <w:keepNext w:val="0"/>
        <w:keepLines w:val="0"/>
        <w:pageBreakBefore w:val="0"/>
        <w:widowControl w:val="0"/>
        <w:numPr>
          <w:ilvl w:val="0"/>
          <w:numId w:val="3"/>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黑体" w:eastAsia="黑体"/>
          <w:b w:val="0"/>
          <w:bCs w:val="0"/>
          <w:sz w:val="32"/>
          <w:szCs w:val="32"/>
        </w:rPr>
      </w:pPr>
      <w:r>
        <w:rPr>
          <w:rFonts w:hint="eastAsia" w:ascii="黑体" w:eastAsia="黑体"/>
          <w:b w:val="0"/>
          <w:bCs w:val="0"/>
          <w:sz w:val="32"/>
          <w:szCs w:val="32"/>
        </w:rPr>
        <w:t>评价工作组人员名单</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u w:val="none"/>
          <w:lang w:val="en-US" w:eastAsia="zh-CN"/>
        </w:rPr>
      </w:pPr>
      <w:r>
        <w:rPr>
          <w:rFonts w:hint="eastAsia" w:ascii="仿宋" w:hAnsi="仿宋" w:eastAsia="仿宋" w:cs="仿宋"/>
          <w:sz w:val="32"/>
          <w:szCs w:val="32"/>
          <w:lang w:val="en-US" w:eastAsia="zh-CN"/>
        </w:rPr>
        <w:t>组  长：</w:t>
      </w:r>
      <w:r>
        <w:rPr>
          <w:rFonts w:hint="eastAsia" w:ascii="仿宋" w:hAnsi="仿宋" w:eastAsia="仿宋" w:cs="仿宋"/>
          <w:sz w:val="32"/>
          <w:szCs w:val="32"/>
          <w:u w:val="none"/>
          <w:lang w:val="en-US" w:eastAsia="zh-CN"/>
        </w:rPr>
        <w:t>杨全占    三级调研员</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副组长：张增会</w:t>
      </w:r>
      <w:r>
        <w:rPr>
          <w:rFonts w:hint="eastAsia" w:ascii="仿宋" w:hAnsi="仿宋" w:eastAsia="仿宋" w:cs="仿宋"/>
          <w:sz w:val="32"/>
          <w:szCs w:val="32"/>
          <w:u w:val="none"/>
          <w:lang w:val="en-US" w:eastAsia="zh-CN"/>
        </w:rPr>
        <w:t xml:space="preserve">    办公室副主任</w:t>
      </w:r>
      <w:r>
        <w:rPr>
          <w:rFonts w:hint="eastAsia" w:ascii="仿宋" w:hAnsi="仿宋" w:eastAsia="仿宋" w:cs="仿宋"/>
          <w:sz w:val="32"/>
          <w:szCs w:val="32"/>
          <w:lang w:val="en-US" w:eastAsia="zh-CN"/>
        </w:rPr>
        <w:t xml:space="preserve">      </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kern w:val="2"/>
          <w:sz w:val="32"/>
          <w:szCs w:val="32"/>
        </w:rPr>
      </w:pPr>
      <w:r>
        <w:rPr>
          <w:rFonts w:hint="eastAsia" w:ascii="仿宋" w:hAnsi="仿宋" w:eastAsia="仿宋" w:cs="仿宋"/>
          <w:sz w:val="32"/>
          <w:szCs w:val="32"/>
          <w:lang w:val="en-US" w:eastAsia="zh-CN"/>
        </w:rPr>
        <w:t>组  员：夏龙飞    三级主任科员</w:t>
      </w:r>
      <w:r>
        <w:rPr>
          <w:rFonts w:hint="eastAsia" w:ascii="仿宋" w:hAnsi="仿宋" w:eastAsia="仿宋" w:cs="仿宋"/>
          <w:kern w:val="2"/>
          <w:sz w:val="32"/>
          <w:szCs w:val="32"/>
        </w:rPr>
        <w:t xml:space="preserve"> </w:t>
      </w:r>
    </w:p>
    <w:p>
      <w:pPr>
        <w:snapToGrid w:val="0"/>
        <w:spacing w:line="360" w:lineRule="auto"/>
        <w:ind w:firstLine="640" w:firstLineChars="200"/>
        <w:rPr>
          <w:rFonts w:ascii="楷体" w:hAnsi="楷体" w:eastAsia="楷体" w:cs="楷体"/>
          <w:sz w:val="32"/>
          <w:szCs w:val="32"/>
        </w:rPr>
      </w:pPr>
    </w:p>
    <w:p>
      <w:pPr>
        <w:pStyle w:val="6"/>
        <w:shd w:val="clear" w:color="auto" w:fill="FFFFFF"/>
        <w:spacing w:before="0" w:beforeAutospacing="0" w:after="0" w:afterAutospacing="0"/>
        <w:ind w:firstLine="5241" w:firstLineChars="1638"/>
        <w:jc w:val="both"/>
        <w:rPr>
          <w:rFonts w:ascii="仿宋" w:hAnsi="仿宋" w:eastAsia="仿宋" w:cs="仿宋"/>
          <w:kern w:val="2"/>
          <w:sz w:val="32"/>
          <w:szCs w:val="32"/>
        </w:rPr>
      </w:pPr>
      <w:r>
        <w:rPr>
          <w:rFonts w:hint="eastAsia" w:ascii="仿宋" w:hAnsi="仿宋" w:eastAsia="仿宋" w:cs="仿宋"/>
          <w:kern w:val="2"/>
          <w:sz w:val="32"/>
          <w:szCs w:val="32"/>
        </w:rPr>
        <w:t>石家庄市</w:t>
      </w:r>
      <w:r>
        <w:rPr>
          <w:rFonts w:hint="eastAsia" w:ascii="仿宋" w:hAnsi="仿宋" w:eastAsia="仿宋" w:cs="仿宋"/>
          <w:kern w:val="2"/>
          <w:sz w:val="32"/>
          <w:szCs w:val="32"/>
          <w:lang w:eastAsia="zh-CN"/>
        </w:rPr>
        <w:t>归国华侨联合会</w:t>
      </w:r>
    </w:p>
    <w:p>
      <w:pPr>
        <w:pStyle w:val="6"/>
        <w:shd w:val="clear" w:color="auto" w:fill="FFFFFF"/>
        <w:spacing w:before="0" w:beforeAutospacing="0" w:after="0" w:afterAutospacing="0"/>
        <w:ind w:firstLine="5878" w:firstLineChars="1837"/>
        <w:jc w:val="both"/>
        <w:rPr>
          <w:rFonts w:ascii="仿宋" w:hAnsi="仿宋" w:eastAsia="仿宋" w:cs="仿宋"/>
          <w:kern w:val="2"/>
          <w:sz w:val="32"/>
          <w:szCs w:val="32"/>
        </w:rPr>
      </w:pPr>
      <w:r>
        <w:rPr>
          <w:rFonts w:hint="eastAsia" w:ascii="仿宋" w:hAnsi="仿宋" w:eastAsia="仿宋" w:cs="仿宋"/>
          <w:kern w:val="2"/>
          <w:sz w:val="32"/>
          <w:szCs w:val="32"/>
        </w:rPr>
        <w:t>2022年3月</w:t>
      </w:r>
      <w:r>
        <w:rPr>
          <w:rFonts w:hint="eastAsia" w:ascii="仿宋" w:hAnsi="仿宋" w:eastAsia="仿宋" w:cs="仿宋"/>
          <w:kern w:val="2"/>
          <w:sz w:val="32"/>
          <w:szCs w:val="32"/>
          <w:lang w:val="en-US" w:eastAsia="zh-CN"/>
        </w:rPr>
        <w:t>28</w:t>
      </w:r>
      <w:r>
        <w:rPr>
          <w:rFonts w:hint="eastAsia" w:ascii="仿宋" w:hAnsi="仿宋" w:eastAsia="仿宋" w:cs="仿宋"/>
          <w:kern w:val="2"/>
          <w:sz w:val="32"/>
          <w:szCs w:val="32"/>
        </w:rPr>
        <w:t>日</w:t>
      </w:r>
    </w:p>
    <w:p>
      <w:pPr>
        <w:snapToGrid w:val="0"/>
        <w:spacing w:line="360" w:lineRule="auto"/>
        <w:ind w:firstLine="640" w:firstLineChars="200"/>
        <w:rPr>
          <w:rFonts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方正书宋_GBK">
    <w:altName w:val="微软雅黑"/>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- 6 -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38072A"/>
    <w:multiLevelType w:val="multilevel"/>
    <w:tmpl w:val="1638072A"/>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62425F17"/>
    <w:multiLevelType w:val="singleLevel"/>
    <w:tmpl w:val="62425F17"/>
    <w:lvl w:ilvl="0" w:tentative="0">
      <w:start w:val="6"/>
      <w:numFmt w:val="chineseCounting"/>
      <w:suff w:val="nothing"/>
      <w:lvlText w:val="%1、"/>
      <w:lvlJc w:val="left"/>
    </w:lvl>
  </w:abstractNum>
  <w:abstractNum w:abstractNumId="2">
    <w:nsid w:val="62426D0E"/>
    <w:multiLevelType w:val="singleLevel"/>
    <w:tmpl w:val="62426D0E"/>
    <w:lvl w:ilvl="0" w:tentative="0">
      <w:start w:val="2"/>
      <w:numFmt w:val="chineseCounting"/>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EF16A3"/>
    <w:rsid w:val="000664AF"/>
    <w:rsid w:val="000D29F1"/>
    <w:rsid w:val="001372C6"/>
    <w:rsid w:val="00141206"/>
    <w:rsid w:val="001426D1"/>
    <w:rsid w:val="00143760"/>
    <w:rsid w:val="0015784E"/>
    <w:rsid w:val="001627CF"/>
    <w:rsid w:val="00176210"/>
    <w:rsid w:val="001A4376"/>
    <w:rsid w:val="001B6EA2"/>
    <w:rsid w:val="001D2D4C"/>
    <w:rsid w:val="00212241"/>
    <w:rsid w:val="002131AE"/>
    <w:rsid w:val="00217D9C"/>
    <w:rsid w:val="00265B1D"/>
    <w:rsid w:val="00265D40"/>
    <w:rsid w:val="002747C9"/>
    <w:rsid w:val="002A3606"/>
    <w:rsid w:val="002A7D13"/>
    <w:rsid w:val="002B5C73"/>
    <w:rsid w:val="002C31A2"/>
    <w:rsid w:val="002D00EA"/>
    <w:rsid w:val="00301C1F"/>
    <w:rsid w:val="0032004B"/>
    <w:rsid w:val="00334C9A"/>
    <w:rsid w:val="003373F2"/>
    <w:rsid w:val="003553E6"/>
    <w:rsid w:val="00370DCD"/>
    <w:rsid w:val="00383AC5"/>
    <w:rsid w:val="00387FBE"/>
    <w:rsid w:val="003A38A8"/>
    <w:rsid w:val="003B412A"/>
    <w:rsid w:val="003C1D52"/>
    <w:rsid w:val="003F2BF0"/>
    <w:rsid w:val="0041497B"/>
    <w:rsid w:val="00431FC0"/>
    <w:rsid w:val="00432709"/>
    <w:rsid w:val="0045033D"/>
    <w:rsid w:val="00452F9A"/>
    <w:rsid w:val="00467B43"/>
    <w:rsid w:val="00491FCD"/>
    <w:rsid w:val="004C7280"/>
    <w:rsid w:val="004E1125"/>
    <w:rsid w:val="004E6C05"/>
    <w:rsid w:val="004F6F9F"/>
    <w:rsid w:val="00512FED"/>
    <w:rsid w:val="00546BCB"/>
    <w:rsid w:val="005567F1"/>
    <w:rsid w:val="00561E8D"/>
    <w:rsid w:val="0056311D"/>
    <w:rsid w:val="00572357"/>
    <w:rsid w:val="005C103F"/>
    <w:rsid w:val="005C236C"/>
    <w:rsid w:val="005C393A"/>
    <w:rsid w:val="005E0FEA"/>
    <w:rsid w:val="005E117A"/>
    <w:rsid w:val="005E6EC9"/>
    <w:rsid w:val="005F64E2"/>
    <w:rsid w:val="00625C43"/>
    <w:rsid w:val="00632978"/>
    <w:rsid w:val="00633688"/>
    <w:rsid w:val="00651787"/>
    <w:rsid w:val="00665896"/>
    <w:rsid w:val="006A22BF"/>
    <w:rsid w:val="0071336C"/>
    <w:rsid w:val="0071475B"/>
    <w:rsid w:val="00715964"/>
    <w:rsid w:val="00722B95"/>
    <w:rsid w:val="00755C29"/>
    <w:rsid w:val="00793214"/>
    <w:rsid w:val="007C59B0"/>
    <w:rsid w:val="007D43DA"/>
    <w:rsid w:val="007E50DB"/>
    <w:rsid w:val="007E661D"/>
    <w:rsid w:val="007F5EE6"/>
    <w:rsid w:val="0081530B"/>
    <w:rsid w:val="008761F7"/>
    <w:rsid w:val="008A4A48"/>
    <w:rsid w:val="008B2C26"/>
    <w:rsid w:val="008C31C3"/>
    <w:rsid w:val="008E0E58"/>
    <w:rsid w:val="00930AB6"/>
    <w:rsid w:val="00941865"/>
    <w:rsid w:val="00972639"/>
    <w:rsid w:val="009735D1"/>
    <w:rsid w:val="00986803"/>
    <w:rsid w:val="0099577A"/>
    <w:rsid w:val="009F1522"/>
    <w:rsid w:val="009F24AC"/>
    <w:rsid w:val="00A06D88"/>
    <w:rsid w:val="00A327EB"/>
    <w:rsid w:val="00A32E21"/>
    <w:rsid w:val="00A33764"/>
    <w:rsid w:val="00A361CE"/>
    <w:rsid w:val="00A55812"/>
    <w:rsid w:val="00A73998"/>
    <w:rsid w:val="00AB70A8"/>
    <w:rsid w:val="00AE7153"/>
    <w:rsid w:val="00AF1039"/>
    <w:rsid w:val="00AF5C06"/>
    <w:rsid w:val="00B108F9"/>
    <w:rsid w:val="00B47D23"/>
    <w:rsid w:val="00B804D4"/>
    <w:rsid w:val="00B8177D"/>
    <w:rsid w:val="00B86365"/>
    <w:rsid w:val="00BD3D53"/>
    <w:rsid w:val="00BE032C"/>
    <w:rsid w:val="00C242EC"/>
    <w:rsid w:val="00C93BA6"/>
    <w:rsid w:val="00CA7E04"/>
    <w:rsid w:val="00CD0EC8"/>
    <w:rsid w:val="00CD0EE4"/>
    <w:rsid w:val="00CE156F"/>
    <w:rsid w:val="00D25E5C"/>
    <w:rsid w:val="00D65D20"/>
    <w:rsid w:val="00D77F98"/>
    <w:rsid w:val="00D803DF"/>
    <w:rsid w:val="00D96196"/>
    <w:rsid w:val="00DA18E1"/>
    <w:rsid w:val="00DA1B49"/>
    <w:rsid w:val="00DA31DF"/>
    <w:rsid w:val="00DC30AF"/>
    <w:rsid w:val="00DE18CD"/>
    <w:rsid w:val="00DE50A2"/>
    <w:rsid w:val="00DF6FF4"/>
    <w:rsid w:val="00E10B7F"/>
    <w:rsid w:val="00E17D5D"/>
    <w:rsid w:val="00E253C6"/>
    <w:rsid w:val="00E61BFC"/>
    <w:rsid w:val="00E62CCE"/>
    <w:rsid w:val="00E66B31"/>
    <w:rsid w:val="00E841B7"/>
    <w:rsid w:val="00ED5E84"/>
    <w:rsid w:val="00ED7920"/>
    <w:rsid w:val="00EF16A3"/>
    <w:rsid w:val="00EF5E98"/>
    <w:rsid w:val="00F374A4"/>
    <w:rsid w:val="00F46DDB"/>
    <w:rsid w:val="00F57E52"/>
    <w:rsid w:val="00F719EE"/>
    <w:rsid w:val="00F83F15"/>
    <w:rsid w:val="00F96721"/>
    <w:rsid w:val="00FD5D2C"/>
    <w:rsid w:val="00FF7083"/>
    <w:rsid w:val="0F527CA9"/>
    <w:rsid w:val="13B61930"/>
    <w:rsid w:val="1A7354E0"/>
    <w:rsid w:val="2B9A3B17"/>
    <w:rsid w:val="2F7A26A5"/>
    <w:rsid w:val="3AEF6FE7"/>
    <w:rsid w:val="43B41518"/>
    <w:rsid w:val="493B718D"/>
    <w:rsid w:val="53A42ADD"/>
    <w:rsid w:val="6B9F00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qFormat="1" w:uiPriority="0" w:semiHidden="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Cambria" w:hAnsi="Cambria" w:eastAsia="楷体_GB2312"/>
      <w:b/>
      <w:bCs/>
      <w:sz w:val="32"/>
      <w:szCs w:val="32"/>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3">
    <w:name w:val="Document Map"/>
    <w:basedOn w:val="1"/>
    <w:link w:val="12"/>
    <w:unhideWhenUsed/>
    <w:qFormat/>
    <w:uiPriority w:val="0"/>
    <w:rPr>
      <w:rFonts w:ascii="宋体"/>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9">
    <w:name w:val="页眉 Char"/>
    <w:basedOn w:val="7"/>
    <w:link w:val="5"/>
    <w:qFormat/>
    <w:uiPriority w:val="99"/>
    <w:rPr>
      <w:sz w:val="18"/>
      <w:szCs w:val="18"/>
    </w:rPr>
  </w:style>
  <w:style w:type="character" w:customStyle="1" w:styleId="10">
    <w:name w:val="页脚 Char"/>
    <w:basedOn w:val="7"/>
    <w:link w:val="4"/>
    <w:qFormat/>
    <w:uiPriority w:val="99"/>
    <w:rPr>
      <w:sz w:val="18"/>
      <w:szCs w:val="18"/>
    </w:rPr>
  </w:style>
  <w:style w:type="paragraph" w:customStyle="1" w:styleId="11">
    <w:name w:val="Char Char Char"/>
    <w:qFormat/>
    <w:uiPriority w:val="0"/>
    <w:pPr>
      <w:shd w:val="clear" w:color="auto" w:fill="000080"/>
      <w:adjustRightInd w:val="0"/>
      <w:spacing w:line="436" w:lineRule="exact"/>
      <w:ind w:left="357"/>
      <w:outlineLvl w:val="3"/>
    </w:pPr>
    <w:rPr>
      <w:rFonts w:ascii="Times New Roman" w:hAnsi="Times New Roman" w:eastAsia="宋体" w:cs="Times New Roman"/>
      <w:lang w:val="en-US" w:eastAsia="zh-CN" w:bidi="ar-SA"/>
    </w:rPr>
  </w:style>
  <w:style w:type="character" w:customStyle="1" w:styleId="12">
    <w:name w:val="文档结构图 Char"/>
    <w:basedOn w:val="7"/>
    <w:link w:val="3"/>
    <w:semiHidden/>
    <w:qFormat/>
    <w:uiPriority w:val="0"/>
    <w:rPr>
      <w:rFonts w:ascii="宋体"/>
      <w:kern w:val="2"/>
      <w:sz w:val="18"/>
      <w:szCs w:val="18"/>
    </w:rPr>
  </w:style>
  <w:style w:type="paragraph" w:customStyle="1" w:styleId="13">
    <w:name w:val="普通(网站)1"/>
    <w:basedOn w:val="1"/>
    <w:qFormat/>
    <w:uiPriority w:val="0"/>
    <w:pPr>
      <w:spacing w:before="100" w:beforeAutospacing="1" w:after="100" w:afterAutospacing="1"/>
      <w:jc w:val="left"/>
    </w:pPr>
    <w:rPr>
      <w:kern w:val="0"/>
      <w:sz w:val="24"/>
    </w:rPr>
  </w:style>
  <w:style w:type="paragraph" w:customStyle="1" w:styleId="14">
    <w:name w:val="正文首行缩进 21"/>
    <w:basedOn w:val="1"/>
    <w:qFormat/>
    <w:uiPriority w:val="0"/>
    <w:pPr>
      <w:spacing w:after="120"/>
      <w:ind w:left="420" w:leftChars="200" w:firstLine="420" w:firstLineChars="200"/>
    </w:pPr>
  </w:style>
  <w:style w:type="paragraph" w:customStyle="1" w:styleId="15">
    <w:name w:val="List Paragraph"/>
    <w:basedOn w:val="1"/>
    <w:unhideWhenUsed/>
    <w:qFormat/>
    <w:uiPriority w:val="99"/>
    <w:pPr>
      <w:ind w:firstLine="420" w:firstLineChars="200"/>
    </w:pPr>
  </w:style>
  <w:style w:type="paragraph" w:customStyle="1" w:styleId="16">
    <w:name w:val="正文首行缩进 22"/>
    <w:basedOn w:val="1"/>
    <w:qFormat/>
    <w:uiPriority w:val="0"/>
    <w:pPr>
      <w:widowControl/>
      <w:autoSpaceDE w:val="0"/>
      <w:autoSpaceDN w:val="0"/>
      <w:spacing w:after="120"/>
      <w:ind w:left="420" w:leftChars="200" w:firstLine="420" w:firstLineChars="200"/>
    </w:pPr>
    <w:rPr>
      <w:rFonts w:hint="eastAsia"/>
      <w:kern w:val="0"/>
      <w:szCs w:val="20"/>
    </w:rPr>
  </w:style>
  <w:style w:type="character" w:customStyle="1" w:styleId="17">
    <w:name w:val="font11"/>
    <w:basedOn w:val="7"/>
    <w:qFormat/>
    <w:uiPriority w:val="0"/>
    <w:rPr>
      <w:rFonts w:ascii="方正书宋_GBK" w:hAnsi="方正书宋_GBK" w:eastAsia="方正书宋_GBK" w:cs="方正书宋_GBK"/>
      <w:color w:val="000000"/>
      <w:sz w:val="20"/>
      <w:szCs w:val="20"/>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6</Pages>
  <Words>413</Words>
  <Characters>2359</Characters>
  <Lines>19</Lines>
  <Paragraphs>5</Paragraphs>
  <ScaleCrop>false</ScaleCrop>
  <LinksUpToDate>false</LinksUpToDate>
  <CharactersWithSpaces>2767</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2021-08-25T07:30:00Z</dcterms:created>
  <dc:creator>user</dc:creator>
  <cp:lastModifiedBy>admini</cp:lastModifiedBy>
  <cp:lastPrinted>2022-03-29T02:20:00Z</cp:lastPrinted>
  <dcterms:modified xsi:type="dcterms:W3CDTF">2023-09-12T04:28:29Z</dcterms:modified>
  <dc:title>附件2： </dc:title>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7709588189034F5891CCA248B4C55EF0</vt:lpwstr>
  </property>
</Properties>
</file>