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widowControl/>
        <w:spacing w:before="0" w:after="0" w:line="524" w:lineRule="exact"/>
        <w:ind w:left="2167" w:right="0" w:firstLine="1320" w:firstLineChars="300"/>
        <w:jc w:val="left"/>
        <w:rPr>
          <w:rFonts w:hint="eastAsia" w:ascii="MBKLMU+FZXBSJW--GB1-0" w:hAnsi="MBKLMU+FZXBSJW--GB1-0" w:cs="MBKLMU+FZXBSJW--GB1-0" w:eastAsiaTheme="minorEastAsia"/>
          <w:color w:val="000000"/>
          <w:spacing w:val="0"/>
          <w:kern w:val="0"/>
          <w:sz w:val="44"/>
          <w:lang w:eastAsia="zh-CN"/>
        </w:rPr>
      </w:pPr>
      <w:r>
        <w:rPr>
          <w:rFonts w:hint="eastAsia" w:ascii="MBKLMU+FZXBSJW--GB1-0" w:hAnsi="MBKLMU+FZXBSJW--GB1-0" w:cs="MBKLMU+FZXBSJW--GB1-0" w:eastAsiaTheme="minorEastAsia"/>
          <w:color w:val="000000"/>
          <w:spacing w:val="0"/>
          <w:kern w:val="0"/>
          <w:sz w:val="44"/>
          <w:lang w:eastAsia="zh-CN"/>
        </w:rPr>
        <w:t>石家庄市纪委</w:t>
      </w:r>
    </w:p>
    <w:p>
      <w:pPr>
        <w:widowControl/>
        <w:spacing w:before="0" w:after="0" w:line="524" w:lineRule="exact"/>
        <w:ind w:right="0" w:firstLine="1760" w:firstLineChars="400"/>
        <w:jc w:val="left"/>
        <w:rPr>
          <w:rFonts w:ascii="MBKLMU+FZXBSJW--GB1-0" w:hAnsi="MBKLMU+FZXBSJW--GB1-0" w:cs="MBKLMU+FZXBSJW--GB1-0" w:eastAsiaTheme="minorEastAsia"/>
          <w:color w:val="000000"/>
          <w:spacing w:val="0"/>
          <w:kern w:val="0"/>
          <w:sz w:val="44"/>
          <w:lang w:eastAsia="en-US"/>
        </w:rPr>
      </w:pPr>
      <w:r>
        <w:rPr>
          <w:rFonts w:hint="eastAsia" w:ascii="MBKLMU+FZXBSJW--GB1-0" w:hAnsi="MBKLMU+FZXBSJW--GB1-0" w:cs="MBKLMU+FZXBSJW--GB1-0" w:eastAsiaTheme="minorEastAsia"/>
          <w:color w:val="000000"/>
          <w:spacing w:val="0"/>
          <w:kern w:val="0"/>
          <w:sz w:val="44"/>
          <w:lang w:eastAsia="en-US"/>
        </w:rPr>
        <w:t>2022年度整体支出绩效自评报告</w:t>
      </w:r>
    </w:p>
    <w:p>
      <w:pPr>
        <w:widowControl/>
        <w:spacing w:before="0" w:after="0" w:line="524" w:lineRule="exact"/>
        <w:ind w:left="2167" w:right="0" w:firstLine="0"/>
        <w:jc w:val="left"/>
        <w:rPr>
          <w:rFonts w:ascii="MBKLMU+FZXBSJW--GB1-0" w:hAnsi="MBKLMU+FZXBSJW--GB1-0" w:cs="MBKLMU+FZXBSJW--GB1-0" w:eastAsiaTheme="minorEastAsia"/>
          <w:color w:val="000000"/>
          <w:spacing w:val="0"/>
          <w:kern w:val="0"/>
          <w:sz w:val="44"/>
          <w:lang w:eastAsia="en-US"/>
        </w:rPr>
      </w:pPr>
    </w:p>
    <w:p>
      <w:pPr>
        <w:widowControl/>
        <w:spacing w:before="249" w:after="0" w:line="240" w:lineRule="auto"/>
        <w:ind w:left="0" w:right="0" w:firstLine="736" w:firstLineChars="200"/>
        <w:jc w:val="left"/>
        <w:rPr>
          <w:rFonts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zh-CN"/>
        </w:rPr>
        <w:t>石家庄市纪委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2022年整体支出情况实施了财政支出绩效自评价，形成本评价报告。</w:t>
      </w:r>
    </w:p>
    <w:p>
      <w:pPr>
        <w:widowControl/>
        <w:spacing w:before="249" w:after="0" w:line="240" w:lineRule="auto"/>
        <w:ind w:right="0"/>
        <w:jc w:val="left"/>
        <w:rPr>
          <w:rFonts w:ascii="WWWULM+FangSong_GB2312" w:hAnsi="WWWULM+FangSong_GB2312" w:cs="WWWULM+FangSong_GB2312" w:eastAsiaTheme="minorEastAsia"/>
          <w:b/>
          <w:bCs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b/>
          <w:bCs/>
          <w:color w:val="000000"/>
          <w:spacing w:val="4"/>
          <w:kern w:val="0"/>
          <w:sz w:val="36"/>
          <w:lang w:eastAsia="en-US"/>
        </w:rPr>
        <w:t>一、部门基本情况</w:t>
      </w:r>
    </w:p>
    <w:p>
      <w:pPr>
        <w:widowControl/>
        <w:spacing w:before="249" w:after="0" w:line="240" w:lineRule="auto"/>
        <w:ind w:left="0" w:right="0" w:firstLine="736" w:firstLineChars="20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zh-CN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zh-CN"/>
        </w:rPr>
        <w:t>一、部门职能</w:t>
      </w:r>
    </w:p>
    <w:p>
      <w:pPr>
        <w:widowControl/>
        <w:spacing w:before="249" w:after="0" w:line="240" w:lineRule="auto"/>
        <w:ind w:left="0" w:right="0" w:firstLine="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中国共产党石家庄市纪律检查委员会的主要职责是：</w:t>
      </w:r>
    </w:p>
    <w:p>
      <w:pPr>
        <w:widowControl/>
        <w:spacing w:before="249" w:after="0" w:line="240" w:lineRule="auto"/>
        <w:ind w:left="0" w:right="0" w:firstLine="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（一）负责全市党的纪律检查工作。</w:t>
      </w:r>
    </w:p>
    <w:p>
      <w:pPr>
        <w:widowControl/>
        <w:spacing w:before="249" w:after="0" w:line="240" w:lineRule="auto"/>
        <w:ind w:left="0" w:right="0" w:firstLine="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（二）依照党的章程和其他党内法规履行监督、执纪、问责职责。</w:t>
      </w:r>
    </w:p>
    <w:p>
      <w:pPr>
        <w:widowControl/>
        <w:spacing w:before="249" w:after="0" w:line="240" w:lineRule="auto"/>
        <w:ind w:left="0" w:right="0" w:firstLine="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（三）支持配合巡视、巡察工作。</w:t>
      </w:r>
    </w:p>
    <w:p>
      <w:pPr>
        <w:widowControl/>
        <w:spacing w:before="249" w:after="0" w:line="240" w:lineRule="auto"/>
        <w:ind w:left="0" w:right="0" w:firstLine="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（四）负责全市监察工作。</w:t>
      </w:r>
    </w:p>
    <w:p>
      <w:pPr>
        <w:widowControl/>
        <w:spacing w:before="249" w:after="0" w:line="240" w:lineRule="auto"/>
        <w:ind w:left="0" w:right="0" w:firstLine="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（五）依照法律规定履行监督、调查、处置职责。</w:t>
      </w:r>
    </w:p>
    <w:p>
      <w:pPr>
        <w:widowControl/>
        <w:spacing w:before="249" w:after="0" w:line="240" w:lineRule="auto"/>
        <w:ind w:left="0" w:right="0" w:firstLine="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（六）负责组织协调全面从严治党、党风廉政建设和反腐败宣传教育工作。</w:t>
      </w:r>
    </w:p>
    <w:p>
      <w:pPr>
        <w:widowControl/>
        <w:spacing w:before="249" w:after="0" w:line="240" w:lineRule="auto"/>
        <w:ind w:left="0" w:right="0" w:firstLine="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（七）负责综合分析全面从严治党、党风廉政建设和反腐败工作情况，对纪检监察工作重要理论及实践问题进行调查研究；制定或者修改全市纪检监察法规制度，参与起草有关法律、法规和规范性文件。</w:t>
      </w:r>
    </w:p>
    <w:p>
      <w:pPr>
        <w:widowControl/>
        <w:spacing w:before="249" w:after="0" w:line="240" w:lineRule="auto"/>
        <w:ind w:left="0" w:right="0" w:firstLine="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（八）负责组织协调全市反腐败追逃追赃和防逃工作，督促有关单位做好相关工作。</w:t>
      </w:r>
    </w:p>
    <w:p>
      <w:pPr>
        <w:widowControl/>
        <w:spacing w:before="249" w:after="0" w:line="240" w:lineRule="auto"/>
        <w:ind w:left="0" w:right="0" w:firstLine="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（九）根据干部管理权限，负责全市纪检监察系统领导班子建设、干部队伍建设和组织建设的综合规划、政策研究、制度建设和业务指导。</w:t>
      </w:r>
    </w:p>
    <w:p>
      <w:pPr>
        <w:widowControl/>
        <w:spacing w:before="249" w:after="0" w:line="240" w:lineRule="auto"/>
        <w:ind w:left="0" w:right="0" w:firstLine="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（十）完成省纪委监委、市委交办的其他任务。</w:t>
      </w:r>
    </w:p>
    <w:p>
      <w:pPr>
        <w:widowControl/>
        <w:spacing w:before="249" w:after="0" w:line="240" w:lineRule="auto"/>
        <w:ind w:left="0" w:right="0" w:firstLine="736" w:firstLineChars="20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市纪委是财政拨款的行政单位，市纪委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val="en-US" w:eastAsia="zh-CN"/>
        </w:rPr>
        <w:t>2022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年年末实有人数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val="en-US" w:eastAsia="zh-CN"/>
        </w:rPr>
        <w:t>412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人，其中：行政人员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val="en-US" w:eastAsia="zh-CN"/>
        </w:rPr>
        <w:t>404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人，非参公事业单位人员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val="en-US" w:eastAsia="zh-CN"/>
        </w:rPr>
        <w:t>8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人。市纪委以习近平新时代中国特色社会主义思想为指导，坚持稳中求进总基调，以党的政治建设为统领，协助党委全面从严治党，一体推进不敢腐、不能腐、不想腐，巩固反腐败斗争压倒性胜利，实现依规治党和依法治国有机统一，健全党和国家监督体系。</w:t>
      </w:r>
    </w:p>
    <w:p>
      <w:pPr>
        <w:widowControl/>
        <w:spacing w:before="249" w:after="0" w:line="240" w:lineRule="auto"/>
        <w:ind w:left="0" w:right="0" w:firstLine="736" w:firstLineChars="20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zh-CN"/>
        </w:rPr>
        <w:t>二、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部门收支预决算情况</w:t>
      </w:r>
    </w:p>
    <w:p>
      <w:pPr>
        <w:widowControl/>
        <w:spacing w:before="249" w:after="0" w:line="240" w:lineRule="auto"/>
        <w:ind w:left="0" w:right="0" w:firstLine="736" w:firstLineChars="200"/>
        <w:jc w:val="left"/>
        <w:rPr>
          <w:rFonts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根据《石家庄市财政局关于批复20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val="en-US" w:eastAsia="zh-CN"/>
        </w:rPr>
        <w:t>22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年市直部门预算的通知》文件，预计发放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zh-CN"/>
        </w:rPr>
        <w:t>项目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经费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val="en-US" w:eastAsia="zh-CN"/>
        </w:rPr>
        <w:t>4540.8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万元，全部为财政拨款。</w:t>
      </w:r>
    </w:p>
    <w:p>
      <w:pPr>
        <w:widowControl/>
        <w:spacing w:before="249" w:after="0" w:line="240" w:lineRule="auto"/>
        <w:ind w:left="0" w:right="0" w:firstLine="736" w:firstLineChars="200"/>
        <w:jc w:val="left"/>
        <w:rPr>
          <w:rFonts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zh-CN"/>
        </w:rPr>
        <w:t>三、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部门整体支出绩效目标、指标</w:t>
      </w:r>
    </w:p>
    <w:p>
      <w:pPr>
        <w:widowControl/>
        <w:spacing w:before="249" w:after="0" w:line="240" w:lineRule="auto"/>
        <w:ind w:left="0" w:right="0" w:firstLine="736" w:firstLineChars="20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以习近平新时代中国特色社会主义思想为指导，深入贯彻落实全会精神，坚持稳中求进工作总基调，以党的政治建设为统领，协助党委全面从严治党，一体推进不敢腐、不能腐、不想腐，巩固反腐败斗争压倒性胜利，实现依规治党和依法治国有机统一，健全党和国家监督体系，确保 2022 年结案率达 90%，巡察年度任务圆满完成，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zh-CN"/>
        </w:rPr>
        <w:t>纪检监察保障中心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不发生安全事故。</w:t>
      </w:r>
    </w:p>
    <w:p>
      <w:pPr>
        <w:widowControl/>
        <w:spacing w:before="249" w:after="0" w:line="240" w:lineRule="auto"/>
        <w:ind w:left="0" w:right="0" w:firstLine="0"/>
        <w:jc w:val="left"/>
        <w:rPr>
          <w:rFonts w:ascii="WWWULM+FangSong_GB2312" w:hAnsi="WWWULM+FangSong_GB2312" w:cs="WWWULM+FangSong_GB2312" w:eastAsiaTheme="minorEastAsia"/>
          <w:b/>
          <w:bCs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b/>
          <w:bCs/>
          <w:color w:val="000000"/>
          <w:spacing w:val="4"/>
          <w:kern w:val="0"/>
          <w:sz w:val="36"/>
          <w:lang w:eastAsia="en-US"/>
        </w:rPr>
        <w:t>二、自评工作开展情况</w:t>
      </w:r>
    </w:p>
    <w:p>
      <w:pPr>
        <w:widowControl/>
        <w:spacing w:before="249" w:after="0" w:line="240" w:lineRule="auto"/>
        <w:ind w:left="0" w:right="0" w:firstLine="0"/>
        <w:jc w:val="left"/>
        <w:rPr>
          <w:rFonts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 xml:space="preserve">    （一）自评的组织工作</w:t>
      </w:r>
    </w:p>
    <w:p>
      <w:pPr>
        <w:widowControl/>
        <w:spacing w:before="249" w:after="0" w:line="240" w:lineRule="auto"/>
        <w:ind w:left="0" w:right="0" w:firstLine="736" w:firstLineChars="20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市纪委高度重视绩效自评工作，成立了由市纪委常委、秘书长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zh-CN"/>
        </w:rPr>
        <w:t>方伟宇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同志任组长，办公室财务负责人、财会人员及聘请的第三方机构专业人员参加的绩效评价小组，制定自评工作方案，明确了评价内容、评价程序及时间安排。按照“谁申报项目预算，谁负责绩效自评”的原则，分工做好所属项目绩效资金评价工作。办公室负责统筹协调及督导各科（室、中心）完成好项目资金绩效自评工作，整体推进部门绩效自评工作高效开展。</w:t>
      </w:r>
    </w:p>
    <w:p>
      <w:pPr>
        <w:widowControl/>
        <w:spacing w:before="249" w:after="0" w:line="240" w:lineRule="auto"/>
        <w:ind w:right="0"/>
        <w:jc w:val="left"/>
        <w:rPr>
          <w:rFonts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zh-CN"/>
        </w:rPr>
        <w:t>（二）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自评的方法和过程</w:t>
      </w:r>
    </w:p>
    <w:p>
      <w:pPr>
        <w:widowControl/>
        <w:spacing w:before="249" w:after="0" w:line="240" w:lineRule="auto"/>
        <w:ind w:left="0" w:right="0" w:firstLine="736" w:firstLineChars="20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召开专题会议，组织评价小组成员认真学习相关文件精神，掌握政策要求，做好准备工作。评价小组采用定性分析与定量分析相结合的方法，从预算管理、预算执行、专项资金使用及产生效益等方面，对20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val="en-US" w:eastAsia="zh-CN"/>
        </w:rPr>
        <w:t>22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年年初预算确定的1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val="en-US" w:eastAsia="zh-CN"/>
        </w:rPr>
        <w:t>4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个项目进行了综合评价，完成了《石家庄市市级部门预算项目绩效自评表》，并对办案专项经费项目进行重点评价，形成了专项资金绩效评价报告。</w:t>
      </w:r>
    </w:p>
    <w:p>
      <w:pPr>
        <w:widowControl/>
        <w:spacing w:before="249" w:after="0" w:line="240" w:lineRule="auto"/>
        <w:ind w:left="0" w:right="0" w:firstLine="0"/>
        <w:jc w:val="left"/>
        <w:rPr>
          <w:rFonts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b/>
          <w:bCs/>
          <w:color w:val="000000"/>
          <w:spacing w:val="4"/>
          <w:kern w:val="0"/>
          <w:sz w:val="36"/>
          <w:lang w:eastAsia="en-US"/>
        </w:rPr>
        <w:t>三、部门整体支出绩效目标实现情况及指标分析</w:t>
      </w:r>
    </w:p>
    <w:p>
      <w:pPr>
        <w:widowControl/>
        <w:spacing w:before="249" w:after="0" w:line="240" w:lineRule="auto"/>
        <w:ind w:left="0" w:right="0" w:firstLine="736" w:firstLineChars="20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zh-CN"/>
        </w:rPr>
        <w:t>（一）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总体绩效目标实现情况</w:t>
      </w:r>
    </w:p>
    <w:p>
      <w:pPr>
        <w:widowControl/>
        <w:spacing w:before="249" w:after="0" w:line="240" w:lineRule="auto"/>
        <w:ind w:left="0" w:right="0" w:firstLine="736" w:firstLineChars="20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以习近平新时代中国特色社会主义思想为指导，全面贯彻新时代党的组织路线，以党的政治建设为统领，监督检查党内法规政策、国家法律法规、党风廉政建设等执行情况；开展党风政风监督专项检查，查处各类违纪违法问题，加大问责力度，促进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zh-CN"/>
        </w:rPr>
        <w:t>全面从严治党责任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有效落实。</w:t>
      </w:r>
    </w:p>
    <w:p>
      <w:pPr>
        <w:widowControl/>
        <w:spacing w:before="249" w:after="0" w:line="240" w:lineRule="auto"/>
        <w:ind w:left="0" w:right="0" w:firstLine="736" w:firstLineChars="200"/>
        <w:jc w:val="left"/>
        <w:rPr>
          <w:rFonts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（二）分项绩效目标实现情况及指标分析</w:t>
      </w:r>
    </w:p>
    <w:p>
      <w:pPr>
        <w:widowControl/>
        <w:spacing w:before="249" w:after="0" w:line="240" w:lineRule="auto"/>
        <w:ind w:left="0" w:right="0" w:firstLine="736" w:firstLineChars="20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zh-CN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紧紧围绕监督基本职责，着力构建全覆盖、无盲区的大监督格局。保持惩治腐败高压态势，有力遏制增量，有效清除存量，对重点领域腐败，建立专账，分类管理，优先分办查办。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zh-CN"/>
        </w:rPr>
        <w:t>加大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中央、省交办问题线索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zh-CN"/>
        </w:rPr>
        <w:t>办理力度，确保按时办结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。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zh-CN"/>
        </w:rPr>
        <w:t>开展案件质量评查，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着力解决核查不深入，定性量纪不精准问题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zh-CN"/>
        </w:rPr>
        <w:t>。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深化运用监督执纪“四种形态”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zh-CN"/>
        </w:rPr>
        <w:t>，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运用第一、二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zh-CN"/>
        </w:rPr>
        <w:t>、三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种形态处理人次占处理总人数达90%以上。</w:t>
      </w:r>
    </w:p>
    <w:p>
      <w:pPr>
        <w:widowControl/>
        <w:spacing w:before="249" w:after="0" w:line="240" w:lineRule="auto"/>
        <w:ind w:left="0" w:right="0" w:firstLine="0"/>
        <w:jc w:val="left"/>
        <w:rPr>
          <w:rFonts w:ascii="WWWULM+FangSong_GB2312" w:hAnsi="WWWULM+FangSong_GB2312" w:cs="WWWULM+FangSong_GB2312" w:eastAsiaTheme="minorEastAsia"/>
          <w:b/>
          <w:bCs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b/>
          <w:bCs/>
          <w:color w:val="000000"/>
          <w:spacing w:val="4"/>
          <w:kern w:val="0"/>
          <w:sz w:val="36"/>
          <w:lang w:eastAsia="en-US"/>
        </w:rPr>
        <w:t>四、评价结论和评价等级</w:t>
      </w:r>
    </w:p>
    <w:p>
      <w:pPr>
        <w:widowControl/>
        <w:spacing w:before="249" w:after="0" w:line="240" w:lineRule="auto"/>
        <w:ind w:left="0" w:right="0" w:firstLine="736" w:firstLineChars="20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加强对中央八项规定及实施细则精神执行情况的监督检查，扎实开展纠正“四风”和作风纪律专项整治，坚决整治群众身边腐败问题，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zh-CN"/>
        </w:rPr>
        <w:t>让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人民群众的获得感幸福感安全感更加充实、更有保障、更可持续。</w:t>
      </w:r>
    </w:p>
    <w:p>
      <w:pPr>
        <w:widowControl/>
        <w:spacing w:before="249" w:after="0" w:line="240" w:lineRule="auto"/>
        <w:ind w:left="0" w:right="0" w:firstLine="736" w:firstLineChars="20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部门整体支出综合绩效评价分为 4 个等级：</w:t>
      </w:r>
    </w:p>
    <w:p>
      <w:pPr>
        <w:widowControl/>
        <w:spacing w:before="249" w:after="0" w:line="240" w:lineRule="auto"/>
        <w:ind w:left="0" w:right="0" w:firstLine="736" w:firstLineChars="20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得分≥85 分为优秀；75≤得分＜85 分为良好；60≤得分＜75分为一般；得分＜60 分为较差。</w:t>
      </w:r>
    </w:p>
    <w:p>
      <w:pPr>
        <w:widowControl/>
        <w:spacing w:before="249" w:after="0" w:line="240" w:lineRule="auto"/>
        <w:ind w:left="0" w:right="0" w:firstLine="736" w:firstLineChars="20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经自评，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val="en-US" w:eastAsia="zh-CN"/>
        </w:rPr>
        <w:t>14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 xml:space="preserve">个项目平均得分 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val="en-US" w:eastAsia="zh-CN"/>
        </w:rPr>
        <w:t>96</w:t>
      </w:r>
      <w:r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  <w:t>分，根据部门职责定位和各项工作履职情况进行综合评价，得出综合绩效评价等级为优秀。</w:t>
      </w:r>
    </w:p>
    <w:p>
      <w:pPr>
        <w:widowControl/>
        <w:spacing w:before="249" w:after="0" w:line="240" w:lineRule="auto"/>
        <w:ind w:left="0" w:right="0" w:firstLine="0"/>
        <w:jc w:val="left"/>
        <w:rPr>
          <w:rFonts w:ascii="WWWULM+FangSong_GB2312" w:hAnsi="WWWULM+FangSong_GB2312" w:cs="WWWULM+FangSong_GB2312" w:eastAsiaTheme="minorEastAsia"/>
          <w:b/>
          <w:bCs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b/>
          <w:bCs/>
          <w:color w:val="000000"/>
          <w:spacing w:val="4"/>
          <w:kern w:val="0"/>
          <w:sz w:val="36"/>
          <w:lang w:eastAsia="en-US"/>
        </w:rPr>
        <w:t>五、存在的问题及改进措施</w:t>
      </w:r>
    </w:p>
    <w:p>
      <w:pPr>
        <w:spacing w:before="249" w:after="0" w:line="370" w:lineRule="exact"/>
        <w:ind w:left="720" w:right="0" w:firstLine="0"/>
        <w:jc w:val="left"/>
        <w:rPr>
          <w:rFonts w:ascii="Times New Roman"/>
          <w:color w:val="000000"/>
          <w:spacing w:val="0"/>
          <w:sz w:val="36"/>
        </w:rPr>
      </w:pPr>
      <w:r>
        <w:rPr>
          <w:rFonts w:ascii="WWWULM+FangSong_GB2312" w:hAnsi="WWWULM+FangSong_GB2312" w:cs="WWWULM+FangSong_GB2312"/>
          <w:color w:val="000000"/>
          <w:spacing w:val="4"/>
          <w:sz w:val="36"/>
        </w:rPr>
        <w:t>通过本次项目绩效评价，虽然取得了较好的社会效</w:t>
      </w:r>
    </w:p>
    <w:p>
      <w:pPr>
        <w:spacing w:before="249" w:after="0" w:line="370" w:lineRule="exact"/>
        <w:ind w:left="0" w:right="0" w:firstLine="0"/>
        <w:jc w:val="left"/>
        <w:rPr>
          <w:rFonts w:ascii="Times New Roman"/>
          <w:color w:val="000000"/>
          <w:spacing w:val="0"/>
          <w:sz w:val="36"/>
        </w:rPr>
      </w:pPr>
      <w:r>
        <w:rPr>
          <w:rFonts w:ascii="WWWULM+FangSong_GB2312" w:hAnsi="WWWULM+FangSong_GB2312" w:cs="WWWULM+FangSong_GB2312"/>
          <w:color w:val="000000"/>
          <w:spacing w:val="4"/>
          <w:sz w:val="36"/>
        </w:rPr>
        <w:t>益，但同时也有绩效指标设置和支出进度等问题，具体</w:t>
      </w:r>
    </w:p>
    <w:p>
      <w:pPr>
        <w:spacing w:before="252" w:after="0" w:line="370" w:lineRule="exact"/>
        <w:ind w:left="0" w:right="0" w:firstLine="0"/>
        <w:jc w:val="left"/>
        <w:rPr>
          <w:rFonts w:ascii="Times New Roman"/>
          <w:color w:val="000000"/>
          <w:spacing w:val="0"/>
          <w:sz w:val="36"/>
        </w:rPr>
      </w:pPr>
      <w:r>
        <w:rPr>
          <w:rFonts w:ascii="WWWULM+FangSong_GB2312" w:hAnsi="WWWULM+FangSong_GB2312" w:cs="WWWULM+FangSong_GB2312"/>
          <w:color w:val="000000"/>
          <w:spacing w:val="0"/>
          <w:sz w:val="36"/>
        </w:rPr>
        <w:t>整改措施如下：</w:t>
      </w:r>
    </w:p>
    <w:p>
      <w:pPr>
        <w:spacing w:before="249" w:after="0" w:line="370" w:lineRule="exact"/>
        <w:ind w:left="720" w:right="0" w:firstLine="0"/>
        <w:jc w:val="left"/>
        <w:rPr>
          <w:rFonts w:ascii="Times New Roman"/>
          <w:color w:val="000000"/>
          <w:spacing w:val="0"/>
          <w:sz w:val="36"/>
        </w:rPr>
      </w:pPr>
      <w:r>
        <w:rPr>
          <w:rFonts w:ascii="WWWULM+FangSong_GB2312" w:hAnsi="WWWULM+FangSong_GB2312" w:cs="WWWULM+FangSong_GB2312"/>
          <w:color w:val="000000"/>
          <w:spacing w:val="4"/>
          <w:sz w:val="36"/>
        </w:rPr>
        <w:t>一是科学合理编报绩效。高度重视预算绩效编报的</w:t>
      </w:r>
    </w:p>
    <w:p>
      <w:pPr>
        <w:spacing w:before="249" w:after="0" w:line="370" w:lineRule="exact"/>
        <w:ind w:left="0" w:right="0" w:firstLine="0"/>
        <w:jc w:val="left"/>
        <w:rPr>
          <w:rFonts w:ascii="Times New Roman"/>
          <w:color w:val="000000"/>
          <w:spacing w:val="0"/>
          <w:sz w:val="36"/>
        </w:rPr>
      </w:pPr>
      <w:r>
        <w:rPr>
          <w:rFonts w:ascii="WWWULM+FangSong_GB2312" w:hAnsi="WWWULM+FangSong_GB2312" w:cs="WWWULM+FangSong_GB2312"/>
          <w:color w:val="000000"/>
          <w:spacing w:val="0"/>
          <w:sz w:val="36"/>
        </w:rPr>
        <w:t>意义，根据项目特点及实际情况科学合理编报绩效。</w:t>
      </w:r>
    </w:p>
    <w:p>
      <w:pPr>
        <w:spacing w:before="249" w:after="0" w:line="370" w:lineRule="exact"/>
        <w:ind w:left="0" w:right="0" w:firstLine="708" w:firstLineChars="200"/>
        <w:jc w:val="left"/>
        <w:rPr>
          <w:rFonts w:ascii="WWWULM+FangSong_GB2312" w:hAnsi="WWWULM+FangSong_GB2312" w:cs="WWWULM+FangSong_GB2312"/>
          <w:color w:val="000000"/>
          <w:spacing w:val="-3"/>
          <w:sz w:val="36"/>
        </w:rPr>
      </w:pPr>
      <w:r>
        <w:rPr>
          <w:rFonts w:ascii="WWWULM+FangSong_GB2312" w:hAnsi="WWWULM+FangSong_GB2312" w:cs="WWWULM+FangSong_GB2312"/>
          <w:color w:val="000000"/>
          <w:spacing w:val="-3"/>
          <w:sz w:val="36"/>
        </w:rPr>
        <w:t>二是加快支出进度。按照各科（室、中心）的年度</w:t>
      </w:r>
    </w:p>
    <w:p>
      <w:pPr>
        <w:spacing w:before="249" w:after="0" w:line="360" w:lineRule="auto"/>
        <w:ind w:left="0" w:right="0" w:firstLine="0"/>
        <w:jc w:val="left"/>
        <w:rPr>
          <w:rFonts w:ascii="WWWULM+FangSong_GB2312" w:hAnsi="WWWULM+FangSong_GB2312" w:cs="WWWULM+FangSong_GB2312"/>
          <w:color w:val="000000"/>
          <w:spacing w:val="-3"/>
          <w:sz w:val="36"/>
        </w:rPr>
      </w:pPr>
      <w:r>
        <w:rPr>
          <w:rFonts w:ascii="WWWULM+FangSong_GB2312" w:hAnsi="WWWULM+FangSong_GB2312" w:cs="WWWULM+FangSong_GB2312"/>
          <w:color w:val="000000"/>
          <w:spacing w:val="-3"/>
          <w:sz w:val="36"/>
        </w:rPr>
        <w:t>支出计划和签署的承诺书，加快支出进度，争取 6 月份达到 60%，十月份达到 90%。</w:t>
      </w:r>
    </w:p>
    <w:p>
      <w:pPr>
        <w:spacing w:before="224" w:after="0" w:line="370" w:lineRule="exact"/>
        <w:ind w:left="720" w:right="0" w:firstLine="0"/>
        <w:jc w:val="left"/>
        <w:rPr>
          <w:rFonts w:ascii="Times New Roman"/>
          <w:color w:val="000000"/>
          <w:spacing w:val="0"/>
          <w:sz w:val="36"/>
        </w:rPr>
      </w:pPr>
      <w:r>
        <w:rPr>
          <w:rFonts w:ascii="WWWULM+FangSong_GB2312" w:hAnsi="WWWULM+FangSong_GB2312" w:cs="WWWULM+FangSong_GB2312"/>
          <w:color w:val="000000"/>
          <w:spacing w:val="-12"/>
          <w:sz w:val="36"/>
        </w:rPr>
        <w:t>三是加强业务培训。加强针对《预算</w:t>
      </w:r>
      <w:bookmarkStart w:id="0" w:name="_GoBack"/>
      <w:bookmarkEnd w:id="0"/>
      <w:r>
        <w:rPr>
          <w:rFonts w:ascii="WWWULM+FangSong_GB2312" w:hAnsi="WWWULM+FangSong_GB2312" w:cs="WWWULM+FangSong_GB2312"/>
          <w:color w:val="000000"/>
          <w:spacing w:val="-12"/>
          <w:sz w:val="36"/>
        </w:rPr>
        <w:t>法》、《政府会</w:t>
      </w:r>
    </w:p>
    <w:p>
      <w:pPr>
        <w:spacing w:before="249" w:after="0" w:line="370" w:lineRule="exact"/>
        <w:ind w:left="0" w:right="0" w:firstLine="0"/>
        <w:jc w:val="left"/>
        <w:rPr>
          <w:rFonts w:ascii="Times New Roman"/>
          <w:color w:val="000000"/>
          <w:spacing w:val="0"/>
          <w:sz w:val="36"/>
        </w:rPr>
      </w:pPr>
      <w:r>
        <w:rPr>
          <w:rFonts w:ascii="WWWULM+FangSong_GB2312" w:hAnsi="WWWULM+FangSong_GB2312" w:cs="WWWULM+FangSong_GB2312"/>
          <w:color w:val="000000"/>
          <w:spacing w:val="-3"/>
          <w:sz w:val="36"/>
        </w:rPr>
        <w:t>计制度》等内容培训，切实提高部门预算收支管理水平、</w:t>
      </w:r>
    </w:p>
    <w:p>
      <w:pPr>
        <w:spacing w:before="249" w:after="0" w:line="370" w:lineRule="exact"/>
        <w:ind w:left="0" w:right="0" w:firstLine="0"/>
        <w:jc w:val="left"/>
        <w:rPr>
          <w:rFonts w:ascii="Times New Roman"/>
          <w:color w:val="000000"/>
          <w:spacing w:val="0"/>
          <w:sz w:val="36"/>
        </w:rPr>
      </w:pPr>
      <w:r>
        <w:rPr>
          <w:rFonts w:ascii="WWWULM+FangSong_GB2312" w:hAnsi="WWWULM+FangSong_GB2312" w:cs="WWWULM+FangSong_GB2312"/>
          <w:color w:val="000000"/>
          <w:spacing w:val="0"/>
          <w:sz w:val="36"/>
        </w:rPr>
        <w:t>项目立项管理水平和绩效目标管理水平。</w:t>
      </w:r>
    </w:p>
    <w:p>
      <w:pPr>
        <w:widowControl/>
        <w:numPr>
          <w:ilvl w:val="0"/>
          <w:numId w:val="1"/>
        </w:numPr>
        <w:spacing w:before="249" w:after="0" w:line="240" w:lineRule="auto"/>
        <w:ind w:left="0" w:right="0" w:firstLine="0"/>
        <w:jc w:val="left"/>
        <w:rPr>
          <w:rFonts w:hint="eastAsia" w:ascii="WWWULM+FangSong_GB2312" w:hAnsi="WWWULM+FangSong_GB2312" w:cs="WWWULM+FangSong_GB2312" w:eastAsiaTheme="minorEastAsia"/>
          <w:b/>
          <w:bCs/>
          <w:color w:val="000000"/>
          <w:spacing w:val="4"/>
          <w:kern w:val="0"/>
          <w:sz w:val="36"/>
          <w:lang w:eastAsia="en-US"/>
        </w:rPr>
      </w:pPr>
      <w:r>
        <w:rPr>
          <w:rFonts w:hint="eastAsia" w:ascii="WWWULM+FangSong_GB2312" w:hAnsi="WWWULM+FangSong_GB2312" w:cs="WWWULM+FangSong_GB2312" w:eastAsiaTheme="minorEastAsia"/>
          <w:b/>
          <w:bCs/>
          <w:color w:val="000000"/>
          <w:spacing w:val="4"/>
          <w:kern w:val="0"/>
          <w:sz w:val="36"/>
          <w:lang w:eastAsia="en-US"/>
        </w:rPr>
        <w:t>评价工作组人员名单及签字</w:t>
      </w:r>
    </w:p>
    <w:p>
      <w:pPr>
        <w:widowControl/>
        <w:numPr>
          <w:ilvl w:val="0"/>
          <w:numId w:val="0"/>
        </w:numPr>
        <w:spacing w:before="249" w:after="0" w:line="240" w:lineRule="auto"/>
        <w:ind w:leftChars="0" w:right="0" w:rightChars="0"/>
        <w:jc w:val="left"/>
        <w:rPr>
          <w:rFonts w:hint="eastAsia" w:ascii="WWWULM+FangSong_GB2312" w:hAnsi="WWWULM+FangSong_GB2312" w:cs="WWWULM+FangSong_GB2312" w:eastAsiaTheme="minorEastAsia"/>
          <w:b/>
          <w:bCs/>
          <w:color w:val="000000"/>
          <w:spacing w:val="4"/>
          <w:kern w:val="0"/>
          <w:sz w:val="36"/>
          <w:lang w:eastAsia="en-US"/>
        </w:rPr>
      </w:pP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4"/>
        <w:gridCol w:w="2362"/>
        <w:gridCol w:w="41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2" w:hRule="exact"/>
        </w:trPr>
        <w:tc>
          <w:tcPr>
            <w:tcW w:w="2074" w:type="dxa"/>
            <w:vAlign w:val="top"/>
          </w:tcPr>
          <w:p>
            <w:pPr>
              <w:widowControl/>
              <w:spacing w:before="249" w:after="0" w:line="240" w:lineRule="auto"/>
              <w:ind w:left="0" w:right="0" w:firstLine="0"/>
              <w:jc w:val="left"/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</w:pPr>
            <w:r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  <w:t>姓名</w:t>
            </w:r>
          </w:p>
        </w:tc>
        <w:tc>
          <w:tcPr>
            <w:tcW w:w="2362" w:type="dxa"/>
            <w:vAlign w:val="top"/>
          </w:tcPr>
          <w:p>
            <w:pPr>
              <w:widowControl/>
              <w:spacing w:before="249" w:after="0" w:line="240" w:lineRule="auto"/>
              <w:ind w:left="0" w:right="0" w:firstLine="0"/>
              <w:jc w:val="left"/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</w:pPr>
            <w:r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  <w:t>工作单位</w:t>
            </w:r>
          </w:p>
        </w:tc>
        <w:tc>
          <w:tcPr>
            <w:tcW w:w="4150" w:type="dxa"/>
            <w:vAlign w:val="top"/>
          </w:tcPr>
          <w:p>
            <w:pPr>
              <w:widowControl/>
              <w:spacing w:before="249" w:after="0" w:line="240" w:lineRule="auto"/>
              <w:ind w:left="0" w:right="0" w:firstLine="0"/>
              <w:jc w:val="left"/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</w:pPr>
            <w:r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exact"/>
        </w:trPr>
        <w:tc>
          <w:tcPr>
            <w:tcW w:w="2074" w:type="dxa"/>
            <w:vAlign w:val="top"/>
          </w:tcPr>
          <w:p>
            <w:pPr>
              <w:widowControl/>
              <w:spacing w:before="249" w:after="0" w:line="240" w:lineRule="auto"/>
              <w:ind w:left="0" w:right="0" w:firstLine="0"/>
              <w:jc w:val="left"/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</w:pPr>
            <w:r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  <w:t>方伟宇</w:t>
            </w:r>
          </w:p>
        </w:tc>
        <w:tc>
          <w:tcPr>
            <w:tcW w:w="2362" w:type="dxa"/>
            <w:vAlign w:val="top"/>
          </w:tcPr>
          <w:p>
            <w:pPr>
              <w:widowControl/>
              <w:spacing w:before="249" w:after="0" w:line="240" w:lineRule="auto"/>
              <w:ind w:left="0" w:right="0" w:firstLine="0"/>
              <w:jc w:val="left"/>
              <w:rPr>
                <w:rFonts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en-US"/>
              </w:rPr>
            </w:pPr>
            <w:r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  <w:t>市纪委监委</w:t>
            </w:r>
          </w:p>
        </w:tc>
        <w:tc>
          <w:tcPr>
            <w:tcW w:w="4150" w:type="dxa"/>
            <w:vAlign w:val="top"/>
          </w:tcPr>
          <w:p>
            <w:pPr>
              <w:widowControl/>
              <w:spacing w:before="249" w:after="0" w:line="240" w:lineRule="auto"/>
              <w:ind w:left="0" w:right="0" w:firstLine="0"/>
              <w:jc w:val="left"/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</w:pPr>
            <w:r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  <w:t>常委、秘书长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5" w:hRule="exact"/>
        </w:trPr>
        <w:tc>
          <w:tcPr>
            <w:tcW w:w="2074" w:type="dxa"/>
            <w:vAlign w:val="top"/>
          </w:tcPr>
          <w:p>
            <w:pPr>
              <w:widowControl/>
              <w:spacing w:before="249" w:after="0" w:line="240" w:lineRule="auto"/>
              <w:ind w:left="0" w:right="0" w:firstLine="0"/>
              <w:jc w:val="left"/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</w:pPr>
            <w:r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  <w:t>赵昕</w:t>
            </w:r>
          </w:p>
        </w:tc>
        <w:tc>
          <w:tcPr>
            <w:tcW w:w="2362" w:type="dxa"/>
            <w:vAlign w:val="top"/>
          </w:tcPr>
          <w:p>
            <w:pPr>
              <w:widowControl/>
              <w:spacing w:before="249" w:after="0" w:line="240" w:lineRule="auto"/>
              <w:ind w:left="0" w:right="0" w:firstLine="0"/>
              <w:jc w:val="left"/>
              <w:rPr>
                <w:rFonts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en-US"/>
              </w:rPr>
            </w:pPr>
            <w:r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  <w:t>市纪委监委</w:t>
            </w:r>
          </w:p>
        </w:tc>
        <w:tc>
          <w:tcPr>
            <w:tcW w:w="4150" w:type="dxa"/>
            <w:vAlign w:val="top"/>
          </w:tcPr>
          <w:p>
            <w:pPr>
              <w:widowControl/>
              <w:spacing w:before="249" w:after="0" w:line="240" w:lineRule="auto"/>
              <w:ind w:left="0" w:right="0" w:firstLine="0"/>
              <w:jc w:val="left"/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</w:pPr>
            <w:r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  <w:t>办公室副主任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7" w:hRule="exact"/>
        </w:trPr>
        <w:tc>
          <w:tcPr>
            <w:tcW w:w="2074" w:type="dxa"/>
            <w:vAlign w:val="top"/>
          </w:tcPr>
          <w:p>
            <w:pPr>
              <w:widowControl/>
              <w:spacing w:before="249" w:after="0" w:line="240" w:lineRule="auto"/>
              <w:ind w:left="0" w:right="0" w:firstLine="0"/>
              <w:jc w:val="left"/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</w:pPr>
            <w:r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  <w:t>朱虹</w:t>
            </w:r>
          </w:p>
        </w:tc>
        <w:tc>
          <w:tcPr>
            <w:tcW w:w="2362" w:type="dxa"/>
            <w:vAlign w:val="top"/>
          </w:tcPr>
          <w:p>
            <w:pPr>
              <w:widowControl/>
              <w:spacing w:before="249" w:after="0" w:line="240" w:lineRule="auto"/>
              <w:ind w:left="0" w:right="0" w:firstLine="0"/>
              <w:jc w:val="left"/>
              <w:rPr>
                <w:rFonts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en-US"/>
              </w:rPr>
            </w:pPr>
            <w:r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  <w:t>市纪委监委</w:t>
            </w:r>
          </w:p>
        </w:tc>
        <w:tc>
          <w:tcPr>
            <w:tcW w:w="4150" w:type="dxa"/>
            <w:vAlign w:val="top"/>
          </w:tcPr>
          <w:p>
            <w:pPr>
              <w:widowControl/>
              <w:spacing w:before="249" w:after="0" w:line="240" w:lineRule="auto"/>
              <w:ind w:left="0" w:right="0" w:firstLine="0"/>
              <w:jc w:val="left"/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</w:pPr>
            <w:r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  <w:t>三级主任科员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exact"/>
        </w:trPr>
        <w:tc>
          <w:tcPr>
            <w:tcW w:w="2074" w:type="dxa"/>
            <w:vAlign w:val="top"/>
          </w:tcPr>
          <w:p>
            <w:pPr>
              <w:widowControl/>
              <w:spacing w:before="249" w:after="0" w:line="240" w:lineRule="auto"/>
              <w:ind w:left="0" w:right="0" w:firstLine="0"/>
              <w:jc w:val="left"/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</w:pPr>
            <w:r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  <w:t>秦悦</w:t>
            </w:r>
          </w:p>
        </w:tc>
        <w:tc>
          <w:tcPr>
            <w:tcW w:w="2362" w:type="dxa"/>
            <w:vAlign w:val="top"/>
          </w:tcPr>
          <w:p>
            <w:pPr>
              <w:widowControl/>
              <w:spacing w:before="249" w:after="0" w:line="240" w:lineRule="auto"/>
              <w:ind w:left="0" w:right="0" w:firstLine="0"/>
              <w:jc w:val="left"/>
              <w:rPr>
                <w:rFonts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en-US"/>
              </w:rPr>
            </w:pPr>
            <w:r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  <w:t>市纪委监委</w:t>
            </w:r>
          </w:p>
        </w:tc>
        <w:tc>
          <w:tcPr>
            <w:tcW w:w="4150" w:type="dxa"/>
            <w:vAlign w:val="top"/>
          </w:tcPr>
          <w:p>
            <w:pPr>
              <w:widowControl/>
              <w:spacing w:before="249" w:after="0" w:line="240" w:lineRule="auto"/>
              <w:ind w:left="0" w:right="0" w:firstLine="0"/>
              <w:jc w:val="left"/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</w:pPr>
            <w:r>
              <w:rPr>
                <w:rFonts w:hint="eastAsia" w:ascii="WWWULM+FangSong_GB2312" w:hAnsi="WWWULM+FangSong_GB2312" w:cs="WWWULM+FangSong_GB2312" w:eastAsiaTheme="minorEastAsia"/>
                <w:color w:val="000000"/>
                <w:spacing w:val="4"/>
                <w:kern w:val="0"/>
                <w:sz w:val="36"/>
                <w:lang w:eastAsia="zh-CN"/>
              </w:rPr>
              <w:t>三级主任科员</w:t>
            </w:r>
          </w:p>
        </w:tc>
      </w:tr>
    </w:tbl>
    <w:p>
      <w:pPr>
        <w:widowControl/>
        <w:spacing w:before="249" w:after="0" w:line="240" w:lineRule="auto"/>
        <w:ind w:left="0" w:right="0" w:firstLine="0"/>
        <w:jc w:val="left"/>
        <w:rPr>
          <w:rFonts w:hint="eastAsia"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</w:p>
    <w:p>
      <w:pPr>
        <w:widowControl/>
        <w:spacing w:before="249" w:after="0" w:line="240" w:lineRule="auto"/>
        <w:ind w:left="0" w:right="0" w:firstLine="0"/>
        <w:jc w:val="left"/>
        <w:rPr>
          <w:rFonts w:ascii="WWWULM+FangSong_GB2312" w:hAnsi="WWWULM+FangSong_GB2312" w:cs="WWWULM+FangSong_GB2312" w:eastAsiaTheme="minorEastAsia"/>
          <w:color w:val="000000"/>
          <w:spacing w:val="4"/>
          <w:kern w:val="0"/>
          <w:sz w:val="36"/>
          <w:lang w:eastAsia="en-US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MBKLMU+FZXBSJW--GB1-0">
    <w:altName w:val="Vrinda"/>
    <w:panose1 w:val="02000500000000000000"/>
    <w:charset w:val="01"/>
    <w:family w:val="auto"/>
    <w:pitch w:val="default"/>
    <w:sig w:usb0="00000000" w:usb1="00000000" w:usb2="00000000" w:usb3="00000000" w:csb0="00000000" w:csb1="00000000"/>
  </w:font>
  <w:font w:name="WWWULM+FangSong_GB2312">
    <w:altName w:val="Vrinda"/>
    <w:panose1 w:val="02000500000000000000"/>
    <w:charset w:val="01"/>
    <w:family w:val="auto"/>
    <w:pitch w:val="default"/>
    <w:sig w:usb0="00000000" w:usb1="00000000" w:usb2="00000000" w:usb3="00000000" w:csb0="00000000" w:csb1="00000000"/>
  </w:font>
  <w:font w:name="LSMSOU+TimesNewRomanPSMT">
    <w:altName w:val="Vrinda"/>
    <w:panose1 w:val="02000500000000000000"/>
    <w:charset w:val="01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Vrinda">
    <w:panose1 w:val="020B0502040204020203"/>
    <w:charset w:val="00"/>
    <w:family w:val="auto"/>
    <w:pitch w:val="default"/>
    <w:sig w:usb0="00010003" w:usb1="00000000" w:usb2="00000000" w:usb3="00000000" w:csb0="0000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102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102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93A1BB1"/>
    <w:multiLevelType w:val="singleLevel"/>
    <w:tmpl w:val="B93A1BB1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3945EB9"/>
    <w:rsid w:val="046F331E"/>
    <w:rsid w:val="07956271"/>
    <w:rsid w:val="09721397"/>
    <w:rsid w:val="0B0758AE"/>
    <w:rsid w:val="0BB63BED"/>
    <w:rsid w:val="0EB97A43"/>
    <w:rsid w:val="0EBD2122"/>
    <w:rsid w:val="0F214EAE"/>
    <w:rsid w:val="11B71E6A"/>
    <w:rsid w:val="12ED5165"/>
    <w:rsid w:val="1AAF0063"/>
    <w:rsid w:val="1BE140DE"/>
    <w:rsid w:val="1E475325"/>
    <w:rsid w:val="22D84FBA"/>
    <w:rsid w:val="248C197D"/>
    <w:rsid w:val="252959AF"/>
    <w:rsid w:val="26024DD5"/>
    <w:rsid w:val="273E7D06"/>
    <w:rsid w:val="277A6671"/>
    <w:rsid w:val="28276BCC"/>
    <w:rsid w:val="292D35B7"/>
    <w:rsid w:val="33EB6CFF"/>
    <w:rsid w:val="35A12947"/>
    <w:rsid w:val="37387040"/>
    <w:rsid w:val="3B625C0A"/>
    <w:rsid w:val="3CEE1963"/>
    <w:rsid w:val="4C9C27FE"/>
    <w:rsid w:val="512260B4"/>
    <w:rsid w:val="52BD6ACB"/>
    <w:rsid w:val="53824BE8"/>
    <w:rsid w:val="55537534"/>
    <w:rsid w:val="561A74F1"/>
    <w:rsid w:val="597244E8"/>
    <w:rsid w:val="5EB71C30"/>
    <w:rsid w:val="66AF0CE5"/>
    <w:rsid w:val="682B12C1"/>
    <w:rsid w:val="6AC537CF"/>
    <w:rsid w:val="6E5B14A6"/>
    <w:rsid w:val="711B255E"/>
    <w:rsid w:val="7139390B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宋体" w:hAnsi="宋体" w:eastAsia="宋体" w:cs="宋体"/>
      <w:sz w:val="28"/>
      <w:szCs w:val="2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插入文本样式-插入职责分类绩效目标文件"/>
    <w:basedOn w:val="1"/>
    <w:qFormat/>
    <w:uiPriority w:val="0"/>
    <w:pPr>
      <w:spacing w:before="0" w:beforeLines="0" w:after="0" w:afterLines="0" w:line="500" w:lineRule="exact"/>
      <w:ind w:firstLine="560"/>
      <w:jc w:val="left"/>
      <w:outlineLvl w:val="9"/>
    </w:pPr>
    <w:rPr>
      <w:sz w:val="28"/>
    </w:rPr>
  </w:style>
  <w:style w:type="paragraph" w:customStyle="1" w:styleId="9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100</Words>
  <Characters>570</Characters>
  <Lines>4</Lines>
  <Paragraphs>1</Paragraphs>
  <TotalTime>4</TotalTime>
  <ScaleCrop>false</ScaleCrop>
  <LinksUpToDate>false</LinksUpToDate>
  <CharactersWithSpaces>669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2023-04-20T05:13:00Z</cp:lastPrinted>
  <dcterms:modified xsi:type="dcterms:W3CDTF">2023-07-19T07:40:26Z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