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b/>
          <w:bCs/>
          <w:color w:val="000000"/>
          <w:kern w:val="0"/>
          <w:sz w:val="44"/>
          <w:szCs w:val="44"/>
        </w:rPr>
        <w:t>纪检监察工作保障中心运行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项目自评报告</w:t>
      </w: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根据《石家庄市市级部门项目绩效自评管理办法》（石财绩〔2020〕5号），</w:t>
      </w:r>
      <w:r>
        <w:rPr>
          <w:rFonts w:hint="eastAsia" w:ascii="仿宋" w:hAnsi="仿宋" w:eastAsia="仿宋" w:cs="仿宋"/>
          <w:sz w:val="32"/>
          <w:szCs w:val="32"/>
        </w:rPr>
        <w:t>遵循全面覆盖、程序简便、客观公正、公开透明的原则</w:t>
      </w:r>
      <w:r>
        <w:rPr>
          <w:rFonts w:hint="eastAsia" w:ascii="仿宋" w:hAnsi="仿宋" w:eastAsia="仿宋"/>
          <w:sz w:val="32"/>
          <w:szCs w:val="32"/>
        </w:rPr>
        <w:t>，对纪检监察工作保障中心运行项目实施了财政绩效自评价，形成本评价报告。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>一、项目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（一）项目概况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1、项目实施单位及项目立项</w:t>
      </w:r>
      <w:r>
        <w:rPr>
          <w:rFonts w:hint="eastAsia" w:ascii="仿宋" w:hAnsi="仿宋" w:eastAsia="仿宋"/>
          <w:sz w:val="32"/>
          <w:szCs w:val="32"/>
          <w:lang w:eastAsia="zh-CN"/>
        </w:rPr>
        <w:t>依据</w:t>
      </w:r>
      <w:r>
        <w:rPr>
          <w:rFonts w:hint="eastAsia" w:ascii="仿宋" w:hAnsi="仿宋" w:eastAsia="仿宋"/>
          <w:sz w:val="32"/>
          <w:szCs w:val="32"/>
        </w:rPr>
        <w:t>等情况；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根据</w:t>
      </w:r>
      <w:r>
        <w:rPr>
          <w:rFonts w:hint="eastAsia" w:ascii="仿宋" w:hAnsi="仿宋" w:eastAsia="仿宋"/>
          <w:sz w:val="32"/>
          <w:szCs w:val="32"/>
        </w:rPr>
        <w:t>中央纪委《关于进一步加强纪委监委留置场所设置管理监督工作的意见》《关于加强审查调查安全工作的意见》国家监委《监察机关留置场所管理办法（试行）》该预算用于支付市纪检监察保障中心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</w:rPr>
        <w:t>市纪检监察保障中心防护等级较高，日常执行半封闭、封闭管理，对安防、运行服务管理要求</w:t>
      </w:r>
      <w:r>
        <w:rPr>
          <w:rFonts w:hint="eastAsia" w:ascii="仿宋" w:hAnsi="仿宋" w:eastAsia="仿宋"/>
          <w:sz w:val="32"/>
          <w:szCs w:val="32"/>
          <w:lang w:eastAsia="zh-CN"/>
        </w:rPr>
        <w:t>严格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/>
          <w:sz w:val="32"/>
          <w:szCs w:val="32"/>
        </w:rPr>
        <w:t>项目主要实施内容和范围；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该预算用于支付市纪委机关和市纪检监察保障中心驻地安防、运行服务管理、保洁、绿化、设施维护维修、日用消耗、急救保障、水电暖费、网络费、防火防汛等必要费用。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项目资金投入情况（资金数量、资金结构、资金来源渠道等）。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市纪检监察保障中心防护等级较高，日常执行半封闭、封闭管理，对安防、运行服务管理等工作提出了更高要求，相关人员数量及待遇适当调整。预计预算构成：市纪检监察保障中心总建筑面积23546.64平方米，按照市财政标准，物业费为23546.64×4.5×12=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127</w:t>
      </w:r>
      <w:r>
        <w:rPr>
          <w:rFonts w:hint="eastAsia" w:ascii="仿宋" w:hAnsi="仿宋" w:eastAsia="仿宋"/>
          <w:sz w:val="32"/>
          <w:szCs w:val="32"/>
        </w:rPr>
        <w:t>万元+运行服务管理费用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810</w:t>
      </w:r>
      <w:r>
        <w:rPr>
          <w:rFonts w:hint="eastAsia" w:ascii="仿宋" w:hAnsi="仿宋" w:eastAsia="仿宋"/>
          <w:sz w:val="32"/>
          <w:szCs w:val="32"/>
        </w:rPr>
        <w:t>万元+安防费用220万元+急救保障费用100万元+其他费用</w:t>
      </w:r>
      <w:r>
        <w:rPr>
          <w:rFonts w:hint="eastAsia" w:ascii="仿宋" w:hAnsi="仿宋" w:eastAsia="仿宋"/>
          <w:sz w:val="32"/>
          <w:szCs w:val="32"/>
          <w:lang w:eastAsia="zh-CN"/>
        </w:rPr>
        <w:t>共计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1300万元。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（二）项目预期绩效目标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纪检监察机关作为党内监督和国家监察的专责机关，是重要政治机关、肩负着重要政治责任，必须做到绝对安全。工作中，强化日常运行维护，加强应急演练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严格按预算经费，</w:t>
      </w:r>
      <w:r>
        <w:rPr>
          <w:rFonts w:hint="eastAsia" w:ascii="仿宋" w:hAnsi="仿宋" w:eastAsia="仿宋"/>
          <w:sz w:val="32"/>
          <w:szCs w:val="32"/>
          <w:lang w:eastAsia="zh-CN"/>
        </w:rPr>
        <w:t>确保日常工作</w:t>
      </w:r>
      <w:r>
        <w:rPr>
          <w:rFonts w:hint="eastAsia" w:ascii="仿宋" w:hAnsi="仿宋" w:eastAsia="仿宋"/>
          <w:sz w:val="32"/>
          <w:szCs w:val="32"/>
        </w:rPr>
        <w:t>低成本高质量安全有序高效运行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二、自评工作情况</w:t>
      </w:r>
    </w:p>
    <w:p>
      <w:pPr>
        <w:adjustRightInd w:val="0"/>
        <w:snapToGrid w:val="0"/>
        <w:spacing w:line="560" w:lineRule="exact"/>
        <w:ind w:firstLine="627" w:firstLineChars="196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根据《石家庄市市级部门预算项目绩效自评管理办法》、《石家庄市财政局关于开展 20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22</w:t>
      </w:r>
      <w:r>
        <w:rPr>
          <w:rFonts w:hint="eastAsia" w:ascii="仿宋" w:hAnsi="仿宋" w:eastAsia="仿宋"/>
          <w:sz w:val="32"/>
          <w:szCs w:val="32"/>
        </w:rPr>
        <w:t>年度财政专项资金部门绩效自评工作的通知》要求，市纪委对20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22</w:t>
      </w:r>
      <w:r>
        <w:rPr>
          <w:rFonts w:hint="eastAsia" w:ascii="仿宋" w:hAnsi="仿宋" w:eastAsia="仿宋"/>
          <w:sz w:val="32"/>
          <w:szCs w:val="32"/>
        </w:rPr>
        <w:t>年度部门所有预算项目（包括专项项目和专项公用</w:t>
      </w:r>
      <w:r>
        <w:rPr>
          <w:rFonts w:hint="eastAsia" w:ascii="仿宋" w:hAnsi="仿宋" w:eastAsia="仿宋"/>
          <w:sz w:val="32"/>
          <w:szCs w:val="32"/>
          <w:lang w:eastAsia="zh-CN"/>
        </w:rPr>
        <w:t>及中央转移支付资金</w:t>
      </w:r>
      <w:r>
        <w:rPr>
          <w:rFonts w:hint="eastAsia" w:ascii="仿宋" w:hAnsi="仿宋" w:eastAsia="仿宋"/>
          <w:sz w:val="32"/>
          <w:szCs w:val="32"/>
        </w:rPr>
        <w:t>）进行了绩效自评。市纪委高度重视绩效自评工作，办公室财务负责人、财会人员及聘请的第三方机构专业人员参加的绩效评价小组，制定自评工作方案，明确了评价内容、评价程序及时间安排。</w:t>
      </w:r>
    </w:p>
    <w:p>
      <w:pPr>
        <w:numPr>
          <w:ilvl w:val="0"/>
          <w:numId w:val="2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召开专题会议，组织评价小组成员认真学习相关文件精神，掌握政策要求，做好准备工作。评价小组采用定性分析与定量分析相结合的方法，从预算管理、预算执行、专项资金使用及产生效益等方面，对20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22</w:t>
      </w:r>
      <w:r>
        <w:rPr>
          <w:rFonts w:hint="eastAsia" w:ascii="仿宋" w:hAnsi="仿宋" w:eastAsia="仿宋"/>
          <w:sz w:val="32"/>
          <w:szCs w:val="32"/>
        </w:rPr>
        <w:t>年年初预算确定的项目进行了综合评价，完成了《石家庄市市级部门预算项目绩效自评表》，并对纪检监察工作保障中心运行项目进行重点评价，形成了专项资金绩效评价报告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numPr>
          <w:ilvl w:val="0"/>
          <w:numId w:val="2"/>
        </w:numPr>
        <w:adjustRightInd w:val="0"/>
        <w:snapToGrid w:val="0"/>
        <w:spacing w:line="560" w:lineRule="exact"/>
        <w:ind w:left="0" w:leftChars="0"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建立绩效评价指标体系</w:t>
      </w:r>
    </w:p>
    <w:p>
      <w:pPr>
        <w:spacing w:line="58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22"/>
        </w:rPr>
      </w:pPr>
      <w:r>
        <w:rPr>
          <w:rFonts w:hint="eastAsia" w:ascii="仿宋_GB2312" w:hAnsi="仿宋_GB2312" w:eastAsia="仿宋_GB2312" w:cs="仿宋_GB2312"/>
          <w:sz w:val="32"/>
          <w:szCs w:val="22"/>
        </w:rPr>
        <w:t>绩效目标设定依据清晰准确，符合部门职责，能够紧扣中心任务和年度工作要点，充分发挥参谋助手、综合协调和后勤保障作用。绩效指标科学合理、易于评价，能够围绕绩效目标设定，全面真实反映被评价项目的实际情况。绩效标准切实可行，客观合理，能够实际执行或实现，大部分预算资金额与实际支出资金量相匹配。根据市纪委20</w:t>
      </w:r>
      <w:r>
        <w:rPr>
          <w:rFonts w:hint="eastAsia" w:ascii="仿宋_GB2312" w:hAnsi="仿宋_GB2312" w:eastAsia="仿宋_GB2312" w:cs="仿宋_GB2312"/>
          <w:sz w:val="32"/>
          <w:szCs w:val="2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22"/>
        </w:rPr>
        <w:t xml:space="preserve"> 年度总体目标和职责分类绩效目标，坚持统筹兼顾、突出重点，完善目标管理，强化运行监控，全面推动实施，较好地完成各项工作任务。</w:t>
      </w:r>
      <w:r>
        <w:rPr>
          <w:rFonts w:hint="eastAsia" w:ascii="仿宋_GB2312" w:hAnsi="仿宋_GB2312" w:eastAsia="仿宋_GB2312" w:cs="仿宋_GB2312"/>
          <w:sz w:val="32"/>
          <w:szCs w:val="22"/>
          <w:lang w:eastAsia="zh-CN"/>
        </w:rPr>
        <w:t>重点</w:t>
      </w:r>
      <w:r>
        <w:rPr>
          <w:rFonts w:hint="eastAsia" w:ascii="仿宋_GB2312" w:hAnsi="仿宋_GB2312" w:eastAsia="仿宋_GB2312" w:cs="仿宋_GB2312"/>
          <w:sz w:val="32"/>
          <w:szCs w:val="22"/>
        </w:rPr>
        <w:t>评价的</w:t>
      </w:r>
      <w:r>
        <w:rPr>
          <w:rFonts w:hint="eastAsia" w:ascii="仿宋" w:hAnsi="仿宋" w:eastAsia="仿宋"/>
          <w:sz w:val="32"/>
          <w:szCs w:val="32"/>
        </w:rPr>
        <w:t>纪检监察工作保障中心运行项目</w:t>
      </w:r>
      <w:r>
        <w:rPr>
          <w:rFonts w:hint="eastAsia" w:ascii="仿宋_GB2312" w:hAnsi="仿宋_GB2312" w:eastAsia="仿宋_GB2312" w:cs="仿宋_GB2312"/>
          <w:sz w:val="32"/>
          <w:szCs w:val="22"/>
        </w:rPr>
        <w:t>，评价等级为“优”。</w:t>
      </w:r>
    </w:p>
    <w:p>
      <w:pPr>
        <w:spacing w:line="560" w:lineRule="exact"/>
        <w:ind w:firstLine="640" w:firstLineChars="200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三、项目执行及绩效实现情况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预算执行情况</w:t>
      </w:r>
    </w:p>
    <w:p>
      <w:pPr>
        <w:spacing w:line="58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2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22"/>
        </w:rPr>
        <w:t>20</w:t>
      </w:r>
      <w:r>
        <w:rPr>
          <w:rFonts w:hint="eastAsia" w:ascii="仿宋_GB2312" w:hAnsi="仿宋_GB2312" w:eastAsia="仿宋_GB2312" w:cs="仿宋_GB2312"/>
          <w:sz w:val="32"/>
          <w:szCs w:val="2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22"/>
        </w:rPr>
        <w:t xml:space="preserve"> 年初市财政局批复市纪委</w:t>
      </w:r>
      <w:r>
        <w:rPr>
          <w:rFonts w:hint="eastAsia" w:ascii="仿宋" w:hAnsi="仿宋" w:eastAsia="仿宋"/>
          <w:sz w:val="32"/>
          <w:szCs w:val="32"/>
        </w:rPr>
        <w:t>纪检监察工作保障中心运行项目</w:t>
      </w:r>
      <w:r>
        <w:rPr>
          <w:rFonts w:hint="eastAsia" w:ascii="仿宋_GB2312" w:hAnsi="仿宋_GB2312" w:eastAsia="仿宋_GB2312" w:cs="仿宋_GB2312"/>
          <w:sz w:val="32"/>
          <w:szCs w:val="22"/>
        </w:rPr>
        <w:t>资金</w:t>
      </w:r>
      <w:r>
        <w:rPr>
          <w:rFonts w:hint="eastAsia" w:ascii="仿宋_GB2312" w:hAnsi="仿宋_GB2312" w:eastAsia="仿宋_GB2312" w:cs="仿宋_GB2312"/>
          <w:sz w:val="32"/>
          <w:szCs w:val="22"/>
          <w:lang w:val="en-US" w:eastAsia="zh-CN"/>
        </w:rPr>
        <w:t>1300</w:t>
      </w:r>
      <w:r>
        <w:rPr>
          <w:rFonts w:hint="eastAsia" w:ascii="仿宋_GB2312" w:hAnsi="仿宋_GB2312" w:eastAsia="仿宋_GB2312" w:cs="仿宋_GB2312"/>
          <w:sz w:val="32"/>
          <w:szCs w:val="22"/>
        </w:rPr>
        <w:t>万元，项目资金支出</w:t>
      </w:r>
      <w:r>
        <w:rPr>
          <w:rFonts w:hint="eastAsia" w:ascii="仿宋_GB2312" w:hAnsi="仿宋_GB2312" w:eastAsia="仿宋_GB2312" w:cs="仿宋_GB2312"/>
          <w:sz w:val="32"/>
          <w:szCs w:val="22"/>
          <w:lang w:val="en-US" w:eastAsia="zh-CN"/>
        </w:rPr>
        <w:t>1300</w:t>
      </w:r>
      <w:r>
        <w:rPr>
          <w:rFonts w:hint="eastAsia" w:ascii="仿宋_GB2312" w:hAnsi="仿宋_GB2312" w:eastAsia="仿宋_GB2312" w:cs="仿宋_GB2312"/>
          <w:sz w:val="32"/>
          <w:szCs w:val="22"/>
        </w:rPr>
        <w:t>万元。</w:t>
      </w:r>
      <w:r>
        <w:rPr>
          <w:rFonts w:hint="eastAsia" w:ascii="仿宋_GB2312" w:hAnsi="仿宋_GB2312" w:eastAsia="仿宋_GB2312" w:cs="仿宋_GB2312"/>
          <w:sz w:val="32"/>
          <w:szCs w:val="22"/>
          <w:lang w:eastAsia="zh-CN"/>
        </w:rPr>
        <w:t>严格按预算执行。</w:t>
      </w:r>
    </w:p>
    <w:p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项目产出</w:t>
      </w:r>
    </w:p>
    <w:tbl>
      <w:tblPr>
        <w:tblStyle w:val="4"/>
        <w:tblW w:w="9753" w:type="dxa"/>
        <w:tblInd w:w="-109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75"/>
        <w:gridCol w:w="1187"/>
        <w:gridCol w:w="1775"/>
        <w:gridCol w:w="2650"/>
        <w:gridCol w:w="2466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</w:trPr>
        <w:tc>
          <w:tcPr>
            <w:tcW w:w="1675" w:type="dxa"/>
            <w:tcBorders>
              <w:bottom w:val="single" w:color="auto" w:sz="4" w:space="0"/>
            </w:tcBorders>
          </w:tcPr>
          <w:p>
            <w:pPr>
              <w:pStyle w:val="7"/>
              <w:spacing w:before="61"/>
              <w:ind w:firstLine="422" w:firstLineChars="200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一级指标</w:t>
            </w:r>
          </w:p>
        </w:tc>
        <w:tc>
          <w:tcPr>
            <w:tcW w:w="1187" w:type="dxa"/>
          </w:tcPr>
          <w:p>
            <w:pPr>
              <w:pStyle w:val="7"/>
              <w:spacing w:before="6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二级指标</w:t>
            </w:r>
          </w:p>
        </w:tc>
        <w:tc>
          <w:tcPr>
            <w:tcW w:w="1775" w:type="dxa"/>
          </w:tcPr>
          <w:p>
            <w:pPr>
              <w:pStyle w:val="7"/>
              <w:spacing w:before="61"/>
              <w:ind w:firstLine="422" w:firstLineChars="200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三级指标</w:t>
            </w:r>
          </w:p>
        </w:tc>
        <w:tc>
          <w:tcPr>
            <w:tcW w:w="2650" w:type="dxa"/>
          </w:tcPr>
          <w:p>
            <w:pPr>
              <w:pStyle w:val="7"/>
              <w:spacing w:before="61"/>
              <w:ind w:left="603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绩效指标描述</w:t>
            </w:r>
          </w:p>
        </w:tc>
        <w:tc>
          <w:tcPr>
            <w:tcW w:w="2466" w:type="dxa"/>
          </w:tcPr>
          <w:p>
            <w:pPr>
              <w:pStyle w:val="7"/>
              <w:spacing w:before="61"/>
              <w:ind w:left="498"/>
              <w:jc w:val="both"/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根据指标体系评分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</w:trPr>
        <w:tc>
          <w:tcPr>
            <w:tcW w:w="16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rPr>
                <w:b/>
                <w:sz w:val="20"/>
              </w:rPr>
            </w:pPr>
          </w:p>
          <w:p>
            <w:pPr>
              <w:pStyle w:val="7"/>
              <w:rPr>
                <w:b/>
                <w:sz w:val="20"/>
              </w:rPr>
            </w:pPr>
          </w:p>
          <w:p>
            <w:pPr>
              <w:pStyle w:val="7"/>
              <w:spacing w:before="9"/>
              <w:rPr>
                <w:b/>
                <w:sz w:val="18"/>
              </w:rPr>
            </w:pPr>
          </w:p>
          <w:p>
            <w:pPr>
              <w:pStyle w:val="7"/>
              <w:spacing w:before="1"/>
              <w:ind w:firstLine="420" w:firstLineChars="200"/>
              <w:rPr>
                <w:sz w:val="21"/>
              </w:rPr>
            </w:pPr>
            <w:r>
              <w:rPr>
                <w:sz w:val="21"/>
              </w:rPr>
              <w:t>产出指标</w:t>
            </w:r>
          </w:p>
        </w:tc>
        <w:tc>
          <w:tcPr>
            <w:tcW w:w="1187" w:type="dxa"/>
            <w:tcBorders>
              <w:left w:val="single" w:color="auto" w:sz="4" w:space="0"/>
            </w:tcBorders>
          </w:tcPr>
          <w:p>
            <w:pPr>
              <w:pStyle w:val="7"/>
              <w:spacing w:before="62"/>
              <w:ind w:left="106"/>
              <w:rPr>
                <w:sz w:val="21"/>
              </w:rPr>
            </w:pPr>
            <w:r>
              <w:rPr>
                <w:sz w:val="21"/>
              </w:rPr>
              <w:t>数量指标</w:t>
            </w:r>
          </w:p>
        </w:tc>
        <w:tc>
          <w:tcPr>
            <w:tcW w:w="1775" w:type="dxa"/>
          </w:tcPr>
          <w:p>
            <w:pPr>
              <w:pStyle w:val="7"/>
              <w:spacing w:before="62"/>
              <w:ind w:left="108"/>
              <w:rPr>
                <w:sz w:val="21"/>
              </w:rPr>
            </w:pPr>
            <w:r>
              <w:rPr>
                <w:sz w:val="21"/>
              </w:rPr>
              <w:t>加强应急演练</w:t>
            </w:r>
          </w:p>
        </w:tc>
        <w:tc>
          <w:tcPr>
            <w:tcW w:w="2650" w:type="dxa"/>
          </w:tcPr>
          <w:p>
            <w:pPr>
              <w:pStyle w:val="7"/>
              <w:spacing w:before="62"/>
              <w:ind w:left="106"/>
              <w:rPr>
                <w:sz w:val="21"/>
              </w:rPr>
            </w:pPr>
            <w:r>
              <w:rPr>
                <w:sz w:val="21"/>
              </w:rPr>
              <w:t>加强应急演练</w:t>
            </w:r>
          </w:p>
        </w:tc>
        <w:tc>
          <w:tcPr>
            <w:tcW w:w="2466" w:type="dxa"/>
          </w:tcPr>
          <w:p>
            <w:pPr>
              <w:pStyle w:val="7"/>
              <w:spacing w:before="62"/>
              <w:ind w:left="106"/>
              <w:rPr>
                <w:rFonts w:hint="default" w:eastAsia="宋体"/>
                <w:sz w:val="21"/>
                <w:lang w:val="en-US" w:eastAsia="zh-CN"/>
              </w:rPr>
            </w:pPr>
            <w:r>
              <w:rPr>
                <w:rFonts w:hint="eastAsia"/>
                <w:sz w:val="21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16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87" w:type="dxa"/>
            <w:tcBorders>
              <w:left w:val="single" w:color="auto" w:sz="4" w:space="0"/>
            </w:tcBorders>
          </w:tcPr>
          <w:p>
            <w:pPr>
              <w:pStyle w:val="7"/>
              <w:spacing w:before="62"/>
              <w:ind w:left="106"/>
              <w:rPr>
                <w:sz w:val="21"/>
              </w:rPr>
            </w:pPr>
            <w:r>
              <w:rPr>
                <w:sz w:val="21"/>
              </w:rPr>
              <w:t>质量指标</w:t>
            </w:r>
          </w:p>
        </w:tc>
        <w:tc>
          <w:tcPr>
            <w:tcW w:w="1775" w:type="dxa"/>
          </w:tcPr>
          <w:p>
            <w:pPr>
              <w:pStyle w:val="7"/>
              <w:spacing w:before="62"/>
              <w:ind w:left="108"/>
              <w:rPr>
                <w:sz w:val="21"/>
              </w:rPr>
            </w:pPr>
            <w:r>
              <w:rPr>
                <w:sz w:val="21"/>
              </w:rPr>
              <w:t>设备维护率</w:t>
            </w:r>
          </w:p>
        </w:tc>
        <w:tc>
          <w:tcPr>
            <w:tcW w:w="2650" w:type="dxa"/>
          </w:tcPr>
          <w:p>
            <w:pPr>
              <w:pStyle w:val="7"/>
              <w:spacing w:before="62"/>
              <w:ind w:left="106"/>
              <w:rPr>
                <w:sz w:val="21"/>
              </w:rPr>
            </w:pPr>
            <w:r>
              <w:rPr>
                <w:sz w:val="21"/>
              </w:rPr>
              <w:t>设备维护率</w:t>
            </w:r>
          </w:p>
        </w:tc>
        <w:tc>
          <w:tcPr>
            <w:tcW w:w="2466" w:type="dxa"/>
          </w:tcPr>
          <w:p>
            <w:pPr>
              <w:pStyle w:val="7"/>
              <w:spacing w:before="62"/>
              <w:ind w:left="106"/>
              <w:rPr>
                <w:rFonts w:hint="default" w:eastAsia="宋体"/>
                <w:sz w:val="21"/>
                <w:lang w:val="en-US" w:eastAsia="zh-CN"/>
              </w:rPr>
            </w:pPr>
            <w:r>
              <w:rPr>
                <w:rFonts w:hint="eastAsia"/>
                <w:sz w:val="21"/>
                <w:lang w:val="en-US" w:eastAsia="zh-CN"/>
              </w:rPr>
              <w:t>19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3" w:hRule="atLeast"/>
        </w:trPr>
        <w:tc>
          <w:tcPr>
            <w:tcW w:w="16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87" w:type="dxa"/>
            <w:tcBorders>
              <w:left w:val="single" w:color="auto" w:sz="4" w:space="0"/>
            </w:tcBorders>
          </w:tcPr>
          <w:p>
            <w:pPr>
              <w:pStyle w:val="7"/>
              <w:spacing w:before="135"/>
              <w:ind w:left="106"/>
              <w:rPr>
                <w:sz w:val="21"/>
              </w:rPr>
            </w:pPr>
            <w:r>
              <w:rPr>
                <w:sz w:val="21"/>
              </w:rPr>
              <w:t>时效指标</w:t>
            </w:r>
          </w:p>
        </w:tc>
        <w:tc>
          <w:tcPr>
            <w:tcW w:w="1775" w:type="dxa"/>
          </w:tcPr>
          <w:p>
            <w:pPr>
              <w:pStyle w:val="7"/>
              <w:spacing w:before="135"/>
              <w:ind w:left="108"/>
              <w:rPr>
                <w:sz w:val="21"/>
              </w:rPr>
            </w:pPr>
            <w:r>
              <w:rPr>
                <w:sz w:val="21"/>
              </w:rPr>
              <w:t>医疗保障及时率</w:t>
            </w:r>
          </w:p>
        </w:tc>
        <w:tc>
          <w:tcPr>
            <w:tcW w:w="2650" w:type="dxa"/>
          </w:tcPr>
          <w:p>
            <w:pPr>
              <w:pStyle w:val="7"/>
              <w:spacing w:before="1"/>
              <w:ind w:left="106"/>
              <w:rPr>
                <w:sz w:val="21"/>
              </w:rPr>
            </w:pPr>
            <w:r>
              <w:rPr>
                <w:sz w:val="21"/>
              </w:rPr>
              <w:t>加强医疗保障，确保人</w:t>
            </w:r>
          </w:p>
          <w:p>
            <w:pPr>
              <w:pStyle w:val="7"/>
              <w:spacing w:before="2" w:line="252" w:lineRule="exact"/>
              <w:ind w:left="106"/>
              <w:rPr>
                <w:sz w:val="21"/>
              </w:rPr>
            </w:pPr>
            <w:r>
              <w:rPr>
                <w:sz w:val="21"/>
              </w:rPr>
              <w:t>员安全</w:t>
            </w:r>
          </w:p>
        </w:tc>
        <w:tc>
          <w:tcPr>
            <w:tcW w:w="2466" w:type="dxa"/>
          </w:tcPr>
          <w:p>
            <w:pPr>
              <w:pStyle w:val="7"/>
              <w:spacing w:before="135"/>
              <w:ind w:left="106"/>
              <w:rPr>
                <w:rFonts w:hint="default" w:eastAsia="宋体"/>
                <w:sz w:val="21"/>
                <w:lang w:val="en-US" w:eastAsia="zh-CN"/>
              </w:rPr>
            </w:pPr>
            <w:r>
              <w:rPr>
                <w:rFonts w:hint="eastAsia"/>
                <w:sz w:val="21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16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87" w:type="dxa"/>
            <w:tcBorders>
              <w:left w:val="single" w:color="auto" w:sz="4" w:space="0"/>
            </w:tcBorders>
          </w:tcPr>
          <w:p>
            <w:pPr>
              <w:pStyle w:val="7"/>
              <w:spacing w:before="63"/>
              <w:ind w:left="106"/>
              <w:rPr>
                <w:sz w:val="21"/>
              </w:rPr>
            </w:pPr>
            <w:r>
              <w:rPr>
                <w:sz w:val="21"/>
              </w:rPr>
              <w:t>成本指标</w:t>
            </w:r>
          </w:p>
        </w:tc>
        <w:tc>
          <w:tcPr>
            <w:tcW w:w="1775" w:type="dxa"/>
          </w:tcPr>
          <w:p>
            <w:pPr>
              <w:pStyle w:val="7"/>
              <w:spacing w:before="63"/>
              <w:ind w:left="108"/>
              <w:rPr>
                <w:sz w:val="21"/>
              </w:rPr>
            </w:pPr>
            <w:r>
              <w:rPr>
                <w:sz w:val="21"/>
              </w:rPr>
              <w:t>管理制度合理率</w:t>
            </w:r>
          </w:p>
        </w:tc>
        <w:tc>
          <w:tcPr>
            <w:tcW w:w="2650" w:type="dxa"/>
          </w:tcPr>
          <w:p>
            <w:pPr>
              <w:pStyle w:val="7"/>
              <w:spacing w:before="63"/>
              <w:ind w:left="106"/>
              <w:rPr>
                <w:sz w:val="21"/>
              </w:rPr>
            </w:pPr>
            <w:r>
              <w:rPr>
                <w:sz w:val="21"/>
              </w:rPr>
              <w:t>管理制度合理率</w:t>
            </w:r>
          </w:p>
        </w:tc>
        <w:tc>
          <w:tcPr>
            <w:tcW w:w="2466" w:type="dxa"/>
          </w:tcPr>
          <w:p>
            <w:pPr>
              <w:pStyle w:val="7"/>
              <w:spacing w:before="63"/>
              <w:ind w:left="106"/>
              <w:rPr>
                <w:rFonts w:hint="default" w:eastAsia="宋体"/>
                <w:sz w:val="21"/>
                <w:lang w:val="en-US" w:eastAsia="zh-CN"/>
              </w:rPr>
            </w:pPr>
            <w:r>
              <w:rPr>
                <w:rFonts w:hint="eastAsia"/>
                <w:sz w:val="21"/>
                <w:lang w:val="en-US" w:eastAsia="zh-CN"/>
              </w:rPr>
              <w:t>15</w:t>
            </w:r>
          </w:p>
        </w:tc>
      </w:tr>
    </w:tbl>
    <w:p>
      <w:pPr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</w:p>
    <w:p>
      <w:pPr>
        <w:spacing w:line="560" w:lineRule="exact"/>
        <w:rPr>
          <w:rFonts w:hint="eastAsia" w:ascii="楷体" w:hAnsi="楷体" w:eastAsia="楷体" w:cs="楷体_GB2312"/>
          <w:bCs/>
          <w:sz w:val="32"/>
          <w:szCs w:val="32"/>
        </w:rPr>
      </w:pPr>
    </w:p>
    <w:p>
      <w:pPr>
        <w:spacing w:line="560" w:lineRule="exact"/>
        <w:rPr>
          <w:rFonts w:hint="eastAsia" w:ascii="楷体" w:hAnsi="楷体" w:eastAsia="楷体" w:cs="楷体_GB2312"/>
          <w:bCs/>
          <w:sz w:val="32"/>
          <w:szCs w:val="32"/>
        </w:rPr>
      </w:pPr>
    </w:p>
    <w:p>
      <w:pPr>
        <w:spacing w:line="560" w:lineRule="exact"/>
        <w:rPr>
          <w:rFonts w:hint="eastAsia" w:ascii="楷体" w:hAnsi="楷体" w:eastAsia="楷体" w:cs="楷体_GB2312"/>
          <w:bCs/>
          <w:sz w:val="32"/>
          <w:szCs w:val="32"/>
        </w:rPr>
      </w:pP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（三）项目效益</w:t>
      </w:r>
    </w:p>
    <w:tbl>
      <w:tblPr>
        <w:tblStyle w:val="4"/>
        <w:tblW w:w="9201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960"/>
        <w:gridCol w:w="1540"/>
        <w:gridCol w:w="1120"/>
        <w:gridCol w:w="1693"/>
        <w:gridCol w:w="2377"/>
        <w:gridCol w:w="151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9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154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1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1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绩效指标描述</w:t>
            </w:r>
          </w:p>
        </w:tc>
        <w:tc>
          <w:tcPr>
            <w:tcW w:w="237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指标值</w:t>
            </w:r>
          </w:p>
        </w:tc>
        <w:tc>
          <w:tcPr>
            <w:tcW w:w="151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/>
                <w:b/>
                <w:sz w:val="21"/>
              </w:rPr>
              <w:t>指标体系评分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 w:hRule="atLeast"/>
        </w:trPr>
        <w:tc>
          <w:tcPr>
            <w:tcW w:w="96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效益指标</w:t>
            </w:r>
          </w:p>
        </w:tc>
        <w:tc>
          <w:tcPr>
            <w:tcW w:w="1540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可持续影响指标</w:t>
            </w:r>
          </w:p>
        </w:tc>
        <w:tc>
          <w:tcPr>
            <w:tcW w:w="1120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长期使用性</w:t>
            </w:r>
          </w:p>
        </w:tc>
        <w:tc>
          <w:tcPr>
            <w:tcW w:w="1693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办案设备运行正常，办案手段运用适当</w:t>
            </w:r>
          </w:p>
        </w:tc>
        <w:tc>
          <w:tcPr>
            <w:tcW w:w="2377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≥95%</w:t>
            </w:r>
          </w:p>
        </w:tc>
        <w:tc>
          <w:tcPr>
            <w:tcW w:w="1511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 w:hRule="atLeast"/>
        </w:trPr>
        <w:tc>
          <w:tcPr>
            <w:tcW w:w="96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0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20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693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377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511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96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0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20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693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377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511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5" w:hRule="atLeast"/>
        </w:trPr>
        <w:tc>
          <w:tcPr>
            <w:tcW w:w="96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0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运行成本</w:t>
            </w:r>
          </w:p>
        </w:tc>
        <w:tc>
          <w:tcPr>
            <w:tcW w:w="1693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运行成本</w:t>
            </w:r>
          </w:p>
        </w:tc>
        <w:tc>
          <w:tcPr>
            <w:tcW w:w="2377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严格按预算经费，低成本高质量运行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96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0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20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693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377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511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96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社会效益指标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运行能力</w:t>
            </w:r>
          </w:p>
        </w:tc>
        <w:tc>
          <w:tcPr>
            <w:tcW w:w="169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运行能力</w:t>
            </w:r>
          </w:p>
        </w:tc>
        <w:tc>
          <w:tcPr>
            <w:tcW w:w="237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≥95%</w:t>
            </w:r>
          </w:p>
        </w:tc>
        <w:tc>
          <w:tcPr>
            <w:tcW w:w="151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</w:trPr>
        <w:tc>
          <w:tcPr>
            <w:tcW w:w="96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0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生态效益指标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低成本，高质量</w:t>
            </w:r>
          </w:p>
        </w:tc>
        <w:tc>
          <w:tcPr>
            <w:tcW w:w="1693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低成本，高质量</w:t>
            </w:r>
          </w:p>
        </w:tc>
        <w:tc>
          <w:tcPr>
            <w:tcW w:w="2377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无浪费，严格按预算低成本，高质量完成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96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0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20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693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377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511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</w:tbl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（四）满意度</w:t>
      </w:r>
    </w:p>
    <w:p>
      <w:pPr>
        <w:spacing w:line="560" w:lineRule="exact"/>
        <w:ind w:firstLine="640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对项目服务对象满意度进行分析，根据指标体系评分标准</w:t>
      </w:r>
      <w:r>
        <w:rPr>
          <w:rFonts w:hint="eastAsia" w:ascii="仿宋" w:hAnsi="仿宋" w:eastAsia="仿宋"/>
          <w:sz w:val="32"/>
          <w:szCs w:val="32"/>
          <w:lang w:eastAsia="zh-CN"/>
        </w:rPr>
        <w:t>得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/>
          <w:sz w:val="32"/>
          <w:szCs w:val="32"/>
          <w:lang w:eastAsia="zh-CN"/>
        </w:rPr>
        <w:t>分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根据项目执行情况和项目绩效情况，总得分</w:t>
      </w:r>
      <w:r>
        <w:rPr>
          <w:rFonts w:hint="eastAsia" w:ascii="仿宋" w:hAnsi="仿宋" w:eastAsia="仿宋"/>
          <w:sz w:val="32"/>
          <w:szCs w:val="32"/>
          <w:lang w:eastAsia="zh-CN"/>
        </w:rPr>
        <w:t>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98分</w:t>
      </w:r>
      <w:r>
        <w:rPr>
          <w:rFonts w:hint="eastAsia" w:ascii="仿宋" w:hAnsi="仿宋" w:eastAsia="仿宋"/>
          <w:sz w:val="32"/>
          <w:szCs w:val="32"/>
        </w:rPr>
        <w:t>，指标体系设定满分100分，得出综合评价结论和项目综合绩效评价等级。项目综合绩效评价分为为优秀。</w:t>
      </w:r>
    </w:p>
    <w:p>
      <w:pPr>
        <w:numPr>
          <w:ilvl w:val="0"/>
          <w:numId w:val="4"/>
        </w:num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default" w:ascii="楷体" w:hAnsi="楷体" w:eastAsia="楷体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  <w:lang w:eastAsia="zh-CN"/>
        </w:rPr>
        <w:t>无</w:t>
      </w: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 xml:space="preserve"> </w:t>
      </w:r>
    </w:p>
    <w:p>
      <w:pPr>
        <w:numPr>
          <w:ilvl w:val="0"/>
          <w:numId w:val="4"/>
        </w:numPr>
        <w:adjustRightInd w:val="0"/>
        <w:snapToGrid w:val="0"/>
        <w:spacing w:line="560" w:lineRule="exact"/>
        <w:ind w:left="0" w:leftChars="0"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评价工作组人员名单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4"/>
        <w:gridCol w:w="2362"/>
        <w:gridCol w:w="41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2074" w:type="dxa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  <w:t>姓名</w:t>
            </w:r>
          </w:p>
        </w:tc>
        <w:tc>
          <w:tcPr>
            <w:tcW w:w="2362" w:type="dxa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  <w:t>工作单位</w:t>
            </w:r>
          </w:p>
        </w:tc>
        <w:tc>
          <w:tcPr>
            <w:tcW w:w="4150" w:type="dxa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2074" w:type="dxa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  <w:t>方伟宇</w:t>
            </w:r>
          </w:p>
        </w:tc>
        <w:tc>
          <w:tcPr>
            <w:tcW w:w="2362" w:type="dxa"/>
            <w:vAlign w:val="top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  <w:t>市纪委监委</w:t>
            </w:r>
          </w:p>
        </w:tc>
        <w:tc>
          <w:tcPr>
            <w:tcW w:w="4150" w:type="dxa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  <w:t>常委、秘书长、办公室主任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2074" w:type="dxa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  <w:t>赵昕</w:t>
            </w:r>
          </w:p>
        </w:tc>
        <w:tc>
          <w:tcPr>
            <w:tcW w:w="2362" w:type="dxa"/>
            <w:vAlign w:val="top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  <w:t>市纪委监委</w:t>
            </w:r>
          </w:p>
        </w:tc>
        <w:tc>
          <w:tcPr>
            <w:tcW w:w="4150" w:type="dxa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  <w:t>办公室副主任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2074" w:type="dxa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  <w:t>朱虹</w:t>
            </w:r>
          </w:p>
        </w:tc>
        <w:tc>
          <w:tcPr>
            <w:tcW w:w="2362" w:type="dxa"/>
            <w:vAlign w:val="top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  <w:t>市纪委监委</w:t>
            </w:r>
          </w:p>
        </w:tc>
        <w:tc>
          <w:tcPr>
            <w:tcW w:w="4150" w:type="dxa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  <w:t>三级主任科员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2074" w:type="dxa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  <w:t>秦悦</w:t>
            </w:r>
          </w:p>
        </w:tc>
        <w:tc>
          <w:tcPr>
            <w:tcW w:w="2362" w:type="dxa"/>
            <w:vAlign w:val="top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  <w:t>市纪委监委</w:t>
            </w:r>
          </w:p>
        </w:tc>
        <w:tc>
          <w:tcPr>
            <w:tcW w:w="4150" w:type="dxa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  <w:t>三级主任科员</w:t>
            </w:r>
          </w:p>
        </w:tc>
      </w:tr>
    </w:tbl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102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- 2 -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102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- 2 -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546C6DE"/>
    <w:multiLevelType w:val="singleLevel"/>
    <w:tmpl w:val="D546C6DE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838EB97"/>
    <w:multiLevelType w:val="singleLevel"/>
    <w:tmpl w:val="0838EB97"/>
    <w:lvl w:ilvl="0" w:tentative="0">
      <w:start w:val="3"/>
      <w:numFmt w:val="decimal"/>
      <w:suff w:val="nothing"/>
      <w:lvlText w:val="%1、"/>
      <w:lvlJc w:val="left"/>
    </w:lvl>
  </w:abstractNum>
  <w:abstractNum w:abstractNumId="2">
    <w:nsid w:val="28F96A9C"/>
    <w:multiLevelType w:val="singleLevel"/>
    <w:tmpl w:val="28F96A9C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  <w:b w:val="0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117DDC"/>
    <w:rsid w:val="001349D3"/>
    <w:rsid w:val="00162D31"/>
    <w:rsid w:val="00165DE5"/>
    <w:rsid w:val="00721C4E"/>
    <w:rsid w:val="007B0AB6"/>
    <w:rsid w:val="007E6C1F"/>
    <w:rsid w:val="008B5355"/>
    <w:rsid w:val="009D34BA"/>
    <w:rsid w:val="00AF566A"/>
    <w:rsid w:val="00B6553A"/>
    <w:rsid w:val="02B43A28"/>
    <w:rsid w:val="03DB0E69"/>
    <w:rsid w:val="0AA13937"/>
    <w:rsid w:val="0EB97A43"/>
    <w:rsid w:val="0EBD2122"/>
    <w:rsid w:val="0F041F55"/>
    <w:rsid w:val="0F806638"/>
    <w:rsid w:val="11B71E6A"/>
    <w:rsid w:val="1AAF0063"/>
    <w:rsid w:val="1BE140DE"/>
    <w:rsid w:val="1C061FFB"/>
    <w:rsid w:val="20545210"/>
    <w:rsid w:val="248C197D"/>
    <w:rsid w:val="252959AF"/>
    <w:rsid w:val="277A6671"/>
    <w:rsid w:val="28120EA5"/>
    <w:rsid w:val="28F66825"/>
    <w:rsid w:val="292D35B7"/>
    <w:rsid w:val="2A0A052A"/>
    <w:rsid w:val="33EB6CFF"/>
    <w:rsid w:val="3B625C0A"/>
    <w:rsid w:val="3CEE1963"/>
    <w:rsid w:val="41957024"/>
    <w:rsid w:val="41E2265E"/>
    <w:rsid w:val="43BD0341"/>
    <w:rsid w:val="512260B4"/>
    <w:rsid w:val="52AC6434"/>
    <w:rsid w:val="597244E8"/>
    <w:rsid w:val="66AF0CE5"/>
    <w:rsid w:val="66FD06E2"/>
    <w:rsid w:val="68025E5D"/>
    <w:rsid w:val="6E5B14A6"/>
    <w:rsid w:val="7BB51E06"/>
    <w:rsid w:val="7C387F7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Table Paragraph"/>
    <w:basedOn w:val="1"/>
    <w:qFormat/>
    <w:uiPriority w:val="1"/>
    <w:rPr>
      <w:rFonts w:ascii="宋体" w:hAnsi="宋体" w:eastAsia="宋体" w:cs="宋体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158</Words>
  <Characters>903</Characters>
  <Lines>7</Lines>
  <Paragraphs>2</Paragraphs>
  <TotalTime>9</TotalTime>
  <ScaleCrop>false</ScaleCrop>
  <LinksUpToDate>false</LinksUpToDate>
  <CharactersWithSpaces>1059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2021-02-24T05:44:00Z</cp:lastPrinted>
  <dcterms:modified xsi:type="dcterms:W3CDTF">2023-07-19T03:58:20Z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