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b/>
          <w:bCs/>
          <w:sz w:val="44"/>
          <w:szCs w:val="44"/>
        </w:rPr>
      </w:pPr>
    </w:p>
    <w:p>
      <w:pPr>
        <w:jc w:val="center"/>
        <w:rPr>
          <w:rFonts w:ascii="宋体" w:hAnsi="宋体" w:eastAsia="宋体"/>
          <w:b/>
          <w:bCs/>
          <w:sz w:val="44"/>
          <w:szCs w:val="44"/>
        </w:rPr>
      </w:pPr>
    </w:p>
    <w:p>
      <w:pPr>
        <w:jc w:val="center"/>
        <w:rPr>
          <w:rFonts w:ascii="宋体" w:hAnsi="宋体" w:eastAsia="宋体"/>
          <w:b/>
          <w:bCs/>
          <w:sz w:val="44"/>
          <w:szCs w:val="44"/>
        </w:rPr>
      </w:pPr>
    </w:p>
    <w:p>
      <w:pPr>
        <w:jc w:val="center"/>
        <w:rPr>
          <w:rFonts w:ascii="宋体" w:hAnsi="宋体" w:eastAsia="宋体"/>
          <w:b/>
          <w:bCs/>
          <w:sz w:val="44"/>
          <w:szCs w:val="44"/>
        </w:rPr>
      </w:pPr>
      <w:r>
        <w:rPr>
          <w:rFonts w:hint="eastAsia" w:ascii="宋体" w:hAnsi="宋体" w:eastAsia="宋体"/>
          <w:b/>
          <w:bCs/>
          <w:sz w:val="44"/>
          <w:szCs w:val="44"/>
        </w:rPr>
        <w:t>石家庄市科学技术协会</w:t>
      </w:r>
    </w:p>
    <w:p>
      <w:pPr>
        <w:jc w:val="center"/>
        <w:rPr>
          <w:rFonts w:ascii="宋体" w:hAnsi="宋体" w:eastAsia="宋体"/>
          <w:b/>
          <w:bCs/>
          <w:sz w:val="44"/>
          <w:szCs w:val="44"/>
        </w:rPr>
      </w:pPr>
      <w:r>
        <w:rPr>
          <w:rFonts w:hint="eastAsia" w:ascii="宋体" w:hAnsi="宋体" w:eastAsia="宋体"/>
          <w:b/>
          <w:bCs/>
          <w:sz w:val="44"/>
          <w:szCs w:val="44"/>
        </w:rPr>
        <w:t>2021年度部门绩效自评工作报告</w:t>
      </w:r>
    </w:p>
    <w:p>
      <w:pPr>
        <w:ind w:firstLine="640" w:firstLineChars="200"/>
        <w:rPr>
          <w:rFonts w:ascii="Times New Roman" w:hAnsi="Times New Roman" w:eastAsia="仿宋" w:cs="Times New Roman"/>
          <w:sz w:val="32"/>
          <w:szCs w:val="32"/>
        </w:rPr>
      </w:pPr>
    </w:p>
    <w:p>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为加强财政资金管理，提高财政资金的使用效益，根据石家庄市财政局关于印发《石家庄市市级部门项目绩效自评管理办法》的通知（石财绩〔2020〕5号）、《石家庄市财政局关于开展20</w:t>
      </w:r>
      <w:r>
        <w:rPr>
          <w:rFonts w:hint="eastAsia" w:ascii="Times New Roman" w:hAnsi="Times New Roman" w:eastAsia="仿宋" w:cs="Times New Roman"/>
          <w:sz w:val="28"/>
          <w:szCs w:val="28"/>
        </w:rPr>
        <w:t>22</w:t>
      </w:r>
      <w:r>
        <w:rPr>
          <w:rFonts w:ascii="Times New Roman" w:hAnsi="Times New Roman" w:eastAsia="仿宋" w:cs="Times New Roman"/>
          <w:sz w:val="28"/>
          <w:szCs w:val="28"/>
        </w:rPr>
        <w:t>年专项资金绩效自评工作的通知》（石财监</w:t>
      </w:r>
      <w:bookmarkStart w:id="0" w:name="_Hlk39053867"/>
      <w:r>
        <w:rPr>
          <w:rFonts w:ascii="Times New Roman" w:hAnsi="Times New Roman" w:eastAsia="仿宋" w:cs="Times New Roman"/>
          <w:sz w:val="28"/>
          <w:szCs w:val="28"/>
        </w:rPr>
        <w:t>〔202</w:t>
      </w:r>
      <w:r>
        <w:rPr>
          <w:rFonts w:hint="eastAsia" w:ascii="Times New Roman" w:hAnsi="Times New Roman" w:eastAsia="仿宋" w:cs="Times New Roman"/>
          <w:sz w:val="28"/>
          <w:szCs w:val="28"/>
        </w:rPr>
        <w:t>2</w:t>
      </w:r>
      <w:r>
        <w:rPr>
          <w:rFonts w:ascii="Times New Roman" w:hAnsi="Times New Roman" w:eastAsia="仿宋" w:cs="Times New Roman"/>
          <w:sz w:val="28"/>
          <w:szCs w:val="28"/>
        </w:rPr>
        <w:t>〕</w:t>
      </w:r>
      <w:bookmarkEnd w:id="0"/>
      <w:r>
        <w:rPr>
          <w:rFonts w:hint="eastAsia" w:ascii="Times New Roman" w:hAnsi="Times New Roman" w:eastAsia="仿宋" w:cs="Times New Roman"/>
          <w:sz w:val="28"/>
          <w:szCs w:val="28"/>
        </w:rPr>
        <w:t>1</w:t>
      </w:r>
      <w:r>
        <w:rPr>
          <w:rFonts w:ascii="Times New Roman" w:hAnsi="Times New Roman" w:eastAsia="仿宋" w:cs="Times New Roman"/>
          <w:sz w:val="28"/>
          <w:szCs w:val="28"/>
        </w:rPr>
        <w:t>号）文件要求，我</w:t>
      </w:r>
      <w:r>
        <w:rPr>
          <w:rFonts w:hint="eastAsia" w:ascii="Times New Roman" w:hAnsi="Times New Roman" w:eastAsia="仿宋" w:cs="Times New Roman"/>
          <w:sz w:val="28"/>
          <w:szCs w:val="28"/>
        </w:rPr>
        <w:t>单位</w:t>
      </w:r>
      <w:r>
        <w:rPr>
          <w:rFonts w:ascii="Times New Roman" w:hAnsi="Times New Roman" w:eastAsia="仿宋" w:cs="Times New Roman"/>
          <w:sz w:val="28"/>
          <w:szCs w:val="28"/>
        </w:rPr>
        <w:t>成立绩效评价工作小组，对20</w:t>
      </w:r>
      <w:r>
        <w:rPr>
          <w:rFonts w:hint="eastAsia" w:ascii="Times New Roman" w:hAnsi="Times New Roman" w:eastAsia="仿宋" w:cs="Times New Roman"/>
          <w:sz w:val="28"/>
          <w:szCs w:val="28"/>
        </w:rPr>
        <w:t>21</w:t>
      </w:r>
      <w:r>
        <w:rPr>
          <w:rFonts w:ascii="Times New Roman" w:hAnsi="Times New Roman" w:eastAsia="仿宋" w:cs="Times New Roman"/>
          <w:sz w:val="28"/>
          <w:szCs w:val="28"/>
        </w:rPr>
        <w:t>年度部门整体支出进行了绩效自评。评价采用定量分析和定性分析相结合的方法，从预算编制、预算执行、绩效目标完成情况、绩效目标设置质量、基本支出、项目支出以及内部控制度建设等方面进行了综合评价。现将绩效自评情况报告如下：</w:t>
      </w:r>
    </w:p>
    <w:p>
      <w:pPr>
        <w:ind w:firstLine="560" w:firstLineChars="200"/>
        <w:rPr>
          <w:rFonts w:ascii="黑体" w:hAnsi="黑体" w:eastAsia="黑体" w:cs="Times New Roman"/>
          <w:sz w:val="28"/>
          <w:szCs w:val="28"/>
        </w:rPr>
      </w:pPr>
      <w:r>
        <w:rPr>
          <w:rFonts w:ascii="黑体" w:hAnsi="黑体" w:eastAsia="黑体" w:cs="Times New Roman"/>
          <w:sz w:val="28"/>
          <w:szCs w:val="28"/>
        </w:rPr>
        <w:t>一、绩效自评工作组织开展情况</w:t>
      </w:r>
    </w:p>
    <w:p>
      <w:pPr>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（一）</w:t>
      </w:r>
      <w:r>
        <w:rPr>
          <w:rFonts w:ascii="Times New Roman" w:hAnsi="Times New Roman" w:eastAsia="仿宋" w:cs="Times New Roman"/>
          <w:b/>
          <w:bCs/>
          <w:sz w:val="28"/>
          <w:szCs w:val="28"/>
        </w:rPr>
        <w:t>自评的组织工作</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为保证绩效评价工作顺利开展，我单位成立了绩效评价工作小组，</w:t>
      </w:r>
      <w:r>
        <w:rPr>
          <w:rFonts w:hint="eastAsia" w:ascii="Times New Roman" w:hAnsi="Times New Roman" w:eastAsia="仿宋" w:cs="Times New Roman"/>
          <w:sz w:val="28"/>
          <w:szCs w:val="28"/>
        </w:rPr>
        <w:t>科协党组书记杨澜波</w:t>
      </w:r>
      <w:r>
        <w:rPr>
          <w:rFonts w:ascii="Times New Roman" w:hAnsi="Times New Roman" w:eastAsia="仿宋" w:cs="Times New Roman"/>
          <w:sz w:val="28"/>
          <w:szCs w:val="28"/>
        </w:rPr>
        <w:t>为组长，</w:t>
      </w:r>
      <w:r>
        <w:rPr>
          <w:rFonts w:hint="eastAsia" w:ascii="Times New Roman" w:hAnsi="Times New Roman" w:eastAsia="仿宋" w:cs="Times New Roman"/>
          <w:sz w:val="28"/>
          <w:szCs w:val="28"/>
        </w:rPr>
        <w:t>科协主席魏书江</w:t>
      </w:r>
      <w:r>
        <w:rPr>
          <w:rFonts w:ascii="Times New Roman" w:hAnsi="Times New Roman" w:eastAsia="仿宋" w:cs="Times New Roman"/>
          <w:sz w:val="28"/>
          <w:szCs w:val="28"/>
        </w:rPr>
        <w:t>为副组长，各</w:t>
      </w:r>
      <w:r>
        <w:rPr>
          <w:rFonts w:hint="eastAsia" w:ascii="Times New Roman" w:hAnsi="Times New Roman" w:eastAsia="仿宋" w:cs="Times New Roman"/>
          <w:sz w:val="28"/>
          <w:szCs w:val="28"/>
        </w:rPr>
        <w:t>部</w:t>
      </w:r>
      <w:r>
        <w:rPr>
          <w:rFonts w:ascii="Times New Roman" w:hAnsi="Times New Roman" w:eastAsia="仿宋" w:cs="Times New Roman"/>
          <w:sz w:val="28"/>
          <w:szCs w:val="28"/>
        </w:rPr>
        <w:t>室负责人为成员，负责绩效评价的组织管理和实施工作。工作小组下设绩效评价办公室，</w:t>
      </w:r>
      <w:r>
        <w:rPr>
          <w:rFonts w:hint="eastAsia" w:ascii="Times New Roman" w:hAnsi="Times New Roman" w:eastAsia="仿宋" w:cs="Times New Roman"/>
          <w:sz w:val="28"/>
          <w:szCs w:val="28"/>
        </w:rPr>
        <w:t>杜文君</w:t>
      </w:r>
      <w:r>
        <w:rPr>
          <w:rFonts w:ascii="Times New Roman" w:hAnsi="Times New Roman" w:eastAsia="仿宋" w:cs="Times New Roman"/>
          <w:sz w:val="28"/>
          <w:szCs w:val="28"/>
        </w:rPr>
        <w:t>为组长，</w:t>
      </w:r>
      <w:r>
        <w:rPr>
          <w:rFonts w:hint="eastAsia" w:ascii="Times New Roman" w:hAnsi="Times New Roman" w:eastAsia="仿宋" w:cs="Times New Roman"/>
          <w:sz w:val="28"/>
          <w:szCs w:val="28"/>
        </w:rPr>
        <w:t>曹少军</w:t>
      </w:r>
      <w:r>
        <w:rPr>
          <w:rFonts w:ascii="Times New Roman" w:hAnsi="Times New Roman" w:eastAsia="仿宋" w:cs="Times New Roman"/>
          <w:sz w:val="28"/>
          <w:szCs w:val="28"/>
        </w:rPr>
        <w:t>、</w:t>
      </w:r>
      <w:r>
        <w:rPr>
          <w:rFonts w:hint="eastAsia" w:ascii="Times New Roman" w:hAnsi="Times New Roman" w:eastAsia="仿宋" w:cs="Times New Roman"/>
          <w:sz w:val="28"/>
          <w:szCs w:val="28"/>
        </w:rPr>
        <w:t>党梅素、羊军艳</w:t>
      </w:r>
      <w:r>
        <w:rPr>
          <w:rFonts w:ascii="Times New Roman" w:hAnsi="Times New Roman" w:eastAsia="仿宋" w:cs="Times New Roman"/>
          <w:sz w:val="28"/>
          <w:szCs w:val="28"/>
        </w:rPr>
        <w:t>为组员，负责日常工作。</w:t>
      </w:r>
    </w:p>
    <w:p>
      <w:pPr>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（二）</w:t>
      </w:r>
      <w:r>
        <w:rPr>
          <w:rFonts w:ascii="Times New Roman" w:hAnsi="Times New Roman" w:eastAsia="仿宋" w:cs="Times New Roman"/>
          <w:b/>
          <w:bCs/>
          <w:sz w:val="28"/>
          <w:szCs w:val="28"/>
        </w:rPr>
        <w:t>实施过程</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本次绩效评价工作过程包括前期准备、组织实施、撰写评价报告三个阶段。</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1、</w:t>
      </w:r>
      <w:r>
        <w:rPr>
          <w:rFonts w:ascii="Times New Roman" w:hAnsi="Times New Roman" w:eastAsia="仿宋" w:cs="Times New Roman"/>
          <w:sz w:val="28"/>
          <w:szCs w:val="28"/>
        </w:rPr>
        <w:t>前期准备</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首先按照绩效评价工作要求，明确绩效评价的内容和范围</w:t>
      </w:r>
      <w:r>
        <w:rPr>
          <w:rFonts w:hint="eastAsia" w:ascii="Times New Roman" w:hAnsi="Times New Roman" w:eastAsia="仿宋" w:cs="Times New Roman"/>
          <w:sz w:val="28"/>
          <w:szCs w:val="28"/>
        </w:rPr>
        <w:t>，初步制定绩效评价工作方案</w:t>
      </w:r>
      <w:r>
        <w:rPr>
          <w:rFonts w:ascii="Times New Roman" w:hAnsi="Times New Roman" w:eastAsia="仿宋" w:cs="Times New Roman"/>
          <w:sz w:val="28"/>
          <w:szCs w:val="28"/>
        </w:rPr>
        <w:t>。二是召开座谈会，对工作方案进行反复讨论并广泛征求相关部门和有关人员意见</w:t>
      </w:r>
      <w:r>
        <w:rPr>
          <w:rFonts w:hint="eastAsia" w:ascii="Times New Roman" w:hAnsi="Times New Roman" w:eastAsia="仿宋" w:cs="Times New Roman"/>
          <w:sz w:val="28"/>
          <w:szCs w:val="28"/>
        </w:rPr>
        <w:t>。</w:t>
      </w:r>
      <w:r>
        <w:rPr>
          <w:rFonts w:ascii="Times New Roman" w:hAnsi="Times New Roman" w:eastAsia="仿宋" w:cs="Times New Roman"/>
          <w:sz w:val="28"/>
          <w:szCs w:val="28"/>
        </w:rPr>
        <w:t>三是</w:t>
      </w:r>
      <w:r>
        <w:rPr>
          <w:rFonts w:hint="eastAsia" w:ascii="Times New Roman" w:hAnsi="Times New Roman" w:eastAsia="仿宋" w:cs="Times New Roman"/>
          <w:sz w:val="28"/>
          <w:szCs w:val="28"/>
        </w:rPr>
        <w:t>对我单位各预算项目单独进行打分自评，在资料搜集、信息核实、现场调研、访谈沟通等工作的基础上，挖掘绩效数据，拟定项目产出、项目执行、项目效益等指标体系，准确地计量和评判各项目实施后产生的经济效益、生态效益、社会效益和可持续响，最终形成评价结论。各项目自评工作</w:t>
      </w:r>
      <w:r>
        <w:rPr>
          <w:rFonts w:ascii="Times New Roman" w:hAnsi="Times New Roman" w:eastAsia="仿宋" w:cs="Times New Roman"/>
          <w:sz w:val="28"/>
          <w:szCs w:val="28"/>
        </w:rPr>
        <w:t>为实施</w:t>
      </w:r>
      <w:r>
        <w:rPr>
          <w:rFonts w:hint="eastAsia" w:ascii="Times New Roman" w:hAnsi="Times New Roman" w:eastAsia="仿宋" w:cs="Times New Roman"/>
          <w:sz w:val="28"/>
          <w:szCs w:val="28"/>
        </w:rPr>
        <w:t>全单位年度绩效</w:t>
      </w:r>
      <w:r>
        <w:rPr>
          <w:rFonts w:ascii="Times New Roman" w:hAnsi="Times New Roman" w:eastAsia="仿宋" w:cs="Times New Roman"/>
          <w:sz w:val="28"/>
          <w:szCs w:val="28"/>
        </w:rPr>
        <w:t>评价工作奠定</w:t>
      </w:r>
      <w:r>
        <w:rPr>
          <w:rFonts w:hint="eastAsia" w:ascii="Times New Roman" w:hAnsi="Times New Roman" w:eastAsia="仿宋" w:cs="Times New Roman"/>
          <w:sz w:val="28"/>
          <w:szCs w:val="28"/>
        </w:rPr>
        <w:t>了</w:t>
      </w:r>
      <w:r>
        <w:rPr>
          <w:rFonts w:ascii="Times New Roman" w:hAnsi="Times New Roman" w:eastAsia="仿宋" w:cs="Times New Roman"/>
          <w:sz w:val="28"/>
          <w:szCs w:val="28"/>
        </w:rPr>
        <w:t>基础。</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2、</w:t>
      </w:r>
      <w:r>
        <w:rPr>
          <w:rFonts w:ascii="Times New Roman" w:hAnsi="Times New Roman" w:eastAsia="仿宋" w:cs="Times New Roman"/>
          <w:sz w:val="28"/>
          <w:szCs w:val="28"/>
        </w:rPr>
        <w:t>组织实施</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评价工作小组对</w:t>
      </w:r>
      <w:r>
        <w:rPr>
          <w:rFonts w:hint="eastAsia" w:ascii="Times New Roman" w:hAnsi="Times New Roman" w:eastAsia="仿宋" w:cs="Times New Roman"/>
          <w:sz w:val="28"/>
          <w:szCs w:val="28"/>
        </w:rPr>
        <w:t>我单位年度</w:t>
      </w:r>
      <w:r>
        <w:rPr>
          <w:rFonts w:ascii="Times New Roman" w:hAnsi="Times New Roman" w:eastAsia="仿宋" w:cs="Times New Roman"/>
          <w:sz w:val="28"/>
          <w:szCs w:val="28"/>
        </w:rPr>
        <w:t>绩效的相关</w:t>
      </w:r>
      <w:r>
        <w:rPr>
          <w:rFonts w:hint="eastAsia" w:ascii="Times New Roman" w:hAnsi="Times New Roman" w:eastAsia="仿宋" w:cs="Times New Roman"/>
          <w:sz w:val="28"/>
          <w:szCs w:val="28"/>
        </w:rPr>
        <w:t>资料</w:t>
      </w:r>
      <w:r>
        <w:rPr>
          <w:rFonts w:ascii="Times New Roman" w:hAnsi="Times New Roman" w:eastAsia="仿宋" w:cs="Times New Roman"/>
          <w:sz w:val="28"/>
          <w:szCs w:val="28"/>
        </w:rPr>
        <w:t>进行收集、梳理。首先，</w:t>
      </w:r>
      <w:r>
        <w:rPr>
          <w:rFonts w:hint="eastAsia" w:ascii="Times New Roman" w:hAnsi="Times New Roman" w:eastAsia="仿宋" w:cs="Times New Roman"/>
          <w:sz w:val="28"/>
          <w:szCs w:val="28"/>
        </w:rPr>
        <w:t>通过</w:t>
      </w:r>
      <w:r>
        <w:rPr>
          <w:rFonts w:ascii="Times New Roman" w:hAnsi="Times New Roman" w:eastAsia="仿宋" w:cs="Times New Roman"/>
          <w:sz w:val="28"/>
          <w:szCs w:val="28"/>
        </w:rPr>
        <w:t>分析、核实，确保所</w:t>
      </w:r>
      <w:r>
        <w:rPr>
          <w:rFonts w:hint="eastAsia" w:ascii="Times New Roman" w:hAnsi="Times New Roman" w:eastAsia="仿宋" w:cs="Times New Roman"/>
          <w:sz w:val="28"/>
          <w:szCs w:val="28"/>
        </w:rPr>
        <w:t>收集的</w:t>
      </w:r>
      <w:r>
        <w:rPr>
          <w:rFonts w:ascii="Times New Roman" w:hAnsi="Times New Roman" w:eastAsia="仿宋" w:cs="Times New Roman"/>
          <w:sz w:val="28"/>
          <w:szCs w:val="28"/>
        </w:rPr>
        <w:t>数据和资料真实、可靠。</w:t>
      </w:r>
      <w:r>
        <w:rPr>
          <w:rFonts w:hint="eastAsia" w:ascii="Times New Roman" w:hAnsi="Times New Roman" w:eastAsia="仿宋" w:cs="Times New Roman"/>
          <w:sz w:val="28"/>
          <w:szCs w:val="28"/>
        </w:rPr>
        <w:t>其次</w:t>
      </w:r>
      <w:r>
        <w:rPr>
          <w:rFonts w:ascii="Times New Roman" w:hAnsi="Times New Roman" w:eastAsia="仿宋" w:cs="Times New Roman"/>
          <w:sz w:val="28"/>
          <w:szCs w:val="28"/>
        </w:rPr>
        <w:t>，逐一梳理各文件内容，将存在的问题以批注形式予以说明，同时在梳理资料过程中将资料</w:t>
      </w:r>
      <w:r>
        <w:rPr>
          <w:rFonts w:hint="eastAsia" w:ascii="Times New Roman" w:hAnsi="Times New Roman" w:eastAsia="仿宋" w:cs="Times New Roman"/>
          <w:sz w:val="28"/>
          <w:szCs w:val="28"/>
        </w:rPr>
        <w:t>分类并</w:t>
      </w:r>
      <w:r>
        <w:rPr>
          <w:rFonts w:ascii="Times New Roman" w:hAnsi="Times New Roman" w:eastAsia="仿宋" w:cs="Times New Roman"/>
          <w:sz w:val="28"/>
          <w:szCs w:val="28"/>
        </w:rPr>
        <w:t>排序编码</w:t>
      </w:r>
      <w:r>
        <w:rPr>
          <w:rFonts w:hint="eastAsia" w:ascii="Times New Roman" w:hAnsi="Times New Roman" w:eastAsia="仿宋" w:cs="Times New Roman"/>
          <w:sz w:val="28"/>
          <w:szCs w:val="28"/>
        </w:rPr>
        <w:t>，形成资料清单</w:t>
      </w:r>
      <w:r>
        <w:rPr>
          <w:rFonts w:ascii="Times New Roman" w:hAnsi="Times New Roman" w:eastAsia="仿宋" w:cs="Times New Roman"/>
          <w:sz w:val="28"/>
          <w:szCs w:val="28"/>
        </w:rPr>
        <w:t>。最后，在与相关人员沟通过程中，直接对照资料清单进行核实，随时删除已核实的批注问题，即时更新备注信息，确保已提交和待补充的资料名称、存在的问题及重点信息同时展现。</w:t>
      </w:r>
    </w:p>
    <w:p>
      <w:pPr>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3、</w:t>
      </w:r>
      <w:r>
        <w:rPr>
          <w:rFonts w:ascii="Times New Roman" w:hAnsi="Times New Roman" w:eastAsia="仿宋" w:cs="Times New Roman"/>
          <w:sz w:val="28"/>
          <w:szCs w:val="28"/>
          <w:u w:color="000000"/>
        </w:rPr>
        <w:t>撰写绩效评价报告</w:t>
      </w:r>
    </w:p>
    <w:p>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小组成员</w:t>
      </w:r>
      <w:r>
        <w:rPr>
          <w:rFonts w:hint="eastAsia" w:ascii="Times New Roman" w:hAnsi="Times New Roman" w:eastAsia="仿宋" w:cs="Times New Roman"/>
          <w:sz w:val="28"/>
          <w:szCs w:val="28"/>
        </w:rPr>
        <w:t>在对</w:t>
      </w:r>
      <w:r>
        <w:rPr>
          <w:rFonts w:ascii="Times New Roman" w:hAnsi="Times New Roman" w:eastAsia="仿宋" w:cs="Times New Roman"/>
          <w:sz w:val="28"/>
          <w:szCs w:val="28"/>
        </w:rPr>
        <w:t>收集的数据、资料进行核对、比较、计算</w:t>
      </w:r>
      <w:r>
        <w:rPr>
          <w:rFonts w:hint="eastAsia" w:ascii="Times New Roman" w:hAnsi="Times New Roman" w:eastAsia="仿宋" w:cs="Times New Roman"/>
          <w:sz w:val="28"/>
          <w:szCs w:val="28"/>
        </w:rPr>
        <w:t>的基础上</w:t>
      </w:r>
      <w:r>
        <w:rPr>
          <w:rFonts w:ascii="Times New Roman" w:hAnsi="Times New Roman" w:eastAsia="仿宋" w:cs="Times New Roman"/>
          <w:sz w:val="28"/>
          <w:szCs w:val="28"/>
        </w:rPr>
        <w:t>，</w:t>
      </w:r>
      <w:r>
        <w:rPr>
          <w:rFonts w:hint="eastAsia" w:ascii="Times New Roman" w:hAnsi="Times New Roman" w:eastAsia="仿宋" w:cs="Times New Roman"/>
          <w:sz w:val="28"/>
          <w:szCs w:val="28"/>
        </w:rPr>
        <w:t>对比年度绩效目标，形成评价结论；根据评价论，</w:t>
      </w:r>
      <w:r>
        <w:rPr>
          <w:rFonts w:ascii="Times New Roman" w:hAnsi="Times New Roman" w:eastAsia="仿宋" w:cs="Times New Roman"/>
          <w:sz w:val="28"/>
          <w:szCs w:val="28"/>
          <w:u w:color="000000"/>
        </w:rPr>
        <w:t>撰写绩效评价报告，</w:t>
      </w:r>
      <w:r>
        <w:rPr>
          <w:rFonts w:ascii="Times New Roman" w:hAnsi="Times New Roman" w:eastAsia="仿宋" w:cs="Times New Roman"/>
          <w:sz w:val="28"/>
          <w:szCs w:val="28"/>
        </w:rPr>
        <w:t>并形成绩效评价档案。</w:t>
      </w:r>
    </w:p>
    <w:p>
      <w:pPr>
        <w:adjustRightInd w:val="0"/>
        <w:snapToGrid w:val="0"/>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（三）</w:t>
      </w:r>
      <w:r>
        <w:rPr>
          <w:rFonts w:ascii="Times New Roman" w:hAnsi="Times New Roman" w:eastAsia="仿宋" w:cs="Times New Roman"/>
          <w:b/>
          <w:bCs/>
          <w:sz w:val="28"/>
          <w:szCs w:val="28"/>
        </w:rPr>
        <w:t>预算安排及资金分配拨付情况</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为保证</w:t>
      </w:r>
      <w:r>
        <w:rPr>
          <w:rFonts w:hint="eastAsia" w:ascii="仿宋" w:hAnsi="仿宋" w:eastAsia="仿宋" w:cs="Times New Roman"/>
          <w:color w:val="000000"/>
          <w:sz w:val="28"/>
          <w:szCs w:val="28"/>
          <w:shd w:val="clear" w:color="auto" w:fill="FFFFFF"/>
        </w:rPr>
        <w:t>预算</w:t>
      </w:r>
      <w:r>
        <w:rPr>
          <w:rFonts w:ascii="仿宋" w:hAnsi="仿宋" w:eastAsia="仿宋" w:cs="Times New Roman"/>
          <w:color w:val="000000"/>
          <w:sz w:val="28"/>
          <w:szCs w:val="28"/>
          <w:shd w:val="clear" w:color="auto" w:fill="FFFFFF"/>
        </w:rPr>
        <w:t>管理工作规范有序进行，我单位按照依法理财</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勤俭办事，明确责任</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分级管理，量入为出</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保证重点，综合平衡</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讲求实效的基本原则，建立健全财务管理制度，对</w:t>
      </w:r>
      <w:r>
        <w:rPr>
          <w:rFonts w:hint="eastAsia" w:ascii="仿宋" w:hAnsi="仿宋" w:eastAsia="仿宋" w:cs="Times New Roman"/>
          <w:color w:val="000000"/>
          <w:sz w:val="28"/>
          <w:szCs w:val="28"/>
          <w:shd w:val="clear" w:color="auto" w:fill="FFFFFF"/>
        </w:rPr>
        <w:t>预算编制、</w:t>
      </w:r>
      <w:r>
        <w:rPr>
          <w:rFonts w:ascii="仿宋" w:hAnsi="仿宋" w:eastAsia="仿宋" w:cs="Times New Roman"/>
          <w:color w:val="000000"/>
          <w:sz w:val="28"/>
          <w:szCs w:val="28"/>
          <w:shd w:val="clear" w:color="auto" w:fill="FFFFFF"/>
        </w:rPr>
        <w:t>资金管理、经费收支审批等均作了明确规定。</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1、</w:t>
      </w:r>
      <w:r>
        <w:rPr>
          <w:rFonts w:ascii="仿宋" w:hAnsi="仿宋" w:eastAsia="仿宋" w:cs="Times New Roman"/>
          <w:color w:val="000000"/>
          <w:sz w:val="28"/>
          <w:szCs w:val="28"/>
          <w:shd w:val="clear" w:color="auto" w:fill="FFFFFF"/>
        </w:rPr>
        <w:t>预算编制</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我单位根据有关方针、政策以及市财政预算编制有关规定，结合</w:t>
      </w:r>
      <w:r>
        <w:rPr>
          <w:rFonts w:hint="eastAsia" w:ascii="仿宋" w:hAnsi="仿宋" w:eastAsia="仿宋" w:cs="Times New Roman"/>
          <w:color w:val="000000"/>
          <w:sz w:val="28"/>
          <w:szCs w:val="28"/>
          <w:shd w:val="clear" w:color="auto" w:fill="FFFFFF"/>
        </w:rPr>
        <w:t>历年预、决算情况和年度计划工作任务的</w:t>
      </w:r>
      <w:r>
        <w:rPr>
          <w:rFonts w:ascii="仿宋" w:hAnsi="仿宋" w:eastAsia="仿宋" w:cs="Times New Roman"/>
          <w:color w:val="000000"/>
          <w:sz w:val="28"/>
          <w:szCs w:val="28"/>
          <w:shd w:val="clear" w:color="auto" w:fill="FFFFFF"/>
        </w:rPr>
        <w:t>需要，</w:t>
      </w:r>
      <w:r>
        <w:rPr>
          <w:rFonts w:hint="eastAsia" w:ascii="仿宋" w:hAnsi="仿宋" w:eastAsia="仿宋" w:cs="Times New Roman"/>
          <w:color w:val="000000"/>
          <w:sz w:val="28"/>
          <w:szCs w:val="28"/>
          <w:shd w:val="clear" w:color="auto" w:fill="FFFFFF"/>
        </w:rPr>
        <w:t>在充分收集</w:t>
      </w:r>
      <w:r>
        <w:rPr>
          <w:rFonts w:ascii="仿宋" w:hAnsi="仿宋" w:eastAsia="仿宋" w:cs="Times New Roman"/>
          <w:color w:val="000000"/>
          <w:sz w:val="28"/>
          <w:szCs w:val="28"/>
          <w:shd w:val="clear" w:color="auto" w:fill="FFFFFF"/>
        </w:rPr>
        <w:t>各部室及其主管领导意见</w:t>
      </w:r>
      <w:r>
        <w:rPr>
          <w:rFonts w:hint="eastAsia" w:ascii="仿宋" w:hAnsi="仿宋" w:eastAsia="仿宋" w:cs="Times New Roman"/>
          <w:color w:val="000000"/>
          <w:sz w:val="28"/>
          <w:szCs w:val="28"/>
          <w:shd w:val="clear" w:color="auto" w:fill="FFFFFF"/>
        </w:rPr>
        <w:t>的基础上</w:t>
      </w:r>
      <w:r>
        <w:rPr>
          <w:rFonts w:ascii="仿宋" w:hAnsi="仿宋" w:eastAsia="仿宋" w:cs="Times New Roman"/>
          <w:color w:val="000000"/>
          <w:sz w:val="28"/>
          <w:szCs w:val="28"/>
          <w:shd w:val="clear" w:color="auto" w:fill="FFFFFF"/>
        </w:rPr>
        <w:t>，认真编制</w:t>
      </w:r>
      <w:r>
        <w:rPr>
          <w:rFonts w:hint="eastAsia" w:ascii="仿宋" w:hAnsi="仿宋" w:eastAsia="仿宋" w:cs="Times New Roman"/>
          <w:color w:val="000000"/>
          <w:sz w:val="28"/>
          <w:szCs w:val="28"/>
          <w:shd w:val="clear" w:color="auto" w:fill="FFFFFF"/>
        </w:rPr>
        <w:t>2021年度</w:t>
      </w:r>
      <w:r>
        <w:rPr>
          <w:rFonts w:ascii="仿宋" w:hAnsi="仿宋" w:eastAsia="仿宋" w:cs="Times New Roman"/>
          <w:color w:val="000000"/>
          <w:sz w:val="28"/>
          <w:szCs w:val="28"/>
          <w:shd w:val="clear" w:color="auto" w:fill="FFFFFF"/>
        </w:rPr>
        <w:t>部门预算，并报</w:t>
      </w:r>
      <w:r>
        <w:rPr>
          <w:rFonts w:hint="eastAsia" w:ascii="仿宋" w:hAnsi="仿宋" w:eastAsia="仿宋" w:cs="Times New Roman"/>
          <w:color w:val="000000"/>
          <w:sz w:val="28"/>
          <w:szCs w:val="28"/>
          <w:shd w:val="clear" w:color="auto" w:fill="FFFFFF"/>
        </w:rPr>
        <w:t>科协</w:t>
      </w:r>
      <w:r>
        <w:rPr>
          <w:rFonts w:ascii="仿宋" w:hAnsi="仿宋" w:eastAsia="仿宋" w:cs="Times New Roman"/>
          <w:color w:val="000000"/>
          <w:sz w:val="28"/>
          <w:szCs w:val="28"/>
          <w:shd w:val="clear" w:color="auto" w:fill="FFFFFF"/>
        </w:rPr>
        <w:t>党组批准。</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2、</w:t>
      </w:r>
      <w:r>
        <w:rPr>
          <w:rFonts w:ascii="仿宋" w:hAnsi="仿宋" w:eastAsia="仿宋" w:cs="Times New Roman"/>
          <w:color w:val="000000"/>
          <w:sz w:val="28"/>
          <w:szCs w:val="28"/>
          <w:shd w:val="clear" w:color="auto" w:fill="FFFFFF"/>
        </w:rPr>
        <w:t>预算执行</w:t>
      </w:r>
    </w:p>
    <w:p>
      <w:pPr>
        <w:ind w:firstLine="560" w:firstLineChars="200"/>
        <w:rPr>
          <w:rFonts w:ascii="仿宋" w:hAnsi="仿宋" w:eastAsia="仿宋" w:cs="Times New Roman"/>
          <w:b/>
          <w:bCs/>
          <w:color w:val="000000"/>
          <w:sz w:val="28"/>
          <w:szCs w:val="28"/>
          <w:shd w:val="clear" w:color="auto" w:fill="FFFFFF"/>
        </w:rPr>
      </w:pPr>
      <w:r>
        <w:rPr>
          <w:rFonts w:hint="eastAsia" w:ascii="仿宋" w:hAnsi="仿宋" w:eastAsia="仿宋" w:cs="Times New Roman"/>
          <w:color w:val="000000"/>
          <w:sz w:val="28"/>
          <w:szCs w:val="28"/>
          <w:shd w:val="clear" w:color="auto" w:fill="FFFFFF"/>
        </w:rPr>
        <w:t>在预算执行过程中，我单位以</w:t>
      </w:r>
      <w:r>
        <w:rPr>
          <w:rFonts w:ascii="仿宋" w:hAnsi="仿宋" w:eastAsia="仿宋" w:cs="Times New Roman"/>
          <w:color w:val="000000"/>
          <w:sz w:val="28"/>
          <w:szCs w:val="28"/>
          <w:shd w:val="clear" w:color="auto" w:fill="FFFFFF"/>
        </w:rPr>
        <w:t>掌握进度、保证重点，落实责任、加强监督，强化预算约束力，维护预算严肃性</w:t>
      </w:r>
      <w:r>
        <w:rPr>
          <w:rFonts w:hint="eastAsia" w:ascii="仿宋" w:hAnsi="仿宋" w:eastAsia="仿宋" w:cs="Times New Roman"/>
          <w:color w:val="000000"/>
          <w:sz w:val="28"/>
          <w:szCs w:val="28"/>
          <w:shd w:val="clear" w:color="auto" w:fill="FFFFFF"/>
        </w:rPr>
        <w:t>为</w:t>
      </w:r>
      <w:r>
        <w:rPr>
          <w:rFonts w:ascii="仿宋" w:hAnsi="仿宋" w:eastAsia="仿宋" w:cs="Times New Roman"/>
          <w:color w:val="000000"/>
          <w:sz w:val="28"/>
          <w:szCs w:val="28"/>
          <w:shd w:val="clear" w:color="auto" w:fill="FFFFFF"/>
        </w:rPr>
        <w:t>原则，严格执行各项经费开支范围和标准，加强预算约束，明确审批权限，规范支出手续，并自觉接受财政、审计等部门的监督检查。</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二、绩效目标实现情况</w:t>
      </w:r>
    </w:p>
    <w:p>
      <w:pPr>
        <w:adjustRightInd w:val="0"/>
        <w:snapToGrid w:val="0"/>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（一）年度总体目标</w:t>
      </w:r>
    </w:p>
    <w:p>
      <w:pPr>
        <w:ind w:firstLine="560"/>
        <w:rPr>
          <w:rFonts w:ascii="Times New Roman" w:hAnsi="Times New Roman" w:eastAsia="仿宋" w:cs="Times New Roman"/>
          <w:sz w:val="28"/>
          <w:szCs w:val="28"/>
        </w:rPr>
      </w:pPr>
      <w:r>
        <w:rPr>
          <w:rFonts w:hint="eastAsia" w:ascii="Times New Roman" w:hAnsi="Times New Roman" w:eastAsia="仿宋" w:cs="Times New Roman"/>
          <w:sz w:val="28"/>
          <w:szCs w:val="28"/>
        </w:rPr>
        <w:t>我单位2021年度总体目标为：</w:t>
      </w:r>
    </w:p>
    <w:p>
      <w:pPr>
        <w:ind w:firstLine="560"/>
        <w:rPr>
          <w:rFonts w:ascii="仿宋" w:hAnsi="仿宋" w:eastAsia="仿宋"/>
          <w:sz w:val="28"/>
        </w:rPr>
      </w:pPr>
      <w:r>
        <w:rPr>
          <w:rFonts w:hint="eastAsia" w:ascii="仿宋" w:hAnsi="仿宋" w:eastAsia="仿宋"/>
          <w:sz w:val="28"/>
        </w:rPr>
        <w:t>（一）引导广大科技工作者在推动科技进步、推进自主创新实践中建功立业。</w:t>
      </w:r>
    </w:p>
    <w:p>
      <w:pPr>
        <w:ind w:firstLine="560"/>
        <w:rPr>
          <w:rFonts w:ascii="仿宋" w:hAnsi="仿宋" w:eastAsia="仿宋"/>
          <w:sz w:val="28"/>
        </w:rPr>
      </w:pPr>
      <w:r>
        <w:rPr>
          <w:rFonts w:hint="eastAsia" w:ascii="仿宋" w:hAnsi="仿宋" w:eastAsia="仿宋"/>
          <w:sz w:val="28"/>
        </w:rPr>
        <w:t>1、提高学术交流质量，促进自主创新。</w:t>
      </w:r>
    </w:p>
    <w:p>
      <w:pPr>
        <w:ind w:firstLine="560"/>
        <w:rPr>
          <w:rFonts w:ascii="仿宋" w:hAnsi="仿宋" w:eastAsia="仿宋"/>
          <w:sz w:val="28"/>
        </w:rPr>
      </w:pPr>
      <w:r>
        <w:rPr>
          <w:rFonts w:hint="eastAsia" w:ascii="仿宋" w:hAnsi="仿宋" w:eastAsia="仿宋"/>
          <w:sz w:val="28"/>
        </w:rPr>
        <w:t>2、推动产学研结合，促进科技成果流通转化。</w:t>
      </w:r>
    </w:p>
    <w:p>
      <w:pPr>
        <w:ind w:firstLine="560"/>
        <w:rPr>
          <w:rFonts w:ascii="仿宋" w:hAnsi="仿宋" w:eastAsia="仿宋"/>
          <w:sz w:val="28"/>
        </w:rPr>
      </w:pPr>
      <w:r>
        <w:rPr>
          <w:rFonts w:hint="eastAsia" w:ascii="仿宋" w:hAnsi="仿宋" w:eastAsia="仿宋"/>
          <w:sz w:val="28"/>
        </w:rPr>
        <w:t>3、组织动员广大科技工作者，着力推动科技进步与创新。</w:t>
      </w:r>
    </w:p>
    <w:p>
      <w:pPr>
        <w:ind w:firstLine="560"/>
        <w:rPr>
          <w:rFonts w:ascii="仿宋" w:hAnsi="仿宋" w:eastAsia="仿宋"/>
          <w:sz w:val="28"/>
        </w:rPr>
      </w:pPr>
      <w:r>
        <w:rPr>
          <w:rFonts w:hint="eastAsia" w:ascii="仿宋" w:hAnsi="仿宋" w:eastAsia="仿宋"/>
          <w:sz w:val="28"/>
        </w:rPr>
        <w:t>4、进一步扩大对外科技交流与合作，引进吸收外部智力。</w:t>
      </w:r>
    </w:p>
    <w:p>
      <w:pPr>
        <w:ind w:firstLine="560"/>
        <w:rPr>
          <w:rFonts w:ascii="仿宋" w:hAnsi="仿宋" w:eastAsia="仿宋"/>
          <w:sz w:val="28"/>
        </w:rPr>
      </w:pPr>
      <w:r>
        <w:rPr>
          <w:rFonts w:hint="eastAsia" w:ascii="仿宋" w:hAnsi="仿宋" w:eastAsia="仿宋"/>
          <w:sz w:val="28"/>
        </w:rPr>
        <w:t>（二）实施《全民科学素质行动计划纲要》，营造创新文化环境，为推动科技进步、推进科技创新培养人力资源。</w:t>
      </w:r>
    </w:p>
    <w:p>
      <w:pPr>
        <w:ind w:firstLine="560"/>
        <w:rPr>
          <w:rFonts w:ascii="仿宋" w:hAnsi="仿宋" w:eastAsia="仿宋"/>
          <w:sz w:val="28"/>
        </w:rPr>
      </w:pPr>
      <w:r>
        <w:rPr>
          <w:rFonts w:hint="eastAsia" w:ascii="仿宋" w:hAnsi="仿宋" w:eastAsia="仿宋"/>
          <w:sz w:val="28"/>
        </w:rPr>
        <w:t>1、实施未成年人科学素质行动，培养科技后备人才。</w:t>
      </w:r>
    </w:p>
    <w:p>
      <w:pPr>
        <w:ind w:firstLine="560"/>
        <w:rPr>
          <w:rFonts w:ascii="仿宋" w:hAnsi="仿宋" w:eastAsia="仿宋"/>
          <w:sz w:val="28"/>
        </w:rPr>
      </w:pPr>
      <w:r>
        <w:rPr>
          <w:rFonts w:hint="eastAsia" w:ascii="仿宋" w:hAnsi="仿宋" w:eastAsia="仿宋"/>
          <w:sz w:val="28"/>
        </w:rPr>
        <w:t>2、实施农民科学素质行动，培养社会主义新农村建设人才。</w:t>
      </w:r>
    </w:p>
    <w:p>
      <w:pPr>
        <w:ind w:firstLine="560"/>
        <w:rPr>
          <w:rFonts w:ascii="仿宋" w:hAnsi="仿宋" w:eastAsia="仿宋"/>
          <w:sz w:val="28"/>
        </w:rPr>
      </w:pPr>
      <w:r>
        <w:rPr>
          <w:rFonts w:hint="eastAsia" w:ascii="仿宋" w:hAnsi="仿宋" w:eastAsia="仿宋"/>
          <w:sz w:val="28"/>
        </w:rPr>
        <w:t>3、实施城镇劳动人口科学素质行动，培养高素质的二三产业从业人员。</w:t>
      </w:r>
    </w:p>
    <w:p>
      <w:pPr>
        <w:ind w:firstLine="560"/>
        <w:rPr>
          <w:rFonts w:ascii="仿宋" w:hAnsi="仿宋" w:eastAsia="仿宋"/>
          <w:sz w:val="28"/>
        </w:rPr>
      </w:pPr>
      <w:r>
        <w:rPr>
          <w:rFonts w:hint="eastAsia" w:ascii="仿宋" w:hAnsi="仿宋" w:eastAsia="仿宋"/>
          <w:sz w:val="28"/>
        </w:rPr>
        <w:t>4、实施公务员和领导干部科学素质行动，服务于公务员队伍整体科技素质的提高。</w:t>
      </w:r>
    </w:p>
    <w:p>
      <w:pPr>
        <w:ind w:firstLine="560"/>
        <w:rPr>
          <w:rFonts w:ascii="仿宋" w:hAnsi="仿宋" w:eastAsia="仿宋"/>
          <w:sz w:val="28"/>
        </w:rPr>
      </w:pPr>
      <w:r>
        <w:rPr>
          <w:rFonts w:hint="eastAsia" w:ascii="仿宋" w:hAnsi="仿宋" w:eastAsia="仿宋"/>
          <w:sz w:val="28"/>
        </w:rPr>
        <w:t>（三）建设“科技工作者之家”，为推动科技进步、推进科技创新提供人文支持。</w:t>
      </w:r>
    </w:p>
    <w:p>
      <w:pPr>
        <w:ind w:firstLine="560"/>
        <w:rPr>
          <w:rFonts w:ascii="仿宋" w:hAnsi="仿宋" w:eastAsia="仿宋"/>
          <w:sz w:val="28"/>
        </w:rPr>
      </w:pPr>
      <w:r>
        <w:rPr>
          <w:rFonts w:hint="eastAsia" w:ascii="仿宋" w:hAnsi="仿宋" w:eastAsia="仿宋"/>
          <w:sz w:val="28"/>
        </w:rPr>
        <w:t>1、加强人才工作，为知识与才能的充分涌流创造条件。</w:t>
      </w:r>
    </w:p>
    <w:p>
      <w:pPr>
        <w:ind w:firstLine="560"/>
        <w:rPr>
          <w:rFonts w:ascii="仿宋" w:hAnsi="仿宋" w:eastAsia="仿宋"/>
          <w:sz w:val="28"/>
        </w:rPr>
      </w:pPr>
      <w:r>
        <w:rPr>
          <w:rFonts w:hint="eastAsia" w:ascii="仿宋" w:hAnsi="仿宋" w:eastAsia="仿宋"/>
          <w:sz w:val="28"/>
        </w:rPr>
        <w:t>2、了解科技工作者需求，维护科技工作者合法权益。</w:t>
      </w:r>
    </w:p>
    <w:p>
      <w:pPr>
        <w:ind w:firstLine="560"/>
        <w:rPr>
          <w:rFonts w:ascii="仿宋" w:hAnsi="仿宋" w:eastAsia="仿宋"/>
          <w:sz w:val="28"/>
        </w:rPr>
      </w:pPr>
      <w:r>
        <w:rPr>
          <w:rFonts w:hint="eastAsia" w:ascii="仿宋" w:hAnsi="仿宋" w:eastAsia="仿宋"/>
          <w:sz w:val="28"/>
        </w:rPr>
        <w:t>3、发挥职能作用，积极建言献策，推进决策科学化、民主化。</w:t>
      </w:r>
    </w:p>
    <w:p>
      <w:pPr>
        <w:ind w:firstLine="560"/>
        <w:rPr>
          <w:rFonts w:ascii="仿宋" w:hAnsi="仿宋" w:eastAsia="仿宋"/>
          <w:sz w:val="28"/>
        </w:rPr>
      </w:pPr>
      <w:r>
        <w:rPr>
          <w:rFonts w:hint="eastAsia" w:ascii="Times New Roman" w:hAnsi="Times New Roman" w:eastAsia="仿宋" w:cs="Times New Roman"/>
          <w:b/>
          <w:bCs/>
          <w:sz w:val="28"/>
          <w:szCs w:val="28"/>
        </w:rPr>
        <w:t>总体绩效完成情况</w:t>
      </w:r>
      <w:r>
        <w:rPr>
          <w:rFonts w:hint="eastAsia" w:ascii="仿宋" w:hAnsi="仿宋" w:eastAsia="仿宋"/>
          <w:sz w:val="28"/>
        </w:rPr>
        <w:t>：</w:t>
      </w:r>
    </w:p>
    <w:p>
      <w:pPr>
        <w:spacing w:line="576" w:lineRule="exact"/>
        <w:ind w:firstLine="560" w:firstLineChars="200"/>
        <w:rPr>
          <w:rFonts w:ascii="仿宋" w:hAnsi="仿宋" w:eastAsia="仿宋" w:cs="Times New Roman"/>
          <w:sz w:val="28"/>
          <w:szCs w:val="28"/>
        </w:rPr>
      </w:pPr>
      <w:r>
        <w:rPr>
          <w:rFonts w:hint="eastAsia" w:ascii="仿宋" w:hAnsi="仿宋" w:eastAsia="仿宋" w:cs="仿宋_GB2312"/>
          <w:sz w:val="28"/>
          <w:szCs w:val="28"/>
        </w:rPr>
        <w:t>1.提高全民科学文化素质。</w:t>
      </w:r>
      <w:r>
        <w:rPr>
          <w:rFonts w:hint="eastAsia" w:ascii="仿宋" w:hAnsi="仿宋" w:eastAsia="仿宋" w:cs="仿宋_GB2312"/>
          <w:b/>
          <w:bCs/>
          <w:sz w:val="28"/>
          <w:szCs w:val="28"/>
        </w:rPr>
        <w:t>一是</w:t>
      </w:r>
      <w:r>
        <w:rPr>
          <w:rFonts w:hint="eastAsia" w:ascii="仿宋" w:hAnsi="仿宋" w:eastAsia="仿宋" w:cs="Times New Roman"/>
          <w:sz w:val="28"/>
          <w:szCs w:val="28"/>
        </w:rPr>
        <w:t>结合“我为群众办实事”，推动科学素质提升工程进农村、进社区开展讲座47场。</w:t>
      </w:r>
      <w:r>
        <w:rPr>
          <w:rFonts w:hint="eastAsia" w:ascii="仿宋" w:hAnsi="仿宋" w:eastAsia="仿宋" w:cs="仿宋_GB2312"/>
          <w:b/>
          <w:bCs/>
          <w:sz w:val="28"/>
          <w:szCs w:val="28"/>
        </w:rPr>
        <w:t>二是</w:t>
      </w:r>
      <w:r>
        <w:rPr>
          <w:rFonts w:hint="eastAsia" w:ascii="仿宋" w:hAnsi="仿宋" w:eastAsia="仿宋" w:cs="仿宋_GB2312"/>
          <w:sz w:val="28"/>
          <w:szCs w:val="28"/>
        </w:rPr>
        <w:t>结合“三下乡”、科技周、全国科技工作者日等活动开展科普宣传。向赞皇县科协对口捐赠资金3万元以及价值1万元科普图书；承办了中国科协全国科普日“中国飞天梦 科普万里行”活动；组织开展2021年全国科普日活动70场；流动科技馆巡展完成高邑县、平山县等6个站点，每个站点受益群众2万余人。</w:t>
      </w:r>
      <w:r>
        <w:rPr>
          <w:rFonts w:hint="eastAsia" w:ascii="仿宋" w:hAnsi="仿宋" w:eastAsia="仿宋" w:cs="仿宋_GB2312"/>
          <w:b/>
          <w:bCs/>
          <w:sz w:val="28"/>
          <w:szCs w:val="28"/>
        </w:rPr>
        <w:t>四是</w:t>
      </w:r>
      <w:r>
        <w:rPr>
          <w:rFonts w:hint="eastAsia" w:ascii="仿宋" w:hAnsi="仿宋" w:eastAsia="仿宋" w:cs="仿宋_GB2312"/>
          <w:sz w:val="28"/>
          <w:szCs w:val="28"/>
        </w:rPr>
        <w:t>继续组织实施基层科普行动计划。表彰奖补长安区裕彤社区居委会等34个国家级基层科普典型和桥西区西三教社区居委会等9个省级基层科普典型共计259万元。</w:t>
      </w:r>
    </w:p>
    <w:p>
      <w:pPr>
        <w:spacing w:line="576" w:lineRule="exact"/>
        <w:ind w:firstLine="560" w:firstLineChars="200"/>
        <w:rPr>
          <w:rFonts w:ascii="仿宋" w:hAnsi="仿宋" w:eastAsia="仿宋" w:cs="宋体"/>
          <w:color w:val="000000" w:themeColor="text1"/>
          <w:kern w:val="0"/>
          <w:sz w:val="28"/>
          <w:szCs w:val="28"/>
        </w:rPr>
      </w:pPr>
      <w:r>
        <w:rPr>
          <w:rFonts w:hint="eastAsia" w:ascii="仿宋" w:hAnsi="仿宋" w:eastAsia="仿宋" w:cs="Times New Roman"/>
          <w:sz w:val="28"/>
          <w:szCs w:val="28"/>
        </w:rPr>
        <w:t>2.加强“互联网+科普”建设。</w:t>
      </w:r>
      <w:r>
        <w:rPr>
          <w:rFonts w:hint="eastAsia" w:ascii="仿宋" w:hAnsi="仿宋" w:eastAsia="仿宋" w:cs="宋体"/>
          <w:color w:val="000000" w:themeColor="text1"/>
          <w:kern w:val="0"/>
          <w:sz w:val="28"/>
          <w:szCs w:val="28"/>
        </w:rPr>
        <w:t>在市科协网站、“科普石家庄”微信公众号、“学习强国”和长城网等网络平台定期发布科普文章和短视频；利用机关一楼大屏、“石家庄城市电视广播平台”在200余个公共场所设立的LED大屏全天滚动播放疫情防控、科学生活、文明行为等内容的动漫片和宣传片。</w:t>
      </w:r>
    </w:p>
    <w:p>
      <w:pPr>
        <w:pStyle w:val="5"/>
        <w:spacing w:after="0" w:line="576" w:lineRule="exact"/>
        <w:ind w:left="0" w:leftChars="0" w:firstLine="560"/>
        <w:rPr>
          <w:rFonts w:ascii="仿宋" w:hAnsi="仿宋" w:eastAsia="仿宋" w:cs="仿宋_GB2312"/>
          <w:sz w:val="28"/>
          <w:szCs w:val="28"/>
        </w:rPr>
      </w:pPr>
      <w:r>
        <w:rPr>
          <w:rFonts w:hint="eastAsia" w:ascii="仿宋" w:hAnsi="仿宋" w:eastAsia="仿宋" w:cs="仿宋_GB2312"/>
          <w:sz w:val="28"/>
          <w:szCs w:val="28"/>
        </w:rPr>
        <w:t>3.大力开展提升工程。</w:t>
      </w:r>
      <w:r>
        <w:rPr>
          <w:rFonts w:hint="eastAsia" w:ascii="仿宋" w:hAnsi="仿宋" w:eastAsia="仿宋" w:cs="仿宋_GB2312"/>
          <w:b/>
          <w:bCs/>
          <w:sz w:val="28"/>
          <w:szCs w:val="28"/>
        </w:rPr>
        <w:t>一是</w:t>
      </w:r>
      <w:r>
        <w:rPr>
          <w:rFonts w:hint="eastAsia" w:ascii="仿宋" w:hAnsi="仿宋" w:eastAsia="仿宋" w:cs="仿宋_GB2312"/>
          <w:sz w:val="28"/>
          <w:szCs w:val="28"/>
        </w:rPr>
        <w:t>开展全民科学素质提升工程。继续与市委党校联合推进领导干部和公务员科学素质教育，举办各类培训班33期，培训人员4697人次；组织开展 2021 年全国农民科学素质网络知识竞赛活动。</w:t>
      </w:r>
      <w:r>
        <w:rPr>
          <w:rFonts w:hint="eastAsia" w:ascii="仿宋" w:hAnsi="仿宋" w:eastAsia="仿宋" w:cs="仿宋_GB2312"/>
          <w:b/>
          <w:bCs/>
          <w:sz w:val="28"/>
          <w:szCs w:val="28"/>
        </w:rPr>
        <w:t>二是</w:t>
      </w:r>
      <w:r>
        <w:rPr>
          <w:rFonts w:hint="eastAsia" w:ascii="仿宋" w:hAnsi="仿宋" w:eastAsia="仿宋" w:cs="仿宋_GB2312"/>
          <w:sz w:val="28"/>
          <w:szCs w:val="28"/>
        </w:rPr>
        <w:t>实施学会能力提升计划。9个学会申报了10个“学会能力提升计划”项目，包括推动科技成果转化和技术咨询、技术服务5项；有效承接政府转移职能3项；科普活动和科普作品创作2项。成立了石家庄市航拍协会、石家庄市消防工程师协会、石家庄市机器人教育协会。</w:t>
      </w:r>
    </w:p>
    <w:p>
      <w:pPr>
        <w:pStyle w:val="5"/>
        <w:spacing w:after="0" w:line="576" w:lineRule="exact"/>
        <w:ind w:left="0" w:leftChars="0" w:firstLine="560"/>
        <w:rPr>
          <w:rFonts w:ascii="仿宋" w:hAnsi="仿宋" w:eastAsia="仿宋" w:cs="仿宋_GB2312"/>
          <w:sz w:val="28"/>
          <w:szCs w:val="28"/>
        </w:rPr>
      </w:pPr>
      <w:r>
        <w:rPr>
          <w:rFonts w:hint="eastAsia" w:ascii="仿宋" w:hAnsi="仿宋" w:eastAsia="仿宋" w:cs="仿宋_GB2312"/>
          <w:sz w:val="28"/>
          <w:szCs w:val="28"/>
        </w:rPr>
        <w:t>4.发挥科技工作者作用为基层服务。一是结合“我为群众办实事”，组织学会专家开展“科技惠民专家服务基层活动”上百场次。市天文爱好者协会在栾城“石家庄二中第一实验小学”以及“宏远路实验小学”开展天文科普进校园系列活动；市心理咨询师协会在全市建立心理公益站点10个；与南开石家庄校友会联合在无极县崔家庄联合小学建立了“南开书屋”并捐赠图书；市医学会主办线上“感染性疾病诊治能力提升培训会议”，邀请复旦大学附属华山医院感染科张文宏教授作了题为“一病、一疫、一城：从新冠病毒病看感染病学科存在的意义和价值”的学术报告，在线观看直播人数达41689人，点击次数达19.5万，反响热烈。</w:t>
      </w:r>
      <w:r>
        <w:rPr>
          <w:rFonts w:hint="eastAsia" w:ascii="仿宋" w:hAnsi="仿宋" w:eastAsia="仿宋" w:cs="仿宋_GB2312"/>
          <w:b/>
          <w:bCs/>
          <w:sz w:val="28"/>
          <w:szCs w:val="28"/>
        </w:rPr>
        <w:t>二是</w:t>
      </w:r>
      <w:r>
        <w:rPr>
          <w:rFonts w:hint="eastAsia" w:ascii="仿宋" w:hAnsi="仿宋" w:eastAsia="仿宋" w:cs="仿宋_GB2312"/>
          <w:sz w:val="28"/>
          <w:szCs w:val="28"/>
        </w:rPr>
        <w:t>组织专家开展深入企业活动。邀请专家深入新华区、高新区、平山县等企业、园区开展参观调研，重点进行专利知识和科技政策辅导；组织河北医科大学、河北科技大学等多所院校举办“校企联动·科技创新”等产学研对接洽谈会，230多家企业参加，促进高校科技成果产业化发展。</w:t>
      </w:r>
      <w:r>
        <w:rPr>
          <w:rFonts w:hint="eastAsia" w:ascii="仿宋" w:hAnsi="仿宋" w:eastAsia="仿宋" w:cs="仿宋_GB2312"/>
          <w:b/>
          <w:bCs/>
          <w:sz w:val="28"/>
          <w:szCs w:val="28"/>
        </w:rPr>
        <w:t>三是</w:t>
      </w:r>
      <w:r>
        <w:rPr>
          <w:rFonts w:hint="eastAsia" w:ascii="仿宋" w:hAnsi="仿宋" w:eastAsia="仿宋" w:cs="仿宋_GB2312"/>
          <w:sz w:val="28"/>
          <w:szCs w:val="28"/>
        </w:rPr>
        <w:t>多形式为企业开展深层次服务。组织石家庄纺织机械有限责任公司等6家企业申报省科协“最受关注的企业科技创新团队”奖且3家企业获奖；河北纳科生物科技有限公司等6家企业建立了基层科协组织；指导河北金诺防水材料有限公司等5家企业参与认定河北省科技型中小企业；推荐河北圣昊光电科技有限公司等企业参加中国科协征集遴选的2021年科创中国活动。</w:t>
      </w:r>
    </w:p>
    <w:p>
      <w:pPr>
        <w:pStyle w:val="17"/>
        <w:spacing w:line="576"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5.推进青少年素质教育。</w:t>
      </w:r>
      <w:r>
        <w:rPr>
          <w:rFonts w:hint="eastAsia" w:ascii="仿宋" w:hAnsi="仿宋" w:eastAsia="仿宋" w:cs="Times New Roman"/>
          <w:b/>
          <w:bCs/>
          <w:sz w:val="28"/>
          <w:szCs w:val="28"/>
        </w:rPr>
        <w:t>一是</w:t>
      </w:r>
      <w:r>
        <w:rPr>
          <w:rFonts w:hint="eastAsia" w:ascii="仿宋" w:hAnsi="仿宋" w:eastAsia="仿宋" w:cs="Times New Roman"/>
          <w:sz w:val="28"/>
          <w:szCs w:val="28"/>
        </w:rPr>
        <w:t>继续举办石家庄市青少年机器人竞赛活动。此项竞赛已连续举办20年，在省级比赛中获奖2000余人、国家级比赛获奖百余人，受到广泛好评。今年的竞赛活动吸引了全市数十万中小学生的关注，在做好常态化疫情防控工作下，经过各级逐层选拔，共有86支队伍、85名教练员、258名选手成功晋级。</w:t>
      </w:r>
      <w:r>
        <w:rPr>
          <w:rFonts w:hint="eastAsia" w:ascii="仿宋" w:hAnsi="仿宋" w:eastAsia="仿宋" w:cs="Times New Roman"/>
          <w:b/>
          <w:bCs/>
          <w:sz w:val="28"/>
          <w:szCs w:val="28"/>
        </w:rPr>
        <w:t>二是</w:t>
      </w:r>
      <w:r>
        <w:rPr>
          <w:rFonts w:hint="eastAsia" w:ascii="仿宋" w:hAnsi="仿宋" w:eastAsia="仿宋" w:cs="Times New Roman"/>
          <w:sz w:val="28"/>
          <w:szCs w:val="28"/>
        </w:rPr>
        <w:t>举办石家庄市青少年科技创新大赛活动。全市有近3万余名中学生参加，征集作品近5000件;</w:t>
      </w:r>
      <w:r>
        <w:rPr>
          <w:rFonts w:hint="eastAsia" w:ascii="仿宋" w:hAnsi="仿宋" w:eastAsia="仿宋" w:cs="Times New Roman"/>
          <w:b/>
          <w:bCs/>
          <w:sz w:val="28"/>
          <w:szCs w:val="28"/>
        </w:rPr>
        <w:t>三是</w:t>
      </w:r>
      <w:r>
        <w:rPr>
          <w:rFonts w:hint="eastAsia" w:ascii="仿宋" w:hAnsi="仿宋" w:eastAsia="仿宋" w:cs="Times New Roman"/>
          <w:sz w:val="28"/>
          <w:szCs w:val="28"/>
        </w:rPr>
        <w:t>继续开展青少年科普山区行活动和高校科学营活动，在长安区北高营小学新建一所青少年科学工作室；</w:t>
      </w:r>
      <w:r>
        <w:rPr>
          <w:rFonts w:hint="eastAsia" w:ascii="仿宋" w:hAnsi="仿宋" w:eastAsia="仿宋" w:cs="Times New Roman"/>
          <w:b/>
          <w:bCs/>
          <w:sz w:val="28"/>
          <w:szCs w:val="28"/>
        </w:rPr>
        <w:t>四是</w:t>
      </w:r>
      <w:r>
        <w:rPr>
          <w:rFonts w:hint="eastAsia" w:ascii="仿宋" w:hAnsi="仿宋" w:eastAsia="仿宋" w:cs="Times New Roman"/>
          <w:sz w:val="28"/>
          <w:szCs w:val="28"/>
        </w:rPr>
        <w:t>与市政府妇女儿童工作委员会办公室联合举办2021石家庄市第一届少年儿童航天科技创新实践活动；</w:t>
      </w:r>
      <w:r>
        <w:rPr>
          <w:rFonts w:hint="eastAsia" w:ascii="仿宋" w:hAnsi="仿宋" w:eastAsia="仿宋" w:cs="Times New Roman"/>
          <w:b/>
          <w:bCs/>
          <w:sz w:val="28"/>
          <w:szCs w:val="28"/>
        </w:rPr>
        <w:t>五是</w:t>
      </w:r>
      <w:r>
        <w:rPr>
          <w:rFonts w:hint="eastAsia" w:ascii="仿宋" w:hAnsi="仿宋" w:eastAsia="仿宋" w:cs="Times New Roman"/>
          <w:sz w:val="28"/>
          <w:szCs w:val="28"/>
        </w:rPr>
        <w:t>指导石家庄亚光速航空航天馆探索航空航天科普教育新模式，采用“课程+展示+体验”形式，在深泽县进校园举办4场活动，取得了良好效果。</w:t>
      </w:r>
      <w:r>
        <w:rPr>
          <w:rFonts w:hint="eastAsia" w:ascii="仿宋" w:hAnsi="仿宋" w:eastAsia="仿宋" w:cs="Times New Roman"/>
          <w:b/>
          <w:bCs/>
          <w:sz w:val="28"/>
          <w:szCs w:val="28"/>
        </w:rPr>
        <w:t>六是</w:t>
      </w:r>
      <w:r>
        <w:rPr>
          <w:rFonts w:hint="eastAsia" w:ascii="仿宋" w:hAnsi="仿宋" w:eastAsia="仿宋" w:cs="Times New Roman"/>
          <w:sz w:val="28"/>
          <w:szCs w:val="28"/>
        </w:rPr>
        <w:t>举办了市青少年天文科技辅导员培训班，全市30所学校的80多名科技教师参加了此次培训。</w:t>
      </w:r>
    </w:p>
    <w:p>
      <w:pPr>
        <w:pStyle w:val="17"/>
        <w:spacing w:line="576" w:lineRule="exact"/>
        <w:ind w:firstLine="560" w:firstLineChars="200"/>
        <w:jc w:val="left"/>
        <w:rPr>
          <w:rFonts w:ascii="仿宋" w:hAnsi="仿宋" w:eastAsia="仿宋" w:cs="仿宋_GB2312"/>
          <w:sz w:val="28"/>
          <w:szCs w:val="28"/>
        </w:rPr>
      </w:pPr>
      <w:r>
        <w:rPr>
          <w:rFonts w:hint="eastAsia" w:ascii="仿宋" w:hAnsi="仿宋" w:eastAsia="仿宋" w:cs="Times New Roman"/>
          <w:sz w:val="28"/>
          <w:szCs w:val="28"/>
        </w:rPr>
        <w:t>6.开展科普基地评选认定工作。</w:t>
      </w:r>
      <w:r>
        <w:rPr>
          <w:rFonts w:hint="eastAsia" w:ascii="仿宋" w:hAnsi="仿宋" w:eastAsia="仿宋" w:cs="Times New Roman"/>
          <w:b/>
          <w:bCs/>
          <w:sz w:val="28"/>
          <w:szCs w:val="28"/>
        </w:rPr>
        <w:t>一是</w:t>
      </w:r>
      <w:r>
        <w:rPr>
          <w:rFonts w:hint="eastAsia" w:ascii="仿宋" w:hAnsi="仿宋" w:eastAsia="仿宋" w:cs="Times New Roman"/>
          <w:sz w:val="28"/>
          <w:szCs w:val="28"/>
        </w:rPr>
        <w:t>新认定9个社会组织为石家庄市科普教育基地，从历年认定的基地中选取4家发放奖补资金共12万元用于基地建设；</w:t>
      </w:r>
      <w:r>
        <w:rPr>
          <w:rFonts w:hint="eastAsia" w:ascii="仿宋" w:hAnsi="仿宋" w:eastAsia="仿宋" w:cs="Times New Roman"/>
          <w:b/>
          <w:bCs/>
          <w:sz w:val="28"/>
          <w:szCs w:val="28"/>
        </w:rPr>
        <w:t>二是</w:t>
      </w:r>
      <w:r>
        <w:rPr>
          <w:rFonts w:hint="eastAsia" w:ascii="仿宋" w:hAnsi="仿宋" w:eastAsia="仿宋" w:cs="Times New Roman"/>
          <w:sz w:val="28"/>
          <w:szCs w:val="28"/>
        </w:rPr>
        <w:t>评选出时代蔚来教育科技河北有限公司等13家单位为“石家庄市科学素质教育基地”。</w:t>
      </w:r>
    </w:p>
    <w:p>
      <w:pPr>
        <w:pStyle w:val="17"/>
        <w:spacing w:line="576" w:lineRule="exact"/>
        <w:ind w:firstLine="560" w:firstLineChars="200"/>
        <w:jc w:val="left"/>
        <w:rPr>
          <w:rFonts w:ascii="仿宋" w:hAnsi="仿宋" w:eastAsia="仿宋"/>
          <w:sz w:val="28"/>
          <w:szCs w:val="28"/>
        </w:rPr>
      </w:pPr>
      <w:r>
        <w:rPr>
          <w:rFonts w:hint="eastAsia" w:ascii="仿宋" w:hAnsi="仿宋" w:eastAsia="仿宋" w:cs="仿宋_GB2312"/>
          <w:sz w:val="28"/>
          <w:szCs w:val="28"/>
        </w:rPr>
        <w:t>7.加强科技人才队伍建设。</w:t>
      </w:r>
      <w:r>
        <w:rPr>
          <w:rFonts w:hint="eastAsia" w:ascii="仿宋" w:hAnsi="仿宋" w:eastAsia="仿宋" w:cs="仿宋_GB2312"/>
          <w:b/>
          <w:bCs/>
          <w:sz w:val="28"/>
          <w:szCs w:val="28"/>
        </w:rPr>
        <w:t>一是</w:t>
      </w:r>
      <w:r>
        <w:rPr>
          <w:rFonts w:hint="eastAsia" w:ascii="仿宋" w:hAnsi="仿宋" w:eastAsia="仿宋" w:cs="仿宋_GB2312"/>
          <w:sz w:val="28"/>
          <w:szCs w:val="28"/>
        </w:rPr>
        <w:t>组织筹建“科普专家库”。“科普专家库”实行动态管理，根据时代发展和工作需要及时调整完善。现有种植、养殖、医学、心理学等科普专家36人。</w:t>
      </w:r>
      <w:r>
        <w:rPr>
          <w:rFonts w:hint="eastAsia" w:ascii="仿宋" w:hAnsi="仿宋" w:eastAsia="仿宋" w:cs="仿宋_GB2312"/>
          <w:b/>
          <w:bCs/>
          <w:sz w:val="28"/>
          <w:szCs w:val="28"/>
        </w:rPr>
        <w:t>二是</w:t>
      </w:r>
      <w:r>
        <w:rPr>
          <w:rFonts w:hint="eastAsia" w:ascii="仿宋" w:hAnsi="仿宋" w:eastAsia="仿宋" w:cs="Times New Roman"/>
          <w:sz w:val="28"/>
          <w:szCs w:val="28"/>
        </w:rPr>
        <w:t>成立“石家庄市科技志愿者支队”，指导推动21个县（市、区）成立科技志愿服务队，组建人数400余名，开展活动百余场。</w:t>
      </w:r>
      <w:r>
        <w:rPr>
          <w:rFonts w:hint="eastAsia" w:ascii="仿宋" w:hAnsi="仿宋" w:eastAsia="仿宋" w:cs="Times New Roman"/>
          <w:b/>
          <w:bCs/>
          <w:sz w:val="28"/>
          <w:szCs w:val="28"/>
        </w:rPr>
        <w:t>三</w:t>
      </w:r>
      <w:r>
        <w:rPr>
          <w:rFonts w:hint="eastAsia" w:ascii="仿宋" w:hAnsi="仿宋" w:eastAsia="仿宋"/>
          <w:b/>
          <w:bCs/>
          <w:sz w:val="28"/>
          <w:szCs w:val="28"/>
        </w:rPr>
        <w:t>是</w:t>
      </w:r>
      <w:r>
        <w:rPr>
          <w:rFonts w:hint="eastAsia" w:ascii="仿宋" w:hAnsi="仿宋" w:eastAsia="仿宋"/>
          <w:sz w:val="28"/>
          <w:szCs w:val="28"/>
        </w:rPr>
        <w:t>向市委组织部推荐石家庄市第三批“高层次人才支持计划”申报人选1名，市管拔尖人才候选人4名。</w:t>
      </w:r>
    </w:p>
    <w:p>
      <w:pPr>
        <w:pStyle w:val="17"/>
        <w:spacing w:line="576" w:lineRule="exact"/>
        <w:ind w:firstLine="560" w:firstLineChars="200"/>
        <w:jc w:val="left"/>
        <w:rPr>
          <w:rFonts w:ascii="仿宋" w:hAnsi="仿宋" w:eastAsia="仿宋"/>
          <w:sz w:val="28"/>
          <w:szCs w:val="28"/>
        </w:rPr>
      </w:pPr>
      <w:r>
        <w:rPr>
          <w:rFonts w:hint="eastAsia" w:ascii="仿宋" w:hAnsi="仿宋" w:eastAsia="仿宋" w:cs="仿宋_GB2312"/>
          <w:sz w:val="28"/>
          <w:szCs w:val="28"/>
        </w:rPr>
        <w:t>8.科技工作者之家建设。</w:t>
      </w:r>
      <w:r>
        <w:rPr>
          <w:rFonts w:hint="eastAsia" w:ascii="仿宋" w:hAnsi="仿宋" w:eastAsia="仿宋" w:cs="宋体"/>
          <w:sz w:val="28"/>
          <w:szCs w:val="28"/>
        </w:rPr>
        <w:t>制定并出台了《石家庄市科协关于“科技工作者之家”建设的通知》（石科协[2021]11号）文件，严格按照“123668”建家思路，推进“六位一体”建家原则，指导县（市、区）科协建设“八有标准”的高质量科技工作者之家。截止9月底，全市21个县（市、区）科技工作者之家建设全部完成并开展相关活动。截止目前，我市共建有科技工作者之家48个，包括市科协1个，县（市、区）科协30个，学会15个，企业2家，其中获得省科协“河北省科技工作者之家建设示范单位”称号的有14个。</w:t>
      </w:r>
    </w:p>
    <w:p>
      <w:pPr>
        <w:spacing w:line="576" w:lineRule="exact"/>
        <w:ind w:firstLine="560" w:firstLineChars="200"/>
        <w:rPr>
          <w:rFonts w:hint="eastAsia" w:ascii="仿宋" w:hAnsi="仿宋" w:eastAsia="仿宋" w:cs="仿宋_GB2312"/>
          <w:color w:val="FF0000"/>
          <w:sz w:val="28"/>
          <w:szCs w:val="28"/>
        </w:rPr>
      </w:pPr>
    </w:p>
    <w:p>
      <w:pPr>
        <w:adjustRightInd w:val="0"/>
        <w:snapToGrid w:val="0"/>
        <w:spacing w:line="360" w:lineRule="auto"/>
        <w:ind w:firstLine="562" w:firstLineChars="200"/>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（二）预算执行情况</w:t>
      </w:r>
    </w:p>
    <w:p>
      <w:pPr>
        <w:adjustRightInd w:val="0"/>
        <w:snapToGrid w:val="0"/>
        <w:spacing w:line="360" w:lineRule="auto"/>
        <w:ind w:firstLine="560" w:firstLineChars="200"/>
        <w:rPr>
          <w:rFonts w:ascii="Times New Roman" w:hAnsi="Times New Roman" w:eastAsia="仿宋" w:cs="Times New Roman"/>
          <w:sz w:val="28"/>
          <w:szCs w:val="28"/>
        </w:rPr>
      </w:pPr>
      <w:r>
        <w:rPr>
          <w:rFonts w:hint="eastAsia" w:ascii="Times New Roman" w:hAnsi="Times New Roman" w:eastAsia="仿宋" w:cs="Times New Roman"/>
          <w:sz w:val="28"/>
          <w:szCs w:val="28"/>
        </w:rPr>
        <w:t>我单位2021年整体预算为1469.03万元，其中财政拨款1469.03万元，占总预算的100%。整体预算中，人员经费预算1028.12万元，一般公用经费预算112.96万元，“三公经费”预算9.91万元，项目经费预算327.95万元。</w:t>
      </w:r>
    </w:p>
    <w:p>
      <w:pPr>
        <w:adjustRightInd w:val="0"/>
        <w:snapToGrid w:val="0"/>
        <w:spacing w:line="360" w:lineRule="auto"/>
        <w:ind w:firstLine="560" w:firstLineChars="200"/>
        <w:rPr>
          <w:rFonts w:ascii="仿宋" w:hAnsi="仿宋" w:eastAsia="仿宋"/>
          <w:sz w:val="28"/>
          <w:szCs w:val="28"/>
          <w:shd w:val="clear" w:color="auto" w:fill="FFFFFF"/>
        </w:rPr>
      </w:pPr>
      <w:r>
        <w:rPr>
          <w:rFonts w:ascii="Times New Roman" w:hAnsi="Times New Roman" w:eastAsia="仿宋" w:cs="Times New Roman"/>
          <w:sz w:val="28"/>
          <w:szCs w:val="28"/>
        </w:rPr>
        <w:t>我单位20</w:t>
      </w:r>
      <w:r>
        <w:rPr>
          <w:rFonts w:hint="eastAsia" w:ascii="Times New Roman" w:hAnsi="Times New Roman" w:eastAsia="仿宋" w:cs="Times New Roman"/>
          <w:sz w:val="28"/>
          <w:szCs w:val="28"/>
        </w:rPr>
        <w:t>21</w:t>
      </w:r>
      <w:r>
        <w:rPr>
          <w:rFonts w:ascii="Times New Roman" w:hAnsi="Times New Roman" w:eastAsia="仿宋" w:cs="Times New Roman"/>
          <w:sz w:val="28"/>
          <w:szCs w:val="28"/>
        </w:rPr>
        <w:t>年度</w:t>
      </w:r>
      <w:r>
        <w:rPr>
          <w:rFonts w:hint="eastAsia" w:ascii="Times New Roman" w:hAnsi="Times New Roman" w:eastAsia="仿宋" w:cs="Times New Roman"/>
          <w:sz w:val="28"/>
          <w:szCs w:val="28"/>
        </w:rPr>
        <w:t>实际</w:t>
      </w:r>
      <w:r>
        <w:rPr>
          <w:rFonts w:ascii="Times New Roman" w:hAnsi="Times New Roman" w:eastAsia="仿宋" w:cs="Times New Roman"/>
          <w:sz w:val="28"/>
          <w:szCs w:val="28"/>
        </w:rPr>
        <w:t>预算</w:t>
      </w:r>
      <w:r>
        <w:rPr>
          <w:rFonts w:hint="eastAsia" w:ascii="Times New Roman" w:hAnsi="Times New Roman" w:eastAsia="仿宋" w:cs="Times New Roman"/>
          <w:sz w:val="28"/>
          <w:szCs w:val="28"/>
        </w:rPr>
        <w:t>收入</w:t>
      </w:r>
      <w:r>
        <w:rPr>
          <w:rFonts w:hint="eastAsia" w:ascii="仿宋" w:hAnsi="仿宋" w:eastAsia="仿宋"/>
          <w:sz w:val="28"/>
          <w:szCs w:val="28"/>
        </w:rPr>
        <w:t>1416.57</w:t>
      </w:r>
      <w:r>
        <w:rPr>
          <w:rFonts w:hint="eastAsia" w:ascii="Times New Roman" w:hAnsi="Times New Roman" w:eastAsia="仿宋" w:cs="Times New Roman"/>
          <w:sz w:val="28"/>
          <w:szCs w:val="28"/>
        </w:rPr>
        <w:t>万元</w:t>
      </w:r>
      <w:r>
        <w:rPr>
          <w:rFonts w:ascii="Times New Roman" w:hAnsi="Times New Roman" w:eastAsia="仿宋" w:cs="Times New Roman"/>
          <w:sz w:val="28"/>
          <w:szCs w:val="28"/>
        </w:rPr>
        <w:t>，其中财政拨款收入</w:t>
      </w:r>
      <w:r>
        <w:rPr>
          <w:rFonts w:hint="eastAsia" w:ascii="仿宋" w:hAnsi="仿宋" w:eastAsia="仿宋"/>
          <w:sz w:val="28"/>
          <w:szCs w:val="28"/>
        </w:rPr>
        <w:t>1416.57</w:t>
      </w:r>
      <w:r>
        <w:rPr>
          <w:rFonts w:hint="eastAsia" w:ascii="Times New Roman" w:hAnsi="Times New Roman" w:eastAsia="仿宋" w:cs="Times New Roman"/>
          <w:sz w:val="28"/>
          <w:szCs w:val="28"/>
        </w:rPr>
        <w:t>万元</w:t>
      </w:r>
      <w:r>
        <w:rPr>
          <w:rFonts w:ascii="Times New Roman" w:hAnsi="Times New Roman" w:eastAsia="仿宋" w:cs="Times New Roman"/>
          <w:sz w:val="28"/>
          <w:szCs w:val="28"/>
        </w:rPr>
        <w:t>，</w:t>
      </w:r>
      <w:r>
        <w:rPr>
          <w:rFonts w:hint="eastAsia" w:ascii="Times New Roman" w:hAnsi="Times New Roman" w:eastAsia="仿宋" w:cs="Times New Roman"/>
          <w:sz w:val="28"/>
          <w:szCs w:val="28"/>
        </w:rPr>
        <w:t>预算到位率为100</w:t>
      </w:r>
      <w:r>
        <w:rPr>
          <w:rFonts w:ascii="Times New Roman" w:hAnsi="Times New Roman" w:eastAsia="仿宋" w:cs="Times New Roman"/>
          <w:sz w:val="28"/>
          <w:szCs w:val="28"/>
        </w:rPr>
        <w:t>%</w:t>
      </w:r>
      <w:r>
        <w:rPr>
          <w:rFonts w:hint="eastAsia" w:ascii="Times New Roman" w:hAnsi="Times New Roman" w:eastAsia="仿宋" w:cs="Times New Roman"/>
          <w:sz w:val="28"/>
          <w:szCs w:val="28"/>
        </w:rPr>
        <w:t>。</w:t>
      </w:r>
    </w:p>
    <w:p>
      <w:pPr>
        <w:adjustRightInd w:val="0"/>
        <w:snapToGrid w:val="0"/>
        <w:spacing w:line="360" w:lineRule="auto"/>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我</w:t>
      </w:r>
      <w:r>
        <w:rPr>
          <w:rFonts w:hint="eastAsia" w:ascii="Times New Roman" w:hAnsi="Times New Roman" w:eastAsia="仿宋" w:cs="Times New Roman"/>
          <w:color w:val="000000"/>
          <w:sz w:val="28"/>
          <w:szCs w:val="28"/>
          <w:shd w:val="clear" w:color="auto" w:fill="FFFFFF"/>
        </w:rPr>
        <w:t>单位</w:t>
      </w:r>
      <w:r>
        <w:rPr>
          <w:rFonts w:ascii="Times New Roman" w:hAnsi="Times New Roman" w:eastAsia="仿宋" w:cs="Times New Roman"/>
          <w:color w:val="000000"/>
          <w:sz w:val="28"/>
          <w:szCs w:val="28"/>
        </w:rPr>
        <w:t>20</w:t>
      </w:r>
      <w:r>
        <w:rPr>
          <w:rFonts w:hint="eastAsia" w:ascii="Times New Roman" w:hAnsi="Times New Roman" w:eastAsia="仿宋" w:cs="Times New Roman"/>
          <w:color w:val="000000"/>
          <w:sz w:val="28"/>
          <w:szCs w:val="28"/>
        </w:rPr>
        <w:t>21</w:t>
      </w:r>
      <w:r>
        <w:rPr>
          <w:rFonts w:ascii="Times New Roman" w:hAnsi="Times New Roman" w:eastAsia="仿宋" w:cs="Times New Roman"/>
          <w:color w:val="000000"/>
          <w:sz w:val="28"/>
          <w:szCs w:val="28"/>
          <w:shd w:val="clear" w:color="auto" w:fill="FFFFFF"/>
        </w:rPr>
        <w:t>年</w:t>
      </w:r>
      <w:r>
        <w:rPr>
          <w:rFonts w:hint="eastAsia" w:ascii="Times New Roman" w:hAnsi="Times New Roman" w:eastAsia="仿宋" w:cs="Times New Roman"/>
          <w:color w:val="000000"/>
          <w:sz w:val="28"/>
          <w:szCs w:val="28"/>
          <w:shd w:val="clear" w:color="auto" w:fill="FFFFFF"/>
        </w:rPr>
        <w:t>整体</w:t>
      </w:r>
      <w:r>
        <w:rPr>
          <w:rFonts w:ascii="Times New Roman" w:hAnsi="Times New Roman" w:eastAsia="仿宋" w:cs="Times New Roman"/>
          <w:color w:val="000000"/>
          <w:sz w:val="28"/>
          <w:szCs w:val="28"/>
          <w:shd w:val="clear" w:color="auto" w:fill="FFFFFF"/>
        </w:rPr>
        <w:t>支出为</w:t>
      </w:r>
      <w:r>
        <w:rPr>
          <w:rFonts w:hint="eastAsia" w:ascii="仿宋" w:hAnsi="仿宋" w:eastAsia="仿宋"/>
          <w:sz w:val="28"/>
          <w:szCs w:val="28"/>
        </w:rPr>
        <w:t>1118.49</w:t>
      </w:r>
      <w:r>
        <w:rPr>
          <w:rFonts w:hint="eastAsia" w:ascii="Times New Roman" w:hAnsi="Times New Roman" w:eastAsia="仿宋" w:cs="Times New Roman"/>
          <w:color w:val="000000"/>
          <w:sz w:val="28"/>
          <w:szCs w:val="28"/>
          <w:shd w:val="clear" w:color="auto" w:fill="FFFFFF"/>
        </w:rPr>
        <w:t>万元，年末结余和结转302.90万元（人员经费），预算执行率为78.96%。</w:t>
      </w:r>
    </w:p>
    <w:p>
      <w:pPr>
        <w:adjustRightInd w:val="0"/>
        <w:snapToGrid w:val="0"/>
        <w:spacing w:line="360" w:lineRule="auto"/>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1、基本支出情况</w:t>
      </w:r>
    </w:p>
    <w:p>
      <w:pPr>
        <w:adjustRightInd w:val="0"/>
        <w:snapToGrid w:val="0"/>
        <w:spacing w:line="360" w:lineRule="auto"/>
        <w:ind w:firstLine="560" w:firstLineChars="200"/>
        <w:rPr>
          <w:rFonts w:ascii="仿宋" w:hAnsi="仿宋" w:eastAsia="仿宋"/>
          <w:color w:val="000000"/>
          <w:sz w:val="28"/>
          <w:szCs w:val="28"/>
          <w:shd w:val="clear" w:color="auto" w:fill="FFFFFF"/>
        </w:rPr>
      </w:pPr>
      <w:r>
        <w:rPr>
          <w:rFonts w:hint="eastAsia" w:ascii="仿宋" w:hAnsi="仿宋" w:eastAsia="仿宋"/>
          <w:color w:val="000000"/>
          <w:sz w:val="28"/>
          <w:szCs w:val="28"/>
          <w:shd w:val="clear" w:color="auto" w:fill="FFFFFF"/>
        </w:rPr>
        <w:t>基本支出是保障机构正常运转、完成日常工作任务而发生的支出，包括人员经费、一般公用经费和“三公经费”。</w:t>
      </w:r>
    </w:p>
    <w:p>
      <w:pPr>
        <w:adjustRightInd w:val="0"/>
        <w:snapToGrid w:val="0"/>
        <w:spacing w:line="360" w:lineRule="auto"/>
        <w:ind w:firstLine="560" w:firstLineChars="200"/>
        <w:rPr>
          <w:rFonts w:ascii="仿宋" w:hAnsi="仿宋" w:eastAsia="仿宋"/>
          <w:sz w:val="28"/>
          <w:szCs w:val="28"/>
          <w:shd w:val="clear" w:color="auto" w:fill="FFFFFF"/>
        </w:rPr>
      </w:pPr>
      <w:r>
        <w:rPr>
          <w:rFonts w:hint="eastAsia" w:ascii="仿宋" w:hAnsi="仿宋" w:eastAsia="仿宋"/>
          <w:color w:val="000000"/>
          <w:sz w:val="28"/>
          <w:szCs w:val="28"/>
        </w:rPr>
        <w:t>2021</w:t>
      </w:r>
      <w:r>
        <w:rPr>
          <w:rFonts w:hint="eastAsia" w:ascii="仿宋" w:hAnsi="仿宋" w:eastAsia="仿宋"/>
          <w:color w:val="000000"/>
          <w:sz w:val="28"/>
          <w:szCs w:val="28"/>
          <w:shd w:val="clear" w:color="auto" w:fill="FFFFFF"/>
        </w:rPr>
        <w:t>年度本单位人员经费</w:t>
      </w:r>
      <w:r>
        <w:rPr>
          <w:rFonts w:hint="eastAsia" w:ascii="仿宋" w:hAnsi="仿宋" w:eastAsia="仿宋"/>
          <w:color w:val="000000"/>
          <w:sz w:val="28"/>
          <w:szCs w:val="28"/>
        </w:rPr>
        <w:t>677.40</w:t>
      </w:r>
      <w:r>
        <w:rPr>
          <w:rFonts w:hint="eastAsia" w:ascii="仿宋" w:hAnsi="仿宋" w:eastAsia="仿宋"/>
          <w:color w:val="000000"/>
          <w:sz w:val="28"/>
          <w:szCs w:val="28"/>
          <w:shd w:val="clear" w:color="auto" w:fill="FFFFFF"/>
        </w:rPr>
        <w:t>万元,占基本支出比例</w:t>
      </w:r>
      <w:r>
        <w:rPr>
          <w:rFonts w:hint="eastAsia" w:ascii="仿宋" w:hAnsi="仿宋" w:eastAsia="仿宋"/>
          <w:color w:val="000000"/>
          <w:sz w:val="28"/>
          <w:szCs w:val="28"/>
        </w:rPr>
        <w:t>85.71%</w:t>
      </w:r>
      <w:r>
        <w:rPr>
          <w:rFonts w:hint="eastAsia" w:ascii="仿宋" w:hAnsi="仿宋" w:eastAsia="仿宋"/>
          <w:color w:val="000000"/>
          <w:sz w:val="28"/>
          <w:szCs w:val="28"/>
          <w:shd w:val="clear" w:color="auto" w:fill="FFFFFF"/>
        </w:rPr>
        <w:t>，</w:t>
      </w:r>
      <w:r>
        <w:rPr>
          <w:rFonts w:hint="eastAsia" w:ascii="仿宋" w:hAnsi="仿宋" w:eastAsia="仿宋"/>
          <w:color w:val="000000" w:themeColor="text1"/>
          <w:sz w:val="28"/>
          <w:szCs w:val="28"/>
          <w:shd w:val="clear" w:color="auto" w:fill="FFFFFF" w:themeFill="background1"/>
        </w:rPr>
        <w:t>较年初预算下降的主要原因是本年度三项奖金未发放。</w:t>
      </w:r>
      <w:r>
        <w:rPr>
          <w:rFonts w:hint="eastAsia" w:ascii="仿宋" w:hAnsi="仿宋" w:eastAsia="仿宋"/>
          <w:color w:val="000000"/>
          <w:sz w:val="28"/>
          <w:szCs w:val="28"/>
          <w:shd w:val="clear" w:color="auto" w:fill="FFFFFF"/>
        </w:rPr>
        <w:t>一般公用经费支出</w:t>
      </w:r>
      <w:r>
        <w:rPr>
          <w:rFonts w:hint="eastAsia" w:ascii="仿宋" w:hAnsi="仿宋" w:eastAsia="仿宋"/>
          <w:color w:val="000000"/>
          <w:sz w:val="28"/>
          <w:szCs w:val="28"/>
        </w:rPr>
        <w:t>112.96</w:t>
      </w:r>
      <w:r>
        <w:rPr>
          <w:rFonts w:hint="eastAsia" w:ascii="仿宋" w:hAnsi="仿宋" w:eastAsia="仿宋"/>
          <w:color w:val="000000"/>
          <w:sz w:val="28"/>
          <w:szCs w:val="28"/>
          <w:shd w:val="clear" w:color="auto" w:fill="FFFFFF"/>
        </w:rPr>
        <w:t>万元，占基本支出比例</w:t>
      </w:r>
      <w:r>
        <w:rPr>
          <w:rFonts w:hint="eastAsia" w:ascii="仿宋" w:hAnsi="仿宋" w:eastAsia="仿宋"/>
          <w:color w:val="000000"/>
          <w:sz w:val="28"/>
          <w:szCs w:val="28"/>
        </w:rPr>
        <w:t>14.29%</w:t>
      </w:r>
      <w:r>
        <w:rPr>
          <w:rFonts w:hint="eastAsia" w:ascii="仿宋" w:hAnsi="仿宋" w:eastAsia="仿宋"/>
          <w:color w:val="000000"/>
          <w:sz w:val="28"/>
          <w:szCs w:val="28"/>
          <w:shd w:val="clear" w:color="auto" w:fill="FFFFFF"/>
        </w:rPr>
        <w:t>。</w:t>
      </w:r>
      <w:r>
        <w:rPr>
          <w:rFonts w:hint="eastAsia" w:ascii="仿宋" w:hAnsi="仿宋" w:eastAsia="仿宋"/>
          <w:color w:val="000000"/>
          <w:sz w:val="28"/>
          <w:szCs w:val="28"/>
          <w:shd w:val="clear" w:color="auto" w:fill="FFFFFF" w:themeFill="background1"/>
        </w:rPr>
        <w:t>本年度一般公用支出与调整后的预算一致。2021年初预算安排</w:t>
      </w:r>
      <w:r>
        <w:rPr>
          <w:rFonts w:hint="eastAsia" w:ascii="仿宋" w:hAnsi="仿宋" w:eastAsia="仿宋"/>
          <w:color w:val="000000"/>
          <w:sz w:val="28"/>
          <w:szCs w:val="28"/>
          <w:shd w:val="clear" w:color="auto" w:fill="FFFFFF"/>
        </w:rPr>
        <w:t>“三公”经费9.91万元，本年度“三公”经费支出共计5.40万元，较年初预算减少4.51万元，降低45.51%。其中：因公出国（境）费支出0万元，较年初预算增加/减少0万元，增加/下降百分比为0%，主要是2021年初预算未安排出国（境）费用。公务接待费支出0万元，较年初预算增减少1.11万元，下降百分比为100</w:t>
      </w:r>
      <w:r>
        <w:rPr>
          <w:rFonts w:ascii="仿宋" w:hAnsi="仿宋" w:eastAsia="仿宋"/>
          <w:color w:val="000000"/>
          <w:sz w:val="28"/>
          <w:szCs w:val="28"/>
          <w:shd w:val="clear" w:color="auto" w:fill="FFFFFF"/>
        </w:rPr>
        <w:t>%,</w:t>
      </w:r>
      <w:r>
        <w:rPr>
          <w:rFonts w:hint="eastAsia" w:ascii="仿宋" w:hAnsi="仿宋" w:eastAsia="仿宋"/>
          <w:color w:val="000000"/>
          <w:sz w:val="28"/>
          <w:szCs w:val="28"/>
          <w:shd w:val="clear" w:color="auto" w:fill="FFFFFF"/>
        </w:rPr>
        <w:t>主要是认真贯彻落实中央</w:t>
      </w:r>
      <w:r>
        <w:rPr>
          <w:rFonts w:hint="eastAsia" w:ascii="仿宋" w:hAnsi="仿宋" w:eastAsia="仿宋"/>
          <w:color w:val="000000"/>
          <w:sz w:val="28"/>
          <w:szCs w:val="28"/>
          <w:shd w:val="clear" w:color="auto" w:fill="FFFFFF"/>
          <w:lang w:eastAsia="zh-CN"/>
        </w:rPr>
        <w:t>八项规定</w:t>
      </w:r>
      <w:bookmarkStart w:id="1" w:name="_GoBack"/>
      <w:bookmarkEnd w:id="1"/>
      <w:r>
        <w:rPr>
          <w:rFonts w:hint="eastAsia" w:ascii="仿宋" w:hAnsi="仿宋" w:eastAsia="仿宋"/>
          <w:color w:val="000000"/>
          <w:sz w:val="28"/>
          <w:szCs w:val="28"/>
          <w:shd w:val="clear" w:color="auto" w:fill="FFFFFF"/>
        </w:rPr>
        <w:t>精神和厉行节约要求，严格控制招待费支出。公务用车购置及运行维护费支出5.40万元，其中，公务用车购置费0万元，公务用车运行维护费5.40万元，较年初预算减少3.40万元，下降百分比为38.64%。</w:t>
      </w:r>
    </w:p>
    <w:p>
      <w:pPr>
        <w:ind w:firstLine="560" w:firstLineChars="200"/>
        <w:rPr>
          <w:rFonts w:ascii="仿宋" w:hAnsi="仿宋" w:eastAsia="仿宋" w:cs="Times New Roman"/>
          <w:color w:val="000000"/>
          <w:sz w:val="28"/>
          <w:szCs w:val="28"/>
          <w:shd w:val="clear" w:color="auto" w:fill="FFFFFF"/>
        </w:rPr>
      </w:pPr>
      <w:r>
        <w:rPr>
          <w:rFonts w:hint="eastAsia" w:ascii="仿宋" w:hAnsi="仿宋" w:eastAsia="仿宋" w:cs="Times New Roman"/>
          <w:color w:val="000000"/>
          <w:sz w:val="28"/>
          <w:szCs w:val="28"/>
          <w:shd w:val="clear" w:color="auto" w:fill="FFFFFF"/>
        </w:rPr>
        <w:t>2、项目支出情况</w:t>
      </w:r>
    </w:p>
    <w:p>
      <w:pPr>
        <w:ind w:firstLine="560" w:firstLineChars="200"/>
        <w:rPr>
          <w:rFonts w:ascii="仿宋" w:hAnsi="仿宋"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项目支出是在基本支出之外为完成特定的行政工作任务而发生的支出</w:t>
      </w:r>
      <w:r>
        <w:rPr>
          <w:rFonts w:hint="eastAsia" w:ascii="仿宋" w:hAnsi="仿宋" w:eastAsia="仿宋" w:cs="Times New Roman"/>
          <w:color w:val="000000"/>
          <w:sz w:val="28"/>
          <w:szCs w:val="28"/>
          <w:shd w:val="clear" w:color="auto" w:fill="FFFFFF"/>
        </w:rPr>
        <w:t>，</w:t>
      </w:r>
      <w:r>
        <w:rPr>
          <w:rFonts w:ascii="仿宋" w:hAnsi="仿宋" w:eastAsia="仿宋" w:cs="Times New Roman"/>
          <w:color w:val="000000"/>
          <w:sz w:val="28"/>
          <w:szCs w:val="28"/>
          <w:shd w:val="clear" w:color="auto" w:fill="FFFFFF"/>
        </w:rPr>
        <w:t>主要用于业务工作专项、运行维护专项等。</w:t>
      </w:r>
    </w:p>
    <w:p>
      <w:pPr>
        <w:ind w:firstLine="560" w:firstLineChars="200"/>
        <w:rPr>
          <w:rFonts w:ascii="Times New Roman" w:hAnsi="Times New Roman" w:eastAsia="仿宋" w:cs="Times New Roman"/>
          <w:color w:val="000000"/>
          <w:sz w:val="28"/>
          <w:szCs w:val="28"/>
          <w:shd w:val="clear" w:color="auto" w:fill="FFFFFF"/>
        </w:rPr>
      </w:pPr>
      <w:r>
        <w:rPr>
          <w:rFonts w:ascii="仿宋" w:hAnsi="仿宋" w:eastAsia="仿宋" w:cs="Times New Roman"/>
          <w:color w:val="000000"/>
          <w:sz w:val="28"/>
          <w:szCs w:val="28"/>
          <w:shd w:val="clear" w:color="auto" w:fill="FFFFFF"/>
        </w:rPr>
        <w:t>我单位</w:t>
      </w:r>
      <w:r>
        <w:rPr>
          <w:rFonts w:hint="eastAsia" w:ascii="仿宋" w:hAnsi="仿宋" w:eastAsia="仿宋" w:cs="Times New Roman"/>
          <w:color w:val="000000"/>
          <w:sz w:val="28"/>
          <w:szCs w:val="28"/>
          <w:shd w:val="clear" w:color="auto" w:fill="FFFFFF"/>
        </w:rPr>
        <w:t>2021</w:t>
      </w:r>
      <w:r>
        <w:rPr>
          <w:rFonts w:ascii="仿宋" w:hAnsi="仿宋" w:eastAsia="仿宋" w:cs="Times New Roman"/>
          <w:color w:val="000000"/>
          <w:sz w:val="28"/>
          <w:szCs w:val="28"/>
          <w:shd w:val="clear" w:color="auto" w:fill="FFFFFF"/>
        </w:rPr>
        <w:t>年度</w:t>
      </w:r>
      <w:r>
        <w:rPr>
          <w:rFonts w:hint="eastAsia" w:ascii="仿宋" w:hAnsi="仿宋" w:eastAsia="仿宋" w:cs="Times New Roman"/>
          <w:color w:val="000000"/>
          <w:sz w:val="28"/>
          <w:szCs w:val="28"/>
          <w:shd w:val="clear" w:color="auto" w:fill="FFFFFF"/>
        </w:rPr>
        <w:t>项目经费支出328.13万元，包含</w:t>
      </w:r>
      <w:r>
        <w:rPr>
          <w:rFonts w:hint="eastAsia" w:ascii="仿宋" w:hAnsi="仿宋" w:eastAsia="仿宋" w:cs="Times New Roman"/>
          <w:sz w:val="28"/>
          <w:szCs w:val="28"/>
          <w:shd w:val="clear" w:color="auto" w:fill="FFFFFF"/>
        </w:rPr>
        <w:t>17</w:t>
      </w:r>
      <w:r>
        <w:rPr>
          <w:rFonts w:ascii="仿宋" w:hAnsi="仿宋" w:eastAsia="仿宋" w:cs="Times New Roman"/>
          <w:color w:val="000000"/>
          <w:sz w:val="28"/>
          <w:szCs w:val="28"/>
          <w:shd w:val="clear" w:color="auto" w:fill="FFFFFF"/>
        </w:rPr>
        <w:t>个项目</w:t>
      </w:r>
      <w:r>
        <w:rPr>
          <w:rFonts w:hint="eastAsia" w:ascii="仿宋" w:hAnsi="仿宋"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其中：一个市级重点项目</w:t>
      </w:r>
      <w:r>
        <w:rPr>
          <w:rFonts w:hint="eastAsia" w:ascii="Times New Roman" w:hAnsi="Times New Roman" w:eastAsia="仿宋" w:cs="Times New Roman"/>
          <w:color w:val="000000"/>
          <w:sz w:val="28"/>
          <w:szCs w:val="28"/>
          <w:shd w:val="clear" w:color="auto" w:fill="FFFFFF"/>
        </w:rPr>
        <w:t>：科普经费，支出220.84</w:t>
      </w:r>
      <w:r>
        <w:rPr>
          <w:rFonts w:ascii="Times New Roman" w:hAnsi="Times New Roman" w:eastAsia="仿宋" w:cs="Times New Roman"/>
          <w:color w:val="000000"/>
          <w:sz w:val="28"/>
          <w:szCs w:val="28"/>
          <w:shd w:val="clear" w:color="auto" w:fill="FFFFFF"/>
        </w:rPr>
        <w:t>万元；</w:t>
      </w:r>
      <w:r>
        <w:rPr>
          <w:rFonts w:hint="eastAsia" w:ascii="Times New Roman" w:hAnsi="Times New Roman" w:eastAsia="仿宋" w:cs="Times New Roman"/>
          <w:color w:val="000000"/>
          <w:sz w:val="28"/>
          <w:szCs w:val="28"/>
          <w:shd w:val="clear" w:color="auto" w:fill="FFFFFF"/>
        </w:rPr>
        <w:t>16</w:t>
      </w:r>
      <w:r>
        <w:rPr>
          <w:rFonts w:ascii="Times New Roman" w:hAnsi="Times New Roman" w:eastAsia="仿宋" w:cs="Times New Roman"/>
          <w:color w:val="000000"/>
          <w:sz w:val="28"/>
          <w:szCs w:val="28"/>
          <w:shd w:val="clear" w:color="auto" w:fill="FFFFFF"/>
        </w:rPr>
        <w:t>个</w:t>
      </w:r>
      <w:r>
        <w:rPr>
          <w:rFonts w:hint="eastAsia" w:ascii="Times New Roman" w:hAnsi="Times New Roman" w:eastAsia="仿宋" w:cs="Times New Roman"/>
          <w:color w:val="000000"/>
          <w:sz w:val="28"/>
          <w:szCs w:val="28"/>
          <w:shd w:val="clear" w:color="auto" w:fill="FFFFFF"/>
        </w:rPr>
        <w:t>一般</w:t>
      </w:r>
      <w:r>
        <w:rPr>
          <w:rFonts w:ascii="Times New Roman" w:hAnsi="Times New Roman" w:eastAsia="仿宋" w:cs="Times New Roman"/>
          <w:color w:val="000000"/>
          <w:sz w:val="28"/>
          <w:szCs w:val="28"/>
          <w:shd w:val="clear" w:color="auto" w:fill="FFFFFF"/>
        </w:rPr>
        <w:t>项目，</w:t>
      </w:r>
      <w:r>
        <w:rPr>
          <w:rFonts w:hint="eastAsia" w:ascii="Times New Roman" w:hAnsi="Times New Roman" w:eastAsia="仿宋" w:cs="Times New Roman"/>
          <w:color w:val="000000"/>
          <w:sz w:val="28"/>
          <w:szCs w:val="28"/>
          <w:shd w:val="clear" w:color="auto" w:fill="FFFFFF"/>
        </w:rPr>
        <w:t>支出107.29</w:t>
      </w:r>
      <w:r>
        <w:rPr>
          <w:rFonts w:ascii="Times New Roman" w:hAnsi="Times New Roman" w:eastAsia="仿宋" w:cs="Times New Roman"/>
          <w:color w:val="000000"/>
          <w:sz w:val="28"/>
          <w:szCs w:val="28"/>
          <w:shd w:val="clear" w:color="auto" w:fill="FFFFFF"/>
        </w:rPr>
        <w:t>万元</w:t>
      </w:r>
      <w:r>
        <w:rPr>
          <w:rFonts w:hint="eastAsia" w:ascii="Times New Roman" w:hAnsi="Times New Roman" w:eastAsia="仿宋" w:cs="Times New Roman"/>
          <w:color w:val="000000"/>
          <w:sz w:val="28"/>
          <w:szCs w:val="28"/>
          <w:shd w:val="clear" w:color="auto" w:fill="FFFFFF"/>
        </w:rPr>
        <w:t>。项目经费预算执行率为100%。具体支出情况见《项目资金支出明细及自评得分表》。</w:t>
      </w:r>
    </w:p>
    <w:p>
      <w:pPr>
        <w:jc w:val="center"/>
        <w:rPr>
          <w:rFonts w:ascii="Times New Roman" w:hAnsi="Times New Roman" w:eastAsia="仿宋" w:cs="Times New Roman"/>
          <w:color w:val="000000"/>
          <w:sz w:val="28"/>
          <w:szCs w:val="28"/>
          <w:shd w:val="clear" w:color="auto" w:fill="FFFFFF"/>
        </w:rPr>
      </w:pPr>
    </w:p>
    <w:p>
      <w:pPr>
        <w:jc w:val="center"/>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项目资金支出明细及自评得分表</w:t>
      </w:r>
    </w:p>
    <w:tbl>
      <w:tblPr>
        <w:tblStyle w:val="10"/>
        <w:tblW w:w="8306" w:type="dxa"/>
        <w:tblInd w:w="0" w:type="dxa"/>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
      <w:tblGrid>
        <w:gridCol w:w="1057"/>
        <w:gridCol w:w="2028"/>
        <w:gridCol w:w="1026"/>
        <w:gridCol w:w="1447"/>
        <w:gridCol w:w="1374"/>
        <w:gridCol w:w="1374"/>
      </w:tblGrid>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rPr>
          <w:tblHeader/>
        </w:trPr>
        <w:tc>
          <w:tcPr>
            <w:tcW w:w="1057"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序号</w:t>
            </w:r>
          </w:p>
        </w:tc>
        <w:tc>
          <w:tcPr>
            <w:tcW w:w="2028"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项目名称</w:t>
            </w:r>
          </w:p>
        </w:tc>
        <w:tc>
          <w:tcPr>
            <w:tcW w:w="1026"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项目内容</w:t>
            </w:r>
          </w:p>
        </w:tc>
        <w:tc>
          <w:tcPr>
            <w:tcW w:w="1447"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分配资金</w:t>
            </w:r>
          </w:p>
        </w:tc>
        <w:tc>
          <w:tcPr>
            <w:tcW w:w="1374"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绩效目标</w:t>
            </w:r>
          </w:p>
        </w:tc>
        <w:tc>
          <w:tcPr>
            <w:tcW w:w="1374" w:type="dxa"/>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综合得分</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科普经费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220.84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2</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党组织活动经费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3.12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3</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办公设备经费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5.93</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4</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科技工作者之家建设</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4.6</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98</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5</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全民素质经费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6</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公务用车租赁经费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4.38</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7</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普法经费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8</w:t>
            </w:r>
          </w:p>
        </w:tc>
        <w:tc>
          <w:tcPr>
            <w:tcW w:w="2028" w:type="dxa"/>
            <w:vAlign w:val="center"/>
          </w:tcPr>
          <w:p>
            <w:pP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老科技工作者协会经费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27</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9</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青少年计算机大赛</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7.32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国际交流经费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92</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11</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学术活动、专家建议、专家联谊经费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4.5</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12</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各学会（协会、研究会）经费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7.2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96</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r>
              <w:rPr>
                <w:rFonts w:hint="eastAsia" w:ascii="Times New Roman" w:hAnsi="Times New Roman" w:eastAsia="仿宋" w:cs="Times New Roman"/>
                <w:color w:val="000000"/>
                <w:sz w:val="18"/>
                <w:szCs w:val="18"/>
                <w:shd w:val="clear" w:color="auto" w:fill="FFFFFF"/>
              </w:rPr>
              <w:t>3</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党组织活动经费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0.46</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85</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r>
              <w:rPr>
                <w:rFonts w:hint="eastAsia" w:ascii="Times New Roman" w:hAnsi="Times New Roman" w:eastAsia="仿宋" w:cs="Times New Roman"/>
                <w:color w:val="000000"/>
                <w:sz w:val="18"/>
                <w:szCs w:val="18"/>
                <w:shd w:val="clear" w:color="auto" w:fill="FFFFFF"/>
              </w:rPr>
              <w:t>4</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公务用车租赁经费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4.38</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100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r>
              <w:rPr>
                <w:rFonts w:hint="eastAsia" w:ascii="Times New Roman" w:hAnsi="Times New Roman" w:eastAsia="仿宋" w:cs="Times New Roman"/>
                <w:color w:val="000000"/>
                <w:sz w:val="18"/>
                <w:szCs w:val="18"/>
                <w:shd w:val="clear" w:color="auto" w:fill="FFFFFF"/>
              </w:rPr>
              <w:t>5</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科普讲座及专家咨询</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5.4</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ascii="Times New Roman" w:hAnsi="Times New Roman" w:eastAsia="仿宋" w:cs="Times New Roman"/>
                <w:color w:val="000000"/>
                <w:sz w:val="18"/>
                <w:szCs w:val="18"/>
                <w:shd w:val="clear" w:color="auto" w:fill="FFFFFF"/>
              </w:rPr>
              <w:t>1</w:t>
            </w:r>
            <w:r>
              <w:rPr>
                <w:rFonts w:hint="eastAsia" w:ascii="Times New Roman" w:hAnsi="Times New Roman" w:eastAsia="仿宋" w:cs="Times New Roman"/>
                <w:color w:val="000000"/>
                <w:sz w:val="18"/>
                <w:szCs w:val="18"/>
                <w:shd w:val="clear" w:color="auto" w:fill="FFFFFF"/>
              </w:rPr>
              <w:t>6</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科学教育培训经费</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5.82</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90</w:t>
            </w:r>
          </w:p>
        </w:tc>
      </w:tr>
      <w:tr>
        <w:tblPrEx>
          <w:tblBorders>
            <w:top w:val="single" w:color="auto" w:sz="8" w:space="0"/>
            <w:left w:val="none" w:color="auto" w:sz="0" w:space="0"/>
            <w:bottom w:val="single" w:color="auto" w:sz="8" w:space="0"/>
            <w:right w:val="none" w:color="auto" w:sz="0" w:space="0"/>
            <w:insideH w:val="dotted" w:color="auto" w:sz="4" w:space="0"/>
            <w:insideV w:val="dotted" w:color="auto" w:sz="4" w:space="0"/>
          </w:tblBorders>
          <w:tblLayout w:type="fixed"/>
          <w:tblCellMar>
            <w:top w:w="0" w:type="dxa"/>
            <w:left w:w="108" w:type="dxa"/>
            <w:bottom w:w="0" w:type="dxa"/>
            <w:right w:w="108" w:type="dxa"/>
          </w:tblCellMar>
        </w:tblPrEx>
        <w:tc>
          <w:tcPr>
            <w:tcW w:w="105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17</w:t>
            </w:r>
          </w:p>
        </w:tc>
        <w:tc>
          <w:tcPr>
            <w:tcW w:w="2028"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专业技术人员实用技术教育培训</w:t>
            </w:r>
          </w:p>
        </w:tc>
        <w:tc>
          <w:tcPr>
            <w:tcW w:w="1026" w:type="dxa"/>
            <w:vAlign w:val="center"/>
          </w:tcPr>
          <w:p>
            <w:pPr>
              <w:jc w:val="center"/>
              <w:rPr>
                <w:rFonts w:ascii="Times New Roman" w:hAnsi="Times New Roman" w:eastAsia="仿宋" w:cs="Times New Roman"/>
                <w:color w:val="000000"/>
                <w:sz w:val="18"/>
                <w:szCs w:val="18"/>
                <w:shd w:val="clear" w:color="auto" w:fill="FFFFFF"/>
              </w:rPr>
            </w:pPr>
          </w:p>
        </w:tc>
        <w:tc>
          <w:tcPr>
            <w:tcW w:w="1447"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w:t>
            </w:r>
          </w:p>
        </w:tc>
        <w:tc>
          <w:tcPr>
            <w:tcW w:w="1374" w:type="dxa"/>
            <w:vAlign w:val="center"/>
          </w:tcPr>
          <w:p>
            <w:pPr>
              <w:jc w:val="center"/>
              <w:rPr>
                <w:rFonts w:ascii="Times New Roman" w:hAnsi="Times New Roman" w:eastAsia="仿宋" w:cs="Times New Roman"/>
                <w:color w:val="000000"/>
                <w:sz w:val="18"/>
                <w:szCs w:val="18"/>
                <w:shd w:val="clear" w:color="auto" w:fill="FFFFFF"/>
              </w:rPr>
            </w:pPr>
          </w:p>
        </w:tc>
        <w:tc>
          <w:tcPr>
            <w:tcW w:w="1374" w:type="dxa"/>
            <w:vAlign w:val="center"/>
          </w:tcPr>
          <w:p>
            <w:pPr>
              <w:jc w:val="center"/>
              <w:rPr>
                <w:rFonts w:ascii="Times New Roman" w:hAnsi="Times New Roman" w:eastAsia="仿宋" w:cs="Times New Roman"/>
                <w:color w:val="000000"/>
                <w:sz w:val="18"/>
                <w:szCs w:val="18"/>
                <w:shd w:val="clear" w:color="auto" w:fill="FFFFFF"/>
              </w:rPr>
            </w:pPr>
            <w:r>
              <w:rPr>
                <w:rFonts w:hint="eastAsia" w:ascii="Times New Roman" w:hAnsi="Times New Roman" w:eastAsia="仿宋" w:cs="Times New Roman"/>
                <w:color w:val="000000"/>
                <w:sz w:val="18"/>
                <w:szCs w:val="18"/>
                <w:shd w:val="clear" w:color="auto" w:fill="FFFFFF"/>
              </w:rPr>
              <w:t>95</w:t>
            </w:r>
          </w:p>
        </w:tc>
      </w:tr>
    </w:tbl>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3、评价结论</w:t>
      </w:r>
    </w:p>
    <w:p>
      <w:pPr>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20</w:t>
      </w:r>
      <w:r>
        <w:rPr>
          <w:rFonts w:hint="eastAsia" w:ascii="Times New Roman" w:hAnsi="Times New Roman" w:eastAsia="仿宋" w:cs="Times New Roman"/>
          <w:color w:val="000000"/>
          <w:sz w:val="28"/>
          <w:szCs w:val="28"/>
          <w:shd w:val="clear" w:color="auto" w:fill="FFFFFF"/>
        </w:rPr>
        <w:t>21</w:t>
      </w:r>
      <w:r>
        <w:rPr>
          <w:rFonts w:ascii="Times New Roman" w:hAnsi="Times New Roman" w:eastAsia="仿宋" w:cs="Times New Roman"/>
          <w:color w:val="000000"/>
          <w:sz w:val="28"/>
          <w:szCs w:val="28"/>
          <w:shd w:val="clear" w:color="auto" w:fill="FFFFFF"/>
        </w:rPr>
        <w:t>年我</w:t>
      </w:r>
      <w:r>
        <w:rPr>
          <w:rFonts w:hint="eastAsia" w:ascii="Times New Roman" w:hAnsi="Times New Roman" w:eastAsia="仿宋" w:cs="Times New Roman"/>
          <w:color w:val="000000"/>
          <w:sz w:val="28"/>
          <w:szCs w:val="28"/>
          <w:shd w:val="clear" w:color="auto" w:fill="FFFFFF"/>
        </w:rPr>
        <w:t>单位</w:t>
      </w:r>
      <w:r>
        <w:rPr>
          <w:rFonts w:ascii="Times New Roman" w:hAnsi="Times New Roman" w:eastAsia="仿宋" w:cs="Times New Roman"/>
          <w:color w:val="000000"/>
          <w:sz w:val="28"/>
          <w:szCs w:val="28"/>
          <w:shd w:val="clear" w:color="auto" w:fill="FFFFFF"/>
        </w:rPr>
        <w:t>积极履职，通过加强预算收支管理，不断梳理内部管理流程，建立健全内部管理制度，部门整体支出管理水平得到提升</w:t>
      </w:r>
      <w:r>
        <w:rPr>
          <w:rFonts w:hint="eastAsia" w:ascii="Times New Roman" w:hAnsi="Times New Roman" w:eastAsia="仿宋" w:cs="Times New Roman"/>
          <w:color w:val="000000"/>
          <w:sz w:val="28"/>
          <w:szCs w:val="28"/>
          <w:shd w:val="clear" w:color="auto" w:fill="FFFFFF"/>
        </w:rPr>
        <w:t>。经自评，17个项目自评得分均在90分以上，</w:t>
      </w:r>
      <w:r>
        <w:rPr>
          <w:rFonts w:ascii="Times New Roman" w:hAnsi="Times New Roman" w:eastAsia="仿宋" w:cs="Times New Roman"/>
          <w:color w:val="000000"/>
          <w:sz w:val="28"/>
          <w:szCs w:val="28"/>
          <w:shd w:val="clear" w:color="auto" w:fill="FFFFFF"/>
        </w:rPr>
        <w:t>较好的完成了年度工作目标</w:t>
      </w:r>
      <w:r>
        <w:rPr>
          <w:rFonts w:hint="eastAsia" w:ascii="Times New Roman" w:hAnsi="Times New Roman" w:eastAsia="仿宋" w:cs="Times New Roman"/>
          <w:color w:val="000000"/>
          <w:sz w:val="28"/>
          <w:szCs w:val="28"/>
          <w:shd w:val="clear" w:color="auto" w:fill="FFFFFF"/>
        </w:rPr>
        <w:t>，综合评价等级为“优秀”</w:t>
      </w:r>
      <w:r>
        <w:rPr>
          <w:rFonts w:ascii="Times New Roman" w:hAnsi="Times New Roman" w:eastAsia="仿宋" w:cs="Times New Roman"/>
          <w:color w:val="000000"/>
          <w:sz w:val="28"/>
          <w:szCs w:val="28"/>
          <w:shd w:val="clear" w:color="auto" w:fill="FFFFFF"/>
        </w:rPr>
        <w:t>。</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三、绩效目标设定质量情况分析</w:t>
      </w:r>
    </w:p>
    <w:p>
      <w:pPr>
        <w:ind w:firstLine="560" w:firstLineChars="200"/>
        <w:rPr>
          <w:rFonts w:ascii="Times New Roman" w:hAnsi="Times New Roman" w:eastAsia="仿宋" w:cs="Times New Roman"/>
          <w:color w:val="000000"/>
          <w:sz w:val="28"/>
          <w:szCs w:val="28"/>
          <w:shd w:val="clear" w:color="auto" w:fill="FFFFFF"/>
        </w:rPr>
      </w:pPr>
      <w:r>
        <w:rPr>
          <w:rFonts w:ascii="Times New Roman" w:hAnsi="Times New Roman" w:eastAsia="仿宋" w:cs="Times New Roman"/>
          <w:color w:val="000000"/>
          <w:sz w:val="28"/>
          <w:szCs w:val="28"/>
          <w:shd w:val="clear" w:color="auto" w:fill="FFFFFF"/>
        </w:rPr>
        <w:t>我单位在设置总体目标和具体绩效</w:t>
      </w:r>
      <w:r>
        <w:rPr>
          <w:rFonts w:hint="eastAsia" w:ascii="Times New Roman" w:hAnsi="Times New Roman" w:eastAsia="仿宋" w:cs="Times New Roman"/>
          <w:color w:val="000000"/>
          <w:sz w:val="28"/>
          <w:szCs w:val="28"/>
          <w:shd w:val="clear" w:color="auto" w:fill="FFFFFF"/>
        </w:rPr>
        <w:t>指标</w:t>
      </w:r>
      <w:r>
        <w:rPr>
          <w:rFonts w:ascii="Times New Roman" w:hAnsi="Times New Roman" w:eastAsia="仿宋" w:cs="Times New Roman"/>
          <w:color w:val="000000"/>
          <w:sz w:val="28"/>
          <w:szCs w:val="28"/>
          <w:shd w:val="clear" w:color="auto" w:fill="FFFFFF"/>
        </w:rPr>
        <w:t>时，牢牢把握关联性、可控性、可实施性，精准性，可衡量和低成本的原则，根据</w:t>
      </w:r>
      <w:r>
        <w:rPr>
          <w:rFonts w:hint="eastAsia" w:ascii="Times New Roman" w:hAnsi="Times New Roman" w:eastAsia="仿宋" w:cs="Times New Roman"/>
          <w:color w:val="000000"/>
          <w:sz w:val="28"/>
          <w:szCs w:val="28"/>
          <w:shd w:val="clear" w:color="auto" w:fill="FFFFFF"/>
        </w:rPr>
        <w:t>各项预算</w:t>
      </w:r>
      <w:r>
        <w:rPr>
          <w:rFonts w:ascii="Times New Roman" w:hAnsi="Times New Roman" w:eastAsia="仿宋" w:cs="Times New Roman"/>
          <w:color w:val="000000"/>
          <w:sz w:val="28"/>
          <w:szCs w:val="28"/>
          <w:shd w:val="clear" w:color="auto" w:fill="FFFFFF"/>
        </w:rPr>
        <w:t>特点设置相应绩效目标</w:t>
      </w:r>
      <w:r>
        <w:rPr>
          <w:rFonts w:hint="eastAsia" w:ascii="Times New Roman" w:hAnsi="Times New Roman" w:eastAsia="仿宋" w:cs="Times New Roman"/>
          <w:color w:val="000000"/>
          <w:sz w:val="28"/>
          <w:szCs w:val="28"/>
          <w:shd w:val="clear" w:color="auto" w:fill="FFFFFF"/>
        </w:rPr>
        <w:t>。但由于绩效目标管理经验不足，导致预算绩效目标设置和绩效指标编制水平有待进一步提高。</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例如：部分绩效指标设定不易量化，只能用定性方法考核，造成评分具有一定主观性。</w:t>
      </w:r>
    </w:p>
    <w:p>
      <w:pPr>
        <w:ind w:firstLine="560" w:firstLineChars="200"/>
        <w:rPr>
          <w:rFonts w:ascii="黑体" w:hAnsi="黑体" w:eastAsia="黑体" w:cs="Times New Roman"/>
          <w:color w:val="000000"/>
          <w:sz w:val="28"/>
          <w:szCs w:val="28"/>
          <w:shd w:val="clear" w:color="auto" w:fill="FFFFFF"/>
        </w:rPr>
      </w:pPr>
      <w:r>
        <w:rPr>
          <w:rFonts w:ascii="黑体" w:hAnsi="黑体" w:eastAsia="黑体" w:cs="Times New Roman"/>
          <w:color w:val="000000"/>
          <w:sz w:val="28"/>
          <w:szCs w:val="28"/>
          <w:shd w:val="clear" w:color="auto" w:fill="FFFFFF"/>
        </w:rPr>
        <w:t>四、整改措施</w:t>
      </w:r>
      <w:r>
        <w:rPr>
          <w:rFonts w:hint="eastAsia" w:ascii="黑体" w:hAnsi="黑体" w:eastAsia="黑体" w:cs="Times New Roman"/>
          <w:color w:val="000000"/>
          <w:sz w:val="28"/>
          <w:szCs w:val="28"/>
          <w:shd w:val="clear" w:color="auto" w:fill="FFFFFF"/>
        </w:rPr>
        <w:t>及结果应用</w:t>
      </w:r>
    </w:p>
    <w:p>
      <w:pPr>
        <w:ind w:firstLine="562" w:firstLineChars="200"/>
        <w:rPr>
          <w:rFonts w:ascii="Times New Roman" w:hAnsi="Times New Roman" w:eastAsia="仿宋" w:cs="Times New Roman"/>
          <w:b/>
          <w:bCs/>
          <w:color w:val="000000"/>
          <w:sz w:val="28"/>
          <w:szCs w:val="28"/>
          <w:shd w:val="clear" w:color="auto" w:fill="FFFFFF"/>
        </w:rPr>
      </w:pPr>
      <w:r>
        <w:rPr>
          <w:rFonts w:hint="eastAsia" w:ascii="Times New Roman" w:hAnsi="Times New Roman" w:eastAsia="仿宋" w:cs="Times New Roman"/>
          <w:b/>
          <w:bCs/>
          <w:color w:val="000000"/>
          <w:sz w:val="28"/>
          <w:szCs w:val="28"/>
          <w:shd w:val="clear" w:color="auto" w:fill="FFFFFF"/>
        </w:rPr>
        <w:t>（一）整改措施</w:t>
      </w:r>
    </w:p>
    <w:p>
      <w:pPr>
        <w:ind w:firstLine="560" w:firstLineChars="200"/>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1、在工作中根据不断出现的新情况和发现的新问题，逐步完善项目绩效评价管理体系，进一步提高项目绩效管理水平；</w:t>
      </w:r>
    </w:p>
    <w:p>
      <w:pPr>
        <w:pStyle w:val="7"/>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2、</w:t>
      </w:r>
      <w:r>
        <w:rPr>
          <w:rFonts w:ascii="Times New Roman" w:hAnsi="Times New Roman" w:eastAsia="仿宋" w:cs="Times New Roman"/>
          <w:color w:val="000000"/>
          <w:sz w:val="28"/>
          <w:szCs w:val="28"/>
          <w:shd w:val="clear" w:color="auto" w:fill="FFFFFF"/>
        </w:rPr>
        <w:t>对相关人员加强培训，特别是针对《预算法》</w:t>
      </w:r>
      <w:r>
        <w:rPr>
          <w:rFonts w:hint="eastAsia" w:ascii="Times New Roman" w:hAnsi="Times New Roman" w:eastAsia="仿宋" w:cs="Times New Roman"/>
          <w:color w:val="000000"/>
          <w:sz w:val="28"/>
          <w:szCs w:val="28"/>
          <w:shd w:val="clear" w:color="auto" w:fill="FFFFFF"/>
        </w:rPr>
        <w:t>，</w:t>
      </w:r>
      <w:r>
        <w:rPr>
          <w:rFonts w:ascii="Times New Roman" w:hAnsi="Times New Roman" w:eastAsia="仿宋" w:cs="Times New Roman"/>
          <w:color w:val="000000"/>
          <w:sz w:val="28"/>
          <w:szCs w:val="28"/>
          <w:shd w:val="clear" w:color="auto" w:fill="FFFFFF"/>
        </w:rPr>
        <w:t>《行政事业单位会计制度》</w:t>
      </w:r>
      <w:r>
        <w:rPr>
          <w:rFonts w:hint="eastAsia" w:ascii="Times New Roman" w:hAnsi="Times New Roman" w:eastAsia="仿宋" w:cs="Times New Roman"/>
          <w:color w:val="000000"/>
          <w:sz w:val="28"/>
          <w:szCs w:val="28"/>
          <w:shd w:val="clear" w:color="auto" w:fill="FFFFFF"/>
        </w:rPr>
        <w:t>，项目立项规范，绩效评价相</w:t>
      </w:r>
      <w:r>
        <w:rPr>
          <w:rFonts w:ascii="仿宋" w:hAnsi="仿宋" w:eastAsia="仿宋" w:cs="Times New Roman"/>
          <w:color w:val="000000"/>
          <w:sz w:val="28"/>
          <w:szCs w:val="28"/>
          <w:shd w:val="clear" w:color="auto" w:fill="FFFFFF"/>
        </w:rPr>
        <w:t>关方针、政策以及市财政有关规定</w:t>
      </w:r>
      <w:r>
        <w:rPr>
          <w:rFonts w:ascii="Times New Roman" w:hAnsi="Times New Roman" w:eastAsia="仿宋" w:cs="Times New Roman"/>
          <w:color w:val="000000"/>
          <w:sz w:val="28"/>
          <w:szCs w:val="28"/>
          <w:shd w:val="clear" w:color="auto" w:fill="FFFFFF"/>
        </w:rPr>
        <w:t>等</w:t>
      </w:r>
      <w:r>
        <w:rPr>
          <w:rFonts w:hint="eastAsia" w:ascii="Times New Roman" w:hAnsi="Times New Roman" w:eastAsia="仿宋" w:cs="Times New Roman"/>
          <w:color w:val="000000"/>
          <w:sz w:val="28"/>
          <w:szCs w:val="28"/>
          <w:shd w:val="clear" w:color="auto" w:fill="FFFFFF"/>
        </w:rPr>
        <w:t>的</w:t>
      </w:r>
      <w:r>
        <w:rPr>
          <w:rFonts w:ascii="Times New Roman" w:hAnsi="Times New Roman" w:eastAsia="仿宋" w:cs="Times New Roman"/>
          <w:color w:val="000000"/>
          <w:sz w:val="28"/>
          <w:szCs w:val="28"/>
          <w:shd w:val="clear" w:color="auto" w:fill="FFFFFF"/>
        </w:rPr>
        <w:t>学习培训，切实提高部门预算收支管理水平</w:t>
      </w:r>
      <w:r>
        <w:rPr>
          <w:rFonts w:hint="eastAsia" w:ascii="Times New Roman" w:hAnsi="Times New Roman" w:eastAsia="仿宋" w:cs="Times New Roman"/>
          <w:color w:val="000000"/>
          <w:sz w:val="28"/>
          <w:szCs w:val="28"/>
          <w:shd w:val="clear" w:color="auto" w:fill="FFFFFF"/>
        </w:rPr>
        <w:t>、项目立项管理水平和绩效目标管理水平</w:t>
      </w:r>
      <w:r>
        <w:rPr>
          <w:rFonts w:ascii="Times New Roman" w:hAnsi="Times New Roman" w:eastAsia="仿宋" w:cs="Times New Roman"/>
          <w:color w:val="000000"/>
          <w:sz w:val="28"/>
          <w:szCs w:val="28"/>
          <w:shd w:val="clear" w:color="auto" w:fill="FFFFFF"/>
        </w:rPr>
        <w:t>。</w:t>
      </w:r>
    </w:p>
    <w:p>
      <w:pPr>
        <w:pStyle w:val="7"/>
        <w:shd w:val="clear" w:color="auto" w:fill="FFFFFF"/>
        <w:spacing w:before="0" w:beforeAutospacing="0" w:after="0" w:afterAutospacing="0"/>
        <w:ind w:firstLine="562" w:firstLineChars="200"/>
        <w:jc w:val="both"/>
        <w:rPr>
          <w:rFonts w:ascii="Times New Roman" w:hAnsi="Times New Roman" w:eastAsia="仿宋" w:cs="Times New Roman"/>
          <w:b/>
          <w:bCs/>
          <w:color w:val="000000"/>
          <w:sz w:val="28"/>
          <w:szCs w:val="28"/>
          <w:shd w:val="clear" w:color="auto" w:fill="FFFFFF"/>
        </w:rPr>
      </w:pPr>
      <w:r>
        <w:rPr>
          <w:rFonts w:hint="eastAsia" w:ascii="Times New Roman" w:hAnsi="Times New Roman" w:eastAsia="仿宋" w:cs="Times New Roman"/>
          <w:b/>
          <w:bCs/>
          <w:color w:val="000000"/>
          <w:sz w:val="28"/>
          <w:szCs w:val="28"/>
          <w:shd w:val="clear" w:color="auto" w:fill="FFFFFF"/>
        </w:rPr>
        <w:t>（二）结果应用</w:t>
      </w:r>
    </w:p>
    <w:p>
      <w:pPr>
        <w:pStyle w:val="7"/>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通过年度绩效评价，有效了解预算编制、预算执行、绩效目标实现等相关情况，对以后的年度预算安排和预算收支管理工作具有指导性意义。</w:t>
      </w:r>
    </w:p>
    <w:p>
      <w:pPr>
        <w:pStyle w:val="7"/>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p>
    <w:p>
      <w:pPr>
        <w:pStyle w:val="7"/>
        <w:shd w:val="clear" w:color="auto" w:fill="FFFFFF"/>
        <w:spacing w:before="0" w:beforeAutospacing="0" w:after="0" w:afterAutospacing="0"/>
        <w:ind w:firstLine="560" w:firstLineChars="200"/>
        <w:jc w:val="both"/>
        <w:rPr>
          <w:rFonts w:ascii="Times New Roman" w:hAnsi="Times New Roman" w:eastAsia="仿宋" w:cs="Times New Roman"/>
          <w:color w:val="000000"/>
          <w:sz w:val="28"/>
          <w:szCs w:val="28"/>
          <w:shd w:val="clear" w:color="auto" w:fill="FFFFFF"/>
        </w:rPr>
      </w:pPr>
    </w:p>
    <w:p>
      <w:pPr>
        <w:pStyle w:val="7"/>
        <w:shd w:val="clear" w:color="auto" w:fill="FFFFFF"/>
        <w:spacing w:before="0" w:beforeAutospacing="0" w:after="0" w:afterAutospacing="0"/>
        <w:ind w:firstLine="560" w:firstLineChars="200"/>
        <w:jc w:val="right"/>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石家庄市科学技术协会</w:t>
      </w:r>
    </w:p>
    <w:p>
      <w:pPr>
        <w:pStyle w:val="7"/>
        <w:shd w:val="clear" w:color="auto" w:fill="FFFFFF"/>
        <w:spacing w:before="0" w:beforeAutospacing="0" w:after="0" w:afterAutospacing="0"/>
        <w:ind w:firstLine="560" w:firstLineChars="200"/>
        <w:jc w:val="right"/>
        <w:rPr>
          <w:rFonts w:ascii="Times New Roman" w:hAnsi="Times New Roman" w:eastAsia="仿宋" w:cs="Times New Roman"/>
          <w:color w:val="000000"/>
          <w:sz w:val="28"/>
          <w:szCs w:val="28"/>
          <w:shd w:val="clear" w:color="auto" w:fill="FFFFFF"/>
        </w:rPr>
      </w:pPr>
      <w:r>
        <w:rPr>
          <w:rFonts w:hint="eastAsia" w:ascii="Times New Roman" w:hAnsi="Times New Roman" w:eastAsia="仿宋" w:cs="Times New Roman"/>
          <w:color w:val="000000"/>
          <w:sz w:val="28"/>
          <w:szCs w:val="28"/>
          <w:shd w:val="clear" w:color="auto" w:fill="FFFFFF"/>
        </w:rPr>
        <w:t>2022年3月10日</w:t>
      </w:r>
    </w:p>
    <w:sectPr>
      <w:footerReference r:id="rId3" w:type="default"/>
      <w:pgSz w:w="11906" w:h="16838"/>
      <w:pgMar w:top="1440" w:right="1588"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2903111"/>
    </w:sdtPr>
    <w:sdtContent>
      <w:p>
        <w:pPr>
          <w:pStyle w:val="4"/>
          <w:jc w:val="center"/>
        </w:pPr>
        <w:r>
          <w:fldChar w:fldCharType="begin"/>
        </w:r>
        <w:r>
          <w:instrText xml:space="preserve">PAGE   \* MERGEFORMAT</w:instrText>
        </w:r>
        <w:r>
          <w:fldChar w:fldCharType="separate"/>
        </w:r>
        <w:r>
          <w:rPr>
            <w:lang w:val="zh-CN"/>
          </w:rPr>
          <w:t>10</w:t>
        </w:r>
        <w: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707BF"/>
    <w:rsid w:val="00007A90"/>
    <w:rsid w:val="0001651C"/>
    <w:rsid w:val="00044936"/>
    <w:rsid w:val="00077E6E"/>
    <w:rsid w:val="00087585"/>
    <w:rsid w:val="000909C7"/>
    <w:rsid w:val="000D009D"/>
    <w:rsid w:val="000D66B6"/>
    <w:rsid w:val="000E02CA"/>
    <w:rsid w:val="000F1139"/>
    <w:rsid w:val="0010060E"/>
    <w:rsid w:val="0014603A"/>
    <w:rsid w:val="00146C5E"/>
    <w:rsid w:val="00175CBD"/>
    <w:rsid w:val="001850E9"/>
    <w:rsid w:val="0021556E"/>
    <w:rsid w:val="00295577"/>
    <w:rsid w:val="002B226A"/>
    <w:rsid w:val="002B40A8"/>
    <w:rsid w:val="002D3F1B"/>
    <w:rsid w:val="00300755"/>
    <w:rsid w:val="00310B6F"/>
    <w:rsid w:val="00311B42"/>
    <w:rsid w:val="0031234B"/>
    <w:rsid w:val="003B1972"/>
    <w:rsid w:val="0040765D"/>
    <w:rsid w:val="00450548"/>
    <w:rsid w:val="00476A93"/>
    <w:rsid w:val="00493061"/>
    <w:rsid w:val="004F24E4"/>
    <w:rsid w:val="004F36E8"/>
    <w:rsid w:val="00536E6E"/>
    <w:rsid w:val="00552243"/>
    <w:rsid w:val="0057116C"/>
    <w:rsid w:val="00571BD1"/>
    <w:rsid w:val="00576A95"/>
    <w:rsid w:val="00587186"/>
    <w:rsid w:val="005B0DA7"/>
    <w:rsid w:val="005E3290"/>
    <w:rsid w:val="005E3EA1"/>
    <w:rsid w:val="00615ED6"/>
    <w:rsid w:val="0069754E"/>
    <w:rsid w:val="006A0CDE"/>
    <w:rsid w:val="006B366D"/>
    <w:rsid w:val="006B55A9"/>
    <w:rsid w:val="006D5696"/>
    <w:rsid w:val="006F0553"/>
    <w:rsid w:val="006F0FF8"/>
    <w:rsid w:val="006F31A3"/>
    <w:rsid w:val="007276F7"/>
    <w:rsid w:val="00733810"/>
    <w:rsid w:val="00744655"/>
    <w:rsid w:val="0075092C"/>
    <w:rsid w:val="00761FCB"/>
    <w:rsid w:val="00771567"/>
    <w:rsid w:val="00794125"/>
    <w:rsid w:val="007C16F0"/>
    <w:rsid w:val="007C6DA7"/>
    <w:rsid w:val="008134DF"/>
    <w:rsid w:val="00841D5B"/>
    <w:rsid w:val="008433F2"/>
    <w:rsid w:val="0084344A"/>
    <w:rsid w:val="00845EC4"/>
    <w:rsid w:val="008606D6"/>
    <w:rsid w:val="0086470E"/>
    <w:rsid w:val="00875174"/>
    <w:rsid w:val="00882C47"/>
    <w:rsid w:val="00894AFA"/>
    <w:rsid w:val="008A5ED7"/>
    <w:rsid w:val="008B0120"/>
    <w:rsid w:val="008B315D"/>
    <w:rsid w:val="008B76F8"/>
    <w:rsid w:val="008B7C2F"/>
    <w:rsid w:val="008C764F"/>
    <w:rsid w:val="008D5399"/>
    <w:rsid w:val="008E48BD"/>
    <w:rsid w:val="008E57DF"/>
    <w:rsid w:val="008F7FCE"/>
    <w:rsid w:val="009345C7"/>
    <w:rsid w:val="00950B35"/>
    <w:rsid w:val="00955681"/>
    <w:rsid w:val="009C1171"/>
    <w:rsid w:val="009D5FBA"/>
    <w:rsid w:val="009E0A21"/>
    <w:rsid w:val="00A45748"/>
    <w:rsid w:val="00A461F7"/>
    <w:rsid w:val="00A56503"/>
    <w:rsid w:val="00A626ED"/>
    <w:rsid w:val="00A826CE"/>
    <w:rsid w:val="00A95EF6"/>
    <w:rsid w:val="00AC06CD"/>
    <w:rsid w:val="00AE4572"/>
    <w:rsid w:val="00AF5496"/>
    <w:rsid w:val="00B06B42"/>
    <w:rsid w:val="00B12560"/>
    <w:rsid w:val="00B15BAD"/>
    <w:rsid w:val="00B24009"/>
    <w:rsid w:val="00B54B31"/>
    <w:rsid w:val="00B627CE"/>
    <w:rsid w:val="00B72CBD"/>
    <w:rsid w:val="00B73BC9"/>
    <w:rsid w:val="00B836BE"/>
    <w:rsid w:val="00BD3C6E"/>
    <w:rsid w:val="00C52CD8"/>
    <w:rsid w:val="00C70B26"/>
    <w:rsid w:val="00CA6460"/>
    <w:rsid w:val="00CB19A4"/>
    <w:rsid w:val="00CC0671"/>
    <w:rsid w:val="00CC7EED"/>
    <w:rsid w:val="00CD4B8C"/>
    <w:rsid w:val="00CE774C"/>
    <w:rsid w:val="00CF5B7A"/>
    <w:rsid w:val="00D1150E"/>
    <w:rsid w:val="00D11A61"/>
    <w:rsid w:val="00D21C79"/>
    <w:rsid w:val="00D42AEA"/>
    <w:rsid w:val="00D56ECF"/>
    <w:rsid w:val="00D63EDA"/>
    <w:rsid w:val="00D84E1A"/>
    <w:rsid w:val="00D85A6C"/>
    <w:rsid w:val="00DC1CEF"/>
    <w:rsid w:val="00DE5379"/>
    <w:rsid w:val="00E03A31"/>
    <w:rsid w:val="00E13CFA"/>
    <w:rsid w:val="00E258BD"/>
    <w:rsid w:val="00E87E52"/>
    <w:rsid w:val="00EA7735"/>
    <w:rsid w:val="00ED25C5"/>
    <w:rsid w:val="00ED5735"/>
    <w:rsid w:val="00F037D9"/>
    <w:rsid w:val="00F1356C"/>
    <w:rsid w:val="00F20E62"/>
    <w:rsid w:val="00F3038F"/>
    <w:rsid w:val="00F546DD"/>
    <w:rsid w:val="00F56938"/>
    <w:rsid w:val="00F707BF"/>
    <w:rsid w:val="00F7124B"/>
    <w:rsid w:val="00F879B3"/>
    <w:rsid w:val="00F95F90"/>
    <w:rsid w:val="00FA73CC"/>
    <w:rsid w:val="00FD0529"/>
    <w:rsid w:val="00FD5B06"/>
    <w:rsid w:val="00FD71B1"/>
    <w:rsid w:val="00FF3FA0"/>
    <w:rsid w:val="01FF3CC9"/>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Body Text Indent"/>
    <w:basedOn w:val="1"/>
    <w:link w:val="15"/>
    <w:unhideWhenUsed/>
    <w:uiPriority w:val="99"/>
    <w:pPr>
      <w:spacing w:after="120"/>
      <w:ind w:left="420" w:leftChars="200"/>
    </w:pPr>
  </w:style>
  <w:style w:type="paragraph" w:styleId="3">
    <w:name w:val="Balloon Text"/>
    <w:basedOn w:val="1"/>
    <w:link w:val="14"/>
    <w:unhideWhenUsed/>
    <w:uiPriority w:val="99"/>
    <w:rPr>
      <w:sz w:val="18"/>
      <w:szCs w:val="18"/>
    </w:rPr>
  </w:style>
  <w:style w:type="paragraph" w:styleId="4">
    <w:name w:val="footer"/>
    <w:basedOn w:val="1"/>
    <w:link w:val="13"/>
    <w:unhideWhenUsed/>
    <w:uiPriority w:val="99"/>
    <w:pPr>
      <w:tabs>
        <w:tab w:val="center" w:pos="4153"/>
        <w:tab w:val="right" w:pos="8306"/>
      </w:tabs>
      <w:snapToGrid w:val="0"/>
      <w:jc w:val="left"/>
    </w:pPr>
    <w:rPr>
      <w:sz w:val="18"/>
      <w:szCs w:val="18"/>
    </w:rPr>
  </w:style>
  <w:style w:type="paragraph" w:styleId="5">
    <w:name w:val="Body Text First Indent 2"/>
    <w:basedOn w:val="2"/>
    <w:link w:val="16"/>
    <w:qFormat/>
    <w:uiPriority w:val="0"/>
    <w:pPr>
      <w:ind w:firstLine="420" w:firstLineChars="200"/>
    </w:pPr>
    <w:rPr>
      <w:szCs w:val="24"/>
    </w:rPr>
  </w:style>
  <w:style w:type="paragraph" w:styleId="6">
    <w:name w:val="header"/>
    <w:basedOn w:val="1"/>
    <w:link w:val="12"/>
    <w:unhideWhenUsed/>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10">
    <w:name w:val="Table Grid"/>
    <w:basedOn w:val="9"/>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
    <w:name w:val="List Paragraph"/>
    <w:basedOn w:val="1"/>
    <w:qFormat/>
    <w:uiPriority w:val="34"/>
    <w:pPr>
      <w:ind w:firstLine="420" w:firstLineChars="200"/>
    </w:pPr>
  </w:style>
  <w:style w:type="character" w:customStyle="1" w:styleId="12">
    <w:name w:val="页眉 Char"/>
    <w:basedOn w:val="8"/>
    <w:link w:val="6"/>
    <w:uiPriority w:val="99"/>
    <w:rPr>
      <w:sz w:val="18"/>
      <w:szCs w:val="18"/>
    </w:rPr>
  </w:style>
  <w:style w:type="character" w:customStyle="1" w:styleId="13">
    <w:name w:val="页脚 Char"/>
    <w:basedOn w:val="8"/>
    <w:link w:val="4"/>
    <w:qFormat/>
    <w:uiPriority w:val="99"/>
    <w:rPr>
      <w:sz w:val="18"/>
      <w:szCs w:val="18"/>
    </w:rPr>
  </w:style>
  <w:style w:type="character" w:customStyle="1" w:styleId="14">
    <w:name w:val="批注框文本 Char"/>
    <w:basedOn w:val="8"/>
    <w:link w:val="3"/>
    <w:semiHidden/>
    <w:uiPriority w:val="99"/>
    <w:rPr>
      <w:sz w:val="18"/>
      <w:szCs w:val="18"/>
    </w:rPr>
  </w:style>
  <w:style w:type="character" w:customStyle="1" w:styleId="15">
    <w:name w:val="正文文本缩进 Char"/>
    <w:basedOn w:val="8"/>
    <w:link w:val="2"/>
    <w:semiHidden/>
    <w:uiPriority w:val="99"/>
  </w:style>
  <w:style w:type="character" w:customStyle="1" w:styleId="16">
    <w:name w:val="正文首行缩进 2 Char"/>
    <w:basedOn w:val="15"/>
    <w:link w:val="5"/>
    <w:uiPriority w:val="0"/>
    <w:rPr>
      <w:szCs w:val="24"/>
    </w:rPr>
  </w:style>
  <w:style w:type="paragraph" w:customStyle="1" w:styleId="17">
    <w:name w:val="正文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A3D4DF-8766-4441-ACBC-C0A22D3BD72E}">
  <ds:schemaRefs/>
</ds:datastoreItem>
</file>

<file path=docProps/app.xml><?xml version="1.0" encoding="utf-8"?>
<Properties xmlns="http://schemas.openxmlformats.org/officeDocument/2006/extended-properties" xmlns:vt="http://schemas.openxmlformats.org/officeDocument/2006/docPropsVTypes">
  <Template>Normal</Template>
  <Pages>10</Pages>
  <Words>866</Words>
  <Characters>4942</Characters>
  <Lines>41</Lines>
  <Paragraphs>11</Paragraphs>
  <TotalTime>0</TotalTime>
  <ScaleCrop>false</ScaleCrop>
  <LinksUpToDate>false</LinksUpToDate>
  <CharactersWithSpaces>5797</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2020-04-28T05:15:00Z</dcterms:created>
  <dc:creator>王 正礼</dc:creator>
  <cp:lastModifiedBy>Administrator</cp:lastModifiedBy>
  <cp:lastPrinted>2021-06-17T11:11:00Z</cp:lastPrinted>
  <dcterms:modified xsi:type="dcterms:W3CDTF">2023-06-30T02:35:38Z</dcterms:modified>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