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78" w:lineRule="exact"/>
        <w:jc w:val="both"/>
        <w:textAlignment w:val="auto"/>
        <w:rPr>
          <w:rFonts w:hint="eastAsia" w:ascii="宋体" w:hAnsi="宋体" w:eastAsia="宋体" w:cs="宋体"/>
          <w:b/>
          <w:bCs/>
          <w:sz w:val="44"/>
          <w:szCs w:val="44"/>
        </w:rPr>
      </w:pPr>
    </w:p>
    <w:p>
      <w:pPr>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lang w:eastAsia="zh-CN"/>
        </w:rPr>
      </w:pPr>
      <w:r>
        <w:rPr>
          <w:rFonts w:hint="eastAsia" w:ascii="宋体" w:hAnsi="宋体" w:cs="宋体"/>
          <w:b/>
          <w:bCs/>
          <w:kern w:val="0"/>
          <w:sz w:val="44"/>
          <w:szCs w:val="44"/>
          <w:lang w:val="en-US" w:eastAsia="zh-CN"/>
        </w:rPr>
        <w:t>石家庄市卫生健康委员会</w:t>
      </w:r>
    </w:p>
    <w:p>
      <w:pPr>
        <w:pageBreakBefore w:val="0"/>
        <w:widowControl w:val="0"/>
        <w:kinsoku/>
        <w:wordWrap/>
        <w:overflowPunct/>
        <w:topLinePunct w:val="0"/>
        <w:autoSpaceDE/>
        <w:autoSpaceDN/>
        <w:bidi w:val="0"/>
        <w:adjustRightInd/>
        <w:snapToGrid w:val="0"/>
        <w:spacing w:line="578" w:lineRule="exact"/>
        <w:ind w:left="0" w:leftChars="0" w:right="0"/>
        <w:jc w:val="center"/>
        <w:textAlignment w:val="auto"/>
        <w:outlineLvl w:val="9"/>
        <w:rPr>
          <w:rFonts w:hint="eastAsia" w:ascii="宋体" w:hAnsi="宋体" w:cs="宋体"/>
          <w:b/>
          <w:bCs/>
          <w:kern w:val="0"/>
          <w:sz w:val="44"/>
          <w:szCs w:val="44"/>
          <w:lang w:eastAsia="zh-CN"/>
        </w:rPr>
      </w:pPr>
      <w:r>
        <w:rPr>
          <w:rFonts w:hint="eastAsia" w:ascii="宋体" w:hAnsi="宋体" w:cs="宋体"/>
          <w:b/>
          <w:bCs/>
          <w:kern w:val="0"/>
          <w:sz w:val="44"/>
          <w:szCs w:val="44"/>
          <w:lang w:val="en-US" w:eastAsia="zh-CN"/>
        </w:rPr>
        <w:t>2022年度部门整体支出绩效</w:t>
      </w:r>
      <w:r>
        <w:rPr>
          <w:rFonts w:hint="eastAsia" w:ascii="宋体" w:hAnsi="宋体" w:cs="宋体"/>
          <w:b/>
          <w:bCs/>
          <w:kern w:val="0"/>
          <w:sz w:val="44"/>
          <w:szCs w:val="44"/>
          <w:lang w:eastAsia="zh-CN"/>
        </w:rPr>
        <w:t>自评报告</w:t>
      </w: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default" w:ascii="方正小标宋简体" w:hAnsi="Calibri" w:eastAsia="方正小标宋简体" w:cs="黑体"/>
          <w:b/>
          <w:bCs/>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78"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578"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578"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578"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578" w:lineRule="exact"/>
        <w:jc w:val="both"/>
        <w:textAlignment w:val="auto"/>
        <w:rPr>
          <w:rFonts w:ascii="方正小标宋简体" w:hAnsi="Calibri" w:eastAsia="方正小标宋简体" w:cs="黑体"/>
          <w:sz w:val="44"/>
          <w:szCs w:val="44"/>
        </w:rPr>
      </w:pPr>
    </w:p>
    <w:p>
      <w:pPr>
        <w:keepNext w:val="0"/>
        <w:keepLines w:val="0"/>
        <w:pageBreakBefore w:val="0"/>
        <w:widowControl w:val="0"/>
        <w:kinsoku/>
        <w:wordWrap/>
        <w:overflowPunct/>
        <w:topLinePunct w:val="0"/>
        <w:autoSpaceDE/>
        <w:autoSpaceDN/>
        <w:bidi w:val="0"/>
        <w:adjustRightInd/>
        <w:snapToGrid/>
        <w:spacing w:line="578" w:lineRule="exact"/>
        <w:textAlignment w:val="auto"/>
        <w:rPr>
          <w:rFonts w:ascii="仿宋_GB2312" w:hAnsi="Calibri" w:eastAsia="仿宋_GB2312"/>
          <w:bCs/>
          <w:kern w:val="28"/>
          <w:sz w:val="32"/>
          <w:szCs w:val="20"/>
          <w:highlight w:val="yellow"/>
          <w:lang w:val="zh-CN"/>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eastAsia="宋体" w:cs="Times New Roman"/>
          <w:b/>
          <w:bCs/>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ascii="仿宋_GB2312" w:hAnsi="Calibri" w:eastAsia="仿宋_GB2312"/>
          <w:b/>
          <w:bCs w:val="0"/>
          <w:sz w:val="32"/>
          <w:szCs w:val="20"/>
          <w:highlight w:val="none"/>
          <w:lang w:val="zh-CN"/>
        </w:rPr>
      </w:pPr>
      <w:r>
        <w:rPr>
          <w:rFonts w:hint="default" w:eastAsia="宋体" w:cs="Times New Roman"/>
          <w:b/>
          <w:bCs/>
          <w:sz w:val="32"/>
          <w:szCs w:val="32"/>
          <w:lang w:val="en-US" w:eastAsia="zh-CN"/>
        </w:rPr>
        <w:t>石家庄市卫生健康委员会</w:t>
      </w:r>
      <w:bookmarkStart w:id="0" w:name="_Toc3470"/>
    </w:p>
    <w:p>
      <w:pPr>
        <w:keepNext w:val="0"/>
        <w:keepLines w:val="0"/>
        <w:pageBreakBefore w:val="0"/>
        <w:widowControl w:val="0"/>
        <w:kinsoku/>
        <w:wordWrap/>
        <w:overflowPunct/>
        <w:topLinePunct w:val="0"/>
        <w:autoSpaceDE/>
        <w:autoSpaceDN/>
        <w:bidi w:val="0"/>
        <w:adjustRightInd/>
        <w:snapToGrid/>
        <w:spacing w:line="578" w:lineRule="exact"/>
        <w:jc w:val="center"/>
        <w:textAlignment w:val="auto"/>
        <w:rPr>
          <w:rFonts w:hint="eastAsia" w:ascii="宋体" w:hAnsi="宋体" w:eastAsia="宋体" w:cs="宋体"/>
          <w:sz w:val="44"/>
          <w:szCs w:val="44"/>
        </w:rPr>
      </w:pPr>
      <w:r>
        <w:rPr>
          <w:rFonts w:hint="eastAsia" w:eastAsia="宋体" w:cs="Times New Roman"/>
          <w:b/>
          <w:bCs/>
          <w:sz w:val="32"/>
          <w:szCs w:val="32"/>
          <w:lang w:val="zh-CN" w:eastAsia="zh-CN"/>
        </w:rPr>
        <w:t>202</w:t>
      </w:r>
      <w:r>
        <w:rPr>
          <w:rFonts w:hint="eastAsia" w:cs="Times New Roman"/>
          <w:b/>
          <w:bCs/>
          <w:sz w:val="32"/>
          <w:szCs w:val="32"/>
          <w:lang w:val="en-US" w:eastAsia="zh-CN"/>
        </w:rPr>
        <w:t>3</w:t>
      </w:r>
      <w:r>
        <w:rPr>
          <w:rFonts w:hint="eastAsia" w:eastAsia="宋体" w:cs="Times New Roman"/>
          <w:b/>
          <w:bCs/>
          <w:sz w:val="32"/>
          <w:szCs w:val="32"/>
          <w:lang w:val="zh-CN" w:eastAsia="zh-CN"/>
        </w:rPr>
        <w:t>年</w:t>
      </w:r>
      <w:r>
        <w:rPr>
          <w:rFonts w:hint="eastAsia" w:cs="Times New Roman"/>
          <w:b/>
          <w:bCs/>
          <w:sz w:val="32"/>
          <w:szCs w:val="32"/>
          <w:lang w:val="en-US" w:eastAsia="zh-CN"/>
        </w:rPr>
        <w:t>4</w:t>
      </w:r>
      <w:r>
        <w:rPr>
          <w:rFonts w:hint="eastAsia" w:eastAsia="宋体" w:cs="Times New Roman"/>
          <w:b/>
          <w:bCs/>
          <w:sz w:val="32"/>
          <w:szCs w:val="32"/>
          <w:lang w:val="zh-CN" w:eastAsia="zh-CN"/>
        </w:rPr>
        <w:t>月</w:t>
      </w:r>
      <w:bookmarkEnd w:id="0"/>
    </w:p>
    <w:p>
      <w:pPr>
        <w:pageBreakBefore w:val="0"/>
        <w:kinsoku/>
        <w:wordWrap/>
        <w:overflowPunct/>
        <w:topLinePunct w:val="0"/>
        <w:autoSpaceDE/>
        <w:autoSpaceDN/>
        <w:bidi w:val="0"/>
        <w:spacing w:line="578" w:lineRule="exact"/>
        <w:jc w:val="both"/>
        <w:rPr>
          <w:rFonts w:hint="eastAsia" w:ascii="宋体" w:hAnsi="宋体" w:eastAsia="宋体" w:cs="宋体"/>
          <w:sz w:val="44"/>
          <w:szCs w:val="44"/>
        </w:rPr>
      </w:pPr>
    </w:p>
    <w:p>
      <w:pPr>
        <w:pageBreakBefore w:val="0"/>
        <w:kinsoku/>
        <w:wordWrap/>
        <w:overflowPunct/>
        <w:topLinePunct w:val="0"/>
        <w:autoSpaceDE/>
        <w:autoSpaceDN/>
        <w:bidi w:val="0"/>
        <w:spacing w:line="578" w:lineRule="exact"/>
        <w:jc w:val="both"/>
        <w:rPr>
          <w:rFonts w:hint="eastAsia" w:ascii="仿宋_GB2312" w:hAnsi="Calibri" w:eastAsia="仿宋_GB2312"/>
          <w:bCs/>
          <w:sz w:val="32"/>
          <w:szCs w:val="20"/>
          <w:highlight w:val="none"/>
          <w:lang w:val="zh-CN"/>
        </w:rPr>
        <w:sectPr>
          <w:headerReference r:id="rId3" w:type="default"/>
          <w:pgSz w:w="11906" w:h="16838"/>
          <w:pgMar w:top="2041" w:right="1304" w:bottom="1701" w:left="1531" w:header="851" w:footer="992" w:gutter="0"/>
          <w:pgNumType w:fmt="decimal"/>
          <w:cols w:space="720" w:num="1"/>
          <w:docGrid w:type="lines" w:linePitch="312" w:charSpace="0"/>
        </w:sectPr>
      </w:pPr>
    </w:p>
    <w:sdt>
      <w:sdtPr>
        <w:rPr>
          <w:rFonts w:ascii="宋体" w:hAnsi="宋体" w:eastAsia="宋体" w:cs="黑体"/>
          <w:kern w:val="2"/>
          <w:sz w:val="21"/>
          <w:szCs w:val="22"/>
          <w:lang w:val="en-US" w:eastAsia="zh-CN" w:bidi="ar-SA"/>
        </w:rPr>
        <w:id w:val="147469282"/>
        <w15:color w:val="DBDBDB"/>
        <w:docPartObj>
          <w:docPartGallery w:val="Table of Contents"/>
          <w:docPartUnique/>
        </w:docPartObj>
      </w:sdtPr>
      <w:sdtEndPr>
        <w:rPr>
          <w:rFonts w:hint="eastAsia" w:ascii="宋体" w:hAnsi="宋体" w:eastAsia="宋体" w:cs="宋体"/>
          <w:b/>
          <w:bCs/>
          <w:kern w:val="2"/>
          <w:sz w:val="21"/>
          <w:szCs w:val="44"/>
          <w:lang w:val="en-US" w:eastAsia="zh-CN" w:bidi="ar-SA"/>
        </w:rPr>
      </w:sdtEndPr>
      <w:sdtContent>
        <w:p>
          <w:pPr>
            <w:pageBreakBefore w:val="0"/>
            <w:tabs>
              <w:tab w:val="left" w:pos="1151"/>
            </w:tabs>
            <w:kinsoku/>
            <w:wordWrap/>
            <w:overflowPunct/>
            <w:topLinePunct w:val="0"/>
            <w:autoSpaceDE/>
            <w:autoSpaceDN/>
            <w:bidi w:val="0"/>
            <w:spacing w:line="578" w:lineRule="exact"/>
            <w:ind w:left="0" w:leftChars="0" w:right="0" w:rightChars="0" w:firstLine="0" w:firstLineChars="0"/>
            <w:jc w:val="center"/>
            <w:outlineLvl w:val="9"/>
            <w:rPr>
              <w:rFonts w:ascii="宋体" w:hAnsi="宋体" w:eastAsia="宋体"/>
              <w:b/>
              <w:bCs/>
              <w:sz w:val="32"/>
              <w:szCs w:val="32"/>
            </w:rPr>
          </w:pPr>
          <w:r>
            <w:rPr>
              <w:rFonts w:hint="eastAsia" w:ascii="宋体" w:hAnsi="宋体" w:eastAsia="宋体" w:cs="Times New Roman"/>
              <w:b/>
              <w:bCs/>
              <w:kern w:val="2"/>
              <w:sz w:val="36"/>
              <w:szCs w:val="36"/>
              <w:lang w:val="en-US" w:eastAsia="zh-CN" w:bidi="ar-SA"/>
            </w:rPr>
            <w:t>目 录</w:t>
          </w:r>
        </w:p>
        <w:p>
          <w:pPr>
            <w:pStyle w:val="5"/>
            <w:pageBreakBefore w:val="0"/>
            <w:kinsoku/>
            <w:wordWrap/>
            <w:overflowPunct/>
            <w:topLinePunct w:val="0"/>
            <w:autoSpaceDE/>
            <w:autoSpaceDN/>
            <w:bidi w:val="0"/>
            <w:spacing w:before="0" w:after="0" w:line="578" w:lineRule="exact"/>
          </w:pPr>
        </w:p>
        <w:p>
          <w:pPr>
            <w:pStyle w:val="9"/>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
              <w:bCs/>
              <w:sz w:val="44"/>
              <w:szCs w:val="44"/>
              <w:lang w:eastAsia="zh-CN"/>
            </w:rPr>
            <w:fldChar w:fldCharType="begin"/>
          </w:r>
          <w:r>
            <w:rPr>
              <w:rFonts w:hint="eastAsia" w:ascii="宋体" w:hAnsi="宋体" w:cs="宋体"/>
              <w:b/>
              <w:bCs/>
              <w:sz w:val="44"/>
              <w:szCs w:val="44"/>
              <w:lang w:eastAsia="zh-CN"/>
            </w:rPr>
            <w:instrText xml:space="preserve">TOC \o "1-2" \h \u </w:instrText>
          </w:r>
          <w:r>
            <w:rPr>
              <w:rFonts w:hint="eastAsia" w:ascii="宋体" w:hAnsi="宋体" w:cs="宋体"/>
              <w:b/>
              <w:bCs/>
              <w:sz w:val="44"/>
              <w:szCs w:val="44"/>
              <w:lang w:eastAsia="zh-CN"/>
            </w:rPr>
            <w:fldChar w:fldCharType="separate"/>
          </w: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_Toc25494 </w:instrText>
          </w:r>
          <w:r>
            <w:rPr>
              <w:rFonts w:hint="eastAsia" w:ascii="宋体" w:hAnsi="宋体" w:cs="宋体"/>
              <w:bCs/>
              <w:sz w:val="28"/>
              <w:szCs w:val="56"/>
              <w:lang w:eastAsia="zh-CN"/>
            </w:rPr>
            <w:fldChar w:fldCharType="separate"/>
          </w:r>
          <w:r>
            <w:rPr>
              <w:rFonts w:hint="eastAsia" w:ascii="黑体" w:hAnsi="黑体" w:eastAsia="黑体"/>
              <w:sz w:val="28"/>
              <w:szCs w:val="44"/>
            </w:rPr>
            <w:t>一、</w:t>
          </w:r>
          <w:r>
            <w:rPr>
              <w:rFonts w:hint="eastAsia" w:ascii="黑体" w:hAnsi="黑体" w:eastAsia="黑体"/>
              <w:sz w:val="28"/>
              <w:szCs w:val="44"/>
              <w:lang w:eastAsia="zh-CN"/>
            </w:rPr>
            <w:t>部门</w:t>
          </w:r>
          <w:r>
            <w:rPr>
              <w:rFonts w:hint="eastAsia" w:ascii="黑体" w:hAnsi="黑体" w:eastAsia="黑体"/>
              <w:sz w:val="28"/>
              <w:szCs w:val="48"/>
            </w:rPr>
            <w:t>基本情况</w:t>
          </w:r>
          <w:r>
            <w:rPr>
              <w:sz w:val="28"/>
              <w:szCs w:val="32"/>
            </w:rPr>
            <w:tab/>
          </w:r>
          <w:r>
            <w:rPr>
              <w:sz w:val="28"/>
              <w:szCs w:val="32"/>
            </w:rPr>
            <w:fldChar w:fldCharType="begin"/>
          </w:r>
          <w:r>
            <w:rPr>
              <w:sz w:val="28"/>
              <w:szCs w:val="32"/>
            </w:rPr>
            <w:instrText xml:space="preserve"> PAGEREF _Toc25494 \h </w:instrText>
          </w:r>
          <w:r>
            <w:rPr>
              <w:sz w:val="28"/>
              <w:szCs w:val="32"/>
            </w:rPr>
            <w:fldChar w:fldCharType="separate"/>
          </w:r>
          <w:r>
            <w:rPr>
              <w:sz w:val="28"/>
              <w:szCs w:val="32"/>
            </w:rPr>
            <w:t>- 1 -</w:t>
          </w:r>
          <w:r>
            <w:rPr>
              <w:sz w:val="28"/>
              <w:szCs w:val="32"/>
            </w:rPr>
            <w:fldChar w:fldCharType="end"/>
          </w:r>
          <w:r>
            <w:rPr>
              <w:rFonts w:hint="eastAsia" w:ascii="宋体" w:hAnsi="宋体" w:cs="宋体"/>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rFonts w:hint="eastAsia" w:ascii="仿宋_GB2312" w:hAnsi="仿宋_GB2312" w:eastAsia="仿宋_GB2312" w:cs="仿宋_GB2312"/>
              <w:sz w:val="28"/>
              <w:szCs w:val="32"/>
            </w:rPr>
          </w:pPr>
          <w:r>
            <w:rPr>
              <w:rFonts w:hint="eastAsia" w:ascii="仿宋_GB2312" w:hAnsi="仿宋_GB2312" w:eastAsia="仿宋_GB2312" w:cs="仿宋_GB2312"/>
              <w:bCs/>
              <w:sz w:val="28"/>
              <w:szCs w:val="56"/>
              <w:lang w:eastAsia="zh-CN"/>
            </w:rPr>
            <w:fldChar w:fldCharType="begin"/>
          </w:r>
          <w:r>
            <w:rPr>
              <w:rFonts w:hint="eastAsia" w:ascii="仿宋_GB2312" w:hAnsi="仿宋_GB2312" w:eastAsia="仿宋_GB2312" w:cs="仿宋_GB2312"/>
              <w:bCs/>
              <w:sz w:val="28"/>
              <w:szCs w:val="56"/>
              <w:lang w:eastAsia="zh-CN"/>
            </w:rPr>
            <w:instrText xml:space="preserve"> HYPERLINK \l _Toc7026 </w:instrText>
          </w:r>
          <w:r>
            <w:rPr>
              <w:rFonts w:hint="eastAsia" w:ascii="仿宋_GB2312" w:hAnsi="仿宋_GB2312" w:eastAsia="仿宋_GB2312" w:cs="仿宋_GB2312"/>
              <w:bCs/>
              <w:sz w:val="28"/>
              <w:szCs w:val="56"/>
              <w:lang w:eastAsia="zh-CN"/>
            </w:rPr>
            <w:fldChar w:fldCharType="separate"/>
          </w:r>
          <w:r>
            <w:rPr>
              <w:rFonts w:hint="eastAsia" w:ascii="仿宋_GB2312" w:hAnsi="仿宋_GB2312" w:eastAsia="仿宋_GB2312" w:cs="仿宋_GB2312"/>
              <w:sz w:val="28"/>
              <w:szCs w:val="44"/>
            </w:rPr>
            <w:t>（一）</w:t>
          </w:r>
          <w:r>
            <w:rPr>
              <w:rFonts w:hint="eastAsia" w:ascii="仿宋_GB2312" w:hAnsi="仿宋_GB2312" w:eastAsia="仿宋_GB2312" w:cs="仿宋_GB2312"/>
              <w:sz w:val="28"/>
              <w:szCs w:val="44"/>
              <w:lang w:eastAsia="zh-CN"/>
            </w:rPr>
            <w:t>部门</w:t>
          </w:r>
          <w:r>
            <w:rPr>
              <w:rFonts w:hint="eastAsia" w:ascii="仿宋_GB2312" w:hAnsi="仿宋_GB2312" w:eastAsia="仿宋_GB2312" w:cs="仿宋_GB2312"/>
              <w:sz w:val="28"/>
              <w:szCs w:val="44"/>
            </w:rPr>
            <w:t>概况</w:t>
          </w:r>
          <w:r>
            <w:rPr>
              <w:rFonts w:hint="eastAsia" w:ascii="仿宋_GB2312" w:hAnsi="仿宋_GB2312" w:eastAsia="仿宋_GB2312" w:cs="仿宋_GB2312"/>
              <w:sz w:val="28"/>
              <w:szCs w:val="32"/>
            </w:rPr>
            <w:tab/>
          </w:r>
          <w:r>
            <w:rPr>
              <w:rFonts w:hint="eastAsia" w:ascii="Calibri" w:hAnsi="Calibri" w:eastAsia="宋体" w:cs="黑体"/>
              <w:kern w:val="2"/>
              <w:sz w:val="28"/>
              <w:szCs w:val="32"/>
              <w:lang w:val="en-US" w:eastAsia="zh-CN" w:bidi="ar-SA"/>
            </w:rPr>
            <w:fldChar w:fldCharType="begin"/>
          </w:r>
          <w:r>
            <w:rPr>
              <w:rFonts w:hint="eastAsia" w:ascii="Calibri" w:hAnsi="Calibri" w:eastAsia="宋体" w:cs="黑体"/>
              <w:kern w:val="2"/>
              <w:sz w:val="28"/>
              <w:szCs w:val="32"/>
              <w:lang w:val="en-US" w:eastAsia="zh-CN" w:bidi="ar-SA"/>
            </w:rPr>
            <w:instrText xml:space="preserve"> PAGEREF _Toc7026 \h </w:instrText>
          </w:r>
          <w:r>
            <w:rPr>
              <w:rFonts w:hint="eastAsia" w:ascii="Calibri" w:hAnsi="Calibri" w:eastAsia="宋体" w:cs="黑体"/>
              <w:kern w:val="2"/>
              <w:sz w:val="28"/>
              <w:szCs w:val="32"/>
              <w:lang w:val="en-US" w:eastAsia="zh-CN" w:bidi="ar-SA"/>
            </w:rPr>
            <w:fldChar w:fldCharType="separate"/>
          </w:r>
          <w:r>
            <w:rPr>
              <w:rFonts w:hint="eastAsia" w:ascii="Calibri" w:hAnsi="Calibri" w:eastAsia="宋体" w:cs="黑体"/>
              <w:kern w:val="2"/>
              <w:sz w:val="28"/>
              <w:szCs w:val="32"/>
              <w:lang w:val="en-US" w:eastAsia="zh-CN" w:bidi="ar-SA"/>
            </w:rPr>
            <w:t>- 1 -</w:t>
          </w:r>
          <w:r>
            <w:rPr>
              <w:rFonts w:hint="eastAsia" w:ascii="Calibri" w:hAnsi="Calibri" w:eastAsia="宋体" w:cs="黑体"/>
              <w:kern w:val="2"/>
              <w:sz w:val="28"/>
              <w:szCs w:val="32"/>
              <w:lang w:val="en-US" w:eastAsia="zh-CN" w:bidi="ar-SA"/>
            </w:rPr>
            <w:fldChar w:fldCharType="end"/>
          </w:r>
          <w:r>
            <w:rPr>
              <w:rFonts w:hint="eastAsia" w:ascii="仿宋_GB2312" w:hAnsi="仿宋_GB2312" w:eastAsia="仿宋_GB2312" w:cs="仿宋_GB2312"/>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rFonts w:hint="eastAsia" w:ascii="仿宋_GB2312" w:hAnsi="仿宋_GB2312" w:eastAsia="仿宋_GB2312" w:cs="仿宋_GB2312"/>
              <w:sz w:val="28"/>
              <w:szCs w:val="32"/>
            </w:rPr>
          </w:pPr>
          <w:r>
            <w:rPr>
              <w:rFonts w:hint="eastAsia" w:ascii="仿宋_GB2312" w:hAnsi="仿宋_GB2312" w:eastAsia="仿宋_GB2312" w:cs="仿宋_GB2312"/>
              <w:bCs/>
              <w:sz w:val="28"/>
              <w:szCs w:val="56"/>
              <w:lang w:eastAsia="zh-CN"/>
            </w:rPr>
            <w:fldChar w:fldCharType="begin"/>
          </w:r>
          <w:r>
            <w:rPr>
              <w:rFonts w:hint="eastAsia" w:ascii="仿宋_GB2312" w:hAnsi="仿宋_GB2312" w:eastAsia="仿宋_GB2312" w:cs="仿宋_GB2312"/>
              <w:bCs/>
              <w:sz w:val="28"/>
              <w:szCs w:val="56"/>
              <w:lang w:eastAsia="zh-CN"/>
            </w:rPr>
            <w:instrText xml:space="preserve"> HYPERLINK \l _Toc25571 </w:instrText>
          </w:r>
          <w:r>
            <w:rPr>
              <w:rFonts w:hint="eastAsia" w:ascii="仿宋_GB2312" w:hAnsi="仿宋_GB2312" w:eastAsia="仿宋_GB2312" w:cs="仿宋_GB2312"/>
              <w:bCs/>
              <w:sz w:val="28"/>
              <w:szCs w:val="56"/>
              <w:lang w:eastAsia="zh-CN"/>
            </w:rPr>
            <w:fldChar w:fldCharType="separate"/>
          </w:r>
          <w:r>
            <w:rPr>
              <w:rFonts w:hint="eastAsia" w:ascii="仿宋_GB2312" w:hAnsi="仿宋_GB2312" w:eastAsia="仿宋_GB2312" w:cs="仿宋_GB2312"/>
              <w:bCs/>
              <w:sz w:val="28"/>
              <w:szCs w:val="44"/>
              <w:highlight w:val="none"/>
              <w:lang w:eastAsia="zh-CN"/>
            </w:rPr>
            <w:t>（</w:t>
          </w:r>
          <w:r>
            <w:rPr>
              <w:rFonts w:hint="eastAsia" w:ascii="仿宋_GB2312" w:hAnsi="仿宋_GB2312" w:eastAsia="仿宋_GB2312" w:cs="仿宋_GB2312"/>
              <w:bCs/>
              <w:sz w:val="28"/>
              <w:szCs w:val="44"/>
              <w:highlight w:val="none"/>
              <w:lang w:val="en-US" w:eastAsia="zh-CN"/>
            </w:rPr>
            <w:t>二</w:t>
          </w:r>
          <w:r>
            <w:rPr>
              <w:rFonts w:hint="eastAsia" w:ascii="仿宋_GB2312" w:hAnsi="仿宋_GB2312" w:eastAsia="仿宋_GB2312" w:cs="仿宋_GB2312"/>
              <w:bCs/>
              <w:sz w:val="28"/>
              <w:szCs w:val="44"/>
              <w:highlight w:val="none"/>
              <w:lang w:eastAsia="zh-CN"/>
            </w:rPr>
            <w:t>）部门收支预决算情况</w:t>
          </w:r>
          <w:r>
            <w:rPr>
              <w:rFonts w:hint="eastAsia" w:ascii="仿宋_GB2312" w:hAnsi="仿宋_GB2312" w:eastAsia="仿宋_GB2312" w:cs="仿宋_GB2312"/>
              <w:sz w:val="28"/>
              <w:szCs w:val="32"/>
            </w:rPr>
            <w:tab/>
          </w:r>
          <w:r>
            <w:rPr>
              <w:rFonts w:hint="eastAsia" w:ascii="Calibri" w:hAnsi="Calibri" w:eastAsia="宋体" w:cs="黑体"/>
              <w:kern w:val="2"/>
              <w:sz w:val="28"/>
              <w:szCs w:val="32"/>
              <w:lang w:val="en-US" w:eastAsia="zh-CN" w:bidi="ar-SA"/>
            </w:rPr>
            <w:fldChar w:fldCharType="begin"/>
          </w:r>
          <w:r>
            <w:rPr>
              <w:rFonts w:hint="eastAsia" w:ascii="Calibri" w:hAnsi="Calibri" w:eastAsia="宋体" w:cs="黑体"/>
              <w:kern w:val="2"/>
              <w:sz w:val="28"/>
              <w:szCs w:val="32"/>
              <w:lang w:val="en-US" w:eastAsia="zh-CN" w:bidi="ar-SA"/>
            </w:rPr>
            <w:instrText xml:space="preserve"> PAGEREF _Toc25571 \h </w:instrText>
          </w:r>
          <w:r>
            <w:rPr>
              <w:rFonts w:hint="eastAsia" w:ascii="Calibri" w:hAnsi="Calibri" w:eastAsia="宋体" w:cs="黑体"/>
              <w:kern w:val="2"/>
              <w:sz w:val="28"/>
              <w:szCs w:val="32"/>
              <w:lang w:val="en-US" w:eastAsia="zh-CN" w:bidi="ar-SA"/>
            </w:rPr>
            <w:fldChar w:fldCharType="separate"/>
          </w:r>
          <w:r>
            <w:rPr>
              <w:rFonts w:hint="eastAsia" w:ascii="Calibri" w:hAnsi="Calibri" w:eastAsia="宋体" w:cs="黑体"/>
              <w:kern w:val="2"/>
              <w:sz w:val="28"/>
              <w:szCs w:val="32"/>
              <w:lang w:val="en-US" w:eastAsia="zh-CN" w:bidi="ar-SA"/>
            </w:rPr>
            <w:t>- 3 -</w:t>
          </w:r>
          <w:r>
            <w:rPr>
              <w:rFonts w:hint="eastAsia" w:ascii="Calibri" w:hAnsi="Calibri" w:eastAsia="宋体" w:cs="黑体"/>
              <w:kern w:val="2"/>
              <w:sz w:val="28"/>
              <w:szCs w:val="32"/>
              <w:lang w:val="en-US" w:eastAsia="zh-CN" w:bidi="ar-SA"/>
            </w:rPr>
            <w:fldChar w:fldCharType="end"/>
          </w:r>
          <w:r>
            <w:rPr>
              <w:rFonts w:hint="eastAsia" w:ascii="仿宋_GB2312" w:hAnsi="仿宋_GB2312" w:eastAsia="仿宋_GB2312" w:cs="仿宋_GB2312"/>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sz w:val="28"/>
              <w:szCs w:val="32"/>
            </w:rPr>
          </w:pPr>
          <w:r>
            <w:rPr>
              <w:rFonts w:hint="eastAsia" w:ascii="仿宋_GB2312" w:hAnsi="仿宋_GB2312" w:eastAsia="仿宋_GB2312" w:cs="仿宋_GB2312"/>
              <w:bCs/>
              <w:sz w:val="28"/>
              <w:szCs w:val="56"/>
              <w:lang w:eastAsia="zh-CN"/>
            </w:rPr>
            <w:fldChar w:fldCharType="begin"/>
          </w:r>
          <w:r>
            <w:rPr>
              <w:rFonts w:hint="eastAsia" w:ascii="仿宋_GB2312" w:hAnsi="仿宋_GB2312" w:eastAsia="仿宋_GB2312" w:cs="仿宋_GB2312"/>
              <w:bCs/>
              <w:sz w:val="28"/>
              <w:szCs w:val="56"/>
              <w:lang w:eastAsia="zh-CN"/>
            </w:rPr>
            <w:instrText xml:space="preserve"> HYPERLINK \l _Toc15733 </w:instrText>
          </w:r>
          <w:r>
            <w:rPr>
              <w:rFonts w:hint="eastAsia" w:ascii="仿宋_GB2312" w:hAnsi="仿宋_GB2312" w:eastAsia="仿宋_GB2312" w:cs="仿宋_GB2312"/>
              <w:bCs/>
              <w:sz w:val="28"/>
              <w:szCs w:val="56"/>
              <w:lang w:eastAsia="zh-CN"/>
            </w:rPr>
            <w:fldChar w:fldCharType="separate"/>
          </w:r>
          <w:r>
            <w:rPr>
              <w:rFonts w:hint="eastAsia" w:ascii="仿宋_GB2312" w:hAnsi="仿宋_GB2312" w:eastAsia="仿宋_GB2312" w:cs="仿宋_GB2312"/>
              <w:bCs/>
              <w:sz w:val="28"/>
              <w:szCs w:val="44"/>
              <w:lang w:eastAsia="zh-CN"/>
            </w:rPr>
            <w:t>（三）部门整体支出绩效目标、指标</w:t>
          </w:r>
          <w:r>
            <w:rPr>
              <w:rFonts w:hint="eastAsia" w:ascii="仿宋_GB2312" w:hAnsi="仿宋_GB2312" w:eastAsia="仿宋_GB2312" w:cs="仿宋_GB2312"/>
              <w:sz w:val="28"/>
              <w:szCs w:val="32"/>
            </w:rPr>
            <w:tab/>
          </w:r>
          <w:r>
            <w:rPr>
              <w:rFonts w:hint="eastAsia" w:ascii="仿宋_GB2312" w:hAnsi="仿宋_GB2312" w:eastAsia="仿宋_GB2312" w:cs="仿宋_GB2312"/>
              <w:sz w:val="28"/>
              <w:szCs w:val="32"/>
            </w:rPr>
            <w:fldChar w:fldCharType="begin"/>
          </w:r>
          <w:r>
            <w:rPr>
              <w:rFonts w:hint="eastAsia" w:ascii="仿宋_GB2312" w:hAnsi="仿宋_GB2312" w:eastAsia="仿宋_GB2312" w:cs="仿宋_GB2312"/>
              <w:sz w:val="28"/>
              <w:szCs w:val="32"/>
            </w:rPr>
            <w:instrText xml:space="preserve"> PAGEREF _Toc15733 \h </w:instrText>
          </w:r>
          <w:r>
            <w:rPr>
              <w:rFonts w:hint="eastAsia" w:ascii="仿宋_GB2312" w:hAnsi="仿宋_GB2312" w:eastAsia="仿宋_GB2312" w:cs="仿宋_GB2312"/>
              <w:sz w:val="28"/>
              <w:szCs w:val="32"/>
            </w:rPr>
            <w:fldChar w:fldCharType="separate"/>
          </w:r>
          <w:r>
            <w:rPr>
              <w:rFonts w:hint="eastAsia" w:ascii="Calibri" w:hAnsi="Calibri" w:eastAsia="宋体" w:cs="黑体"/>
              <w:kern w:val="2"/>
              <w:sz w:val="28"/>
              <w:szCs w:val="32"/>
              <w:lang w:val="en-US" w:eastAsia="zh-CN" w:bidi="ar-SA"/>
            </w:rPr>
            <w:t>- 4 -</w:t>
          </w:r>
          <w:r>
            <w:rPr>
              <w:rFonts w:hint="eastAsia" w:ascii="仿宋_GB2312" w:hAnsi="仿宋_GB2312" w:eastAsia="仿宋_GB2312" w:cs="仿宋_GB2312"/>
              <w:sz w:val="28"/>
              <w:szCs w:val="32"/>
            </w:rPr>
            <w:fldChar w:fldCharType="end"/>
          </w:r>
          <w:r>
            <w:rPr>
              <w:rFonts w:hint="eastAsia" w:ascii="仿宋_GB2312" w:hAnsi="仿宋_GB2312" w:eastAsia="仿宋_GB2312" w:cs="仿宋_GB2312"/>
              <w:bCs/>
              <w:sz w:val="28"/>
              <w:szCs w:val="56"/>
              <w:lang w:eastAsia="zh-CN"/>
            </w:rPr>
            <w:fldChar w:fldCharType="end"/>
          </w:r>
        </w:p>
        <w:p>
          <w:pPr>
            <w:pStyle w:val="9"/>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_Toc20289 </w:instrText>
          </w:r>
          <w:r>
            <w:rPr>
              <w:rFonts w:hint="eastAsia" w:ascii="宋体" w:hAnsi="宋体" w:cs="宋体"/>
              <w:bCs/>
              <w:sz w:val="28"/>
              <w:szCs w:val="56"/>
              <w:lang w:eastAsia="zh-CN"/>
            </w:rPr>
            <w:fldChar w:fldCharType="separate"/>
          </w:r>
          <w:r>
            <w:rPr>
              <w:rFonts w:hint="eastAsia" w:ascii="黑体" w:hAnsi="黑体" w:eastAsia="黑体"/>
              <w:sz w:val="28"/>
              <w:szCs w:val="44"/>
            </w:rPr>
            <w:t>二、自评工作</w:t>
          </w:r>
          <w:r>
            <w:rPr>
              <w:rFonts w:hint="eastAsia" w:ascii="黑体" w:hAnsi="黑体" w:eastAsia="黑体"/>
              <w:sz w:val="28"/>
              <w:szCs w:val="44"/>
              <w:lang w:eastAsia="zh-CN"/>
            </w:rPr>
            <w:t>开展</w:t>
          </w:r>
          <w:r>
            <w:rPr>
              <w:rFonts w:hint="eastAsia" w:ascii="黑体" w:hAnsi="黑体" w:eastAsia="黑体"/>
              <w:sz w:val="28"/>
              <w:szCs w:val="44"/>
            </w:rPr>
            <w:t>情况</w:t>
          </w:r>
          <w:r>
            <w:rPr>
              <w:sz w:val="28"/>
              <w:szCs w:val="32"/>
            </w:rPr>
            <w:tab/>
          </w:r>
          <w:r>
            <w:rPr>
              <w:sz w:val="28"/>
              <w:szCs w:val="32"/>
            </w:rPr>
            <w:fldChar w:fldCharType="begin"/>
          </w:r>
          <w:r>
            <w:rPr>
              <w:sz w:val="28"/>
              <w:szCs w:val="32"/>
            </w:rPr>
            <w:instrText xml:space="preserve"> PAGEREF _Toc20289 \h </w:instrText>
          </w:r>
          <w:r>
            <w:rPr>
              <w:sz w:val="28"/>
              <w:szCs w:val="32"/>
            </w:rPr>
            <w:fldChar w:fldCharType="separate"/>
          </w:r>
          <w:r>
            <w:rPr>
              <w:sz w:val="28"/>
              <w:szCs w:val="32"/>
            </w:rPr>
            <w:t>- 8 -</w:t>
          </w:r>
          <w:r>
            <w:rPr>
              <w:sz w:val="28"/>
              <w:szCs w:val="32"/>
            </w:rPr>
            <w:fldChar w:fldCharType="end"/>
          </w:r>
          <w:r>
            <w:rPr>
              <w:rFonts w:hint="eastAsia" w:ascii="宋体" w:hAnsi="宋体" w:cs="宋体"/>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_Toc22722 </w:instrText>
          </w:r>
          <w:r>
            <w:rPr>
              <w:rFonts w:hint="eastAsia" w:ascii="宋体" w:hAnsi="宋体" w:cs="宋体"/>
              <w:bCs/>
              <w:sz w:val="28"/>
              <w:szCs w:val="56"/>
              <w:lang w:eastAsia="zh-CN"/>
            </w:rPr>
            <w:fldChar w:fldCharType="separate"/>
          </w:r>
          <w:r>
            <w:rPr>
              <w:rFonts w:hint="eastAsia" w:ascii="仿宋_GB2312" w:hAnsi="仿宋_GB2312" w:eastAsia="仿宋_GB2312" w:cs="仿宋_GB2312"/>
              <w:bCs/>
              <w:sz w:val="28"/>
              <w:szCs w:val="44"/>
              <w:lang w:eastAsia="zh-CN"/>
            </w:rPr>
            <w:t>（一）自评的组织工作</w:t>
          </w:r>
          <w:r>
            <w:rPr>
              <w:sz w:val="28"/>
              <w:szCs w:val="32"/>
            </w:rPr>
            <w:tab/>
          </w:r>
          <w:r>
            <w:rPr>
              <w:sz w:val="28"/>
              <w:szCs w:val="32"/>
            </w:rPr>
            <w:fldChar w:fldCharType="begin"/>
          </w:r>
          <w:r>
            <w:rPr>
              <w:sz w:val="28"/>
              <w:szCs w:val="32"/>
            </w:rPr>
            <w:instrText xml:space="preserve"> PAGEREF _Toc22722 \h </w:instrText>
          </w:r>
          <w:r>
            <w:rPr>
              <w:sz w:val="28"/>
              <w:szCs w:val="32"/>
            </w:rPr>
            <w:fldChar w:fldCharType="separate"/>
          </w:r>
          <w:r>
            <w:rPr>
              <w:sz w:val="28"/>
              <w:szCs w:val="32"/>
            </w:rPr>
            <w:t>- 8 -</w:t>
          </w:r>
          <w:r>
            <w:rPr>
              <w:sz w:val="28"/>
              <w:szCs w:val="32"/>
            </w:rPr>
            <w:fldChar w:fldCharType="end"/>
          </w:r>
          <w:r>
            <w:rPr>
              <w:rFonts w:hint="eastAsia" w:ascii="宋体" w:hAnsi="宋体" w:cs="宋体"/>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_Toc28737 </w:instrText>
          </w:r>
          <w:r>
            <w:rPr>
              <w:rFonts w:hint="eastAsia" w:ascii="宋体" w:hAnsi="宋体" w:cs="宋体"/>
              <w:bCs/>
              <w:sz w:val="28"/>
              <w:szCs w:val="56"/>
              <w:lang w:eastAsia="zh-CN"/>
            </w:rPr>
            <w:fldChar w:fldCharType="separate"/>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lang w:val="en-US" w:eastAsia="zh-CN"/>
            </w:rPr>
            <w:t>二</w:t>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rPr>
            <w:t>绩效自评目的</w:t>
          </w:r>
          <w:r>
            <w:rPr>
              <w:sz w:val="28"/>
              <w:szCs w:val="32"/>
            </w:rPr>
            <w:tab/>
          </w:r>
          <w:r>
            <w:rPr>
              <w:sz w:val="28"/>
              <w:szCs w:val="32"/>
            </w:rPr>
            <w:fldChar w:fldCharType="begin"/>
          </w:r>
          <w:r>
            <w:rPr>
              <w:sz w:val="28"/>
              <w:szCs w:val="32"/>
            </w:rPr>
            <w:instrText xml:space="preserve"> PAGEREF _Toc28737 \h </w:instrText>
          </w:r>
          <w:r>
            <w:rPr>
              <w:sz w:val="28"/>
              <w:szCs w:val="32"/>
            </w:rPr>
            <w:fldChar w:fldCharType="separate"/>
          </w:r>
          <w:r>
            <w:rPr>
              <w:sz w:val="28"/>
              <w:szCs w:val="32"/>
            </w:rPr>
            <w:t>- 8 -</w:t>
          </w:r>
          <w:r>
            <w:rPr>
              <w:sz w:val="28"/>
              <w:szCs w:val="32"/>
            </w:rPr>
            <w:fldChar w:fldCharType="end"/>
          </w:r>
          <w:r>
            <w:rPr>
              <w:rFonts w:hint="eastAsia" w:ascii="宋体" w:hAnsi="宋体" w:cs="宋体"/>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_Toc31660 </w:instrText>
          </w:r>
          <w:r>
            <w:rPr>
              <w:rFonts w:hint="eastAsia" w:ascii="宋体" w:hAnsi="宋体" w:cs="宋体"/>
              <w:bCs/>
              <w:sz w:val="28"/>
              <w:szCs w:val="56"/>
              <w:lang w:eastAsia="zh-CN"/>
            </w:rPr>
            <w:fldChar w:fldCharType="separate"/>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lang w:val="en-US" w:eastAsia="zh-CN"/>
            </w:rPr>
            <w:t>三</w:t>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rPr>
            <w:t>绩效自评内容</w:t>
          </w:r>
          <w:r>
            <w:rPr>
              <w:sz w:val="28"/>
              <w:szCs w:val="32"/>
            </w:rPr>
            <w:tab/>
          </w:r>
          <w:r>
            <w:rPr>
              <w:sz w:val="28"/>
              <w:szCs w:val="32"/>
            </w:rPr>
            <w:fldChar w:fldCharType="begin"/>
          </w:r>
          <w:r>
            <w:rPr>
              <w:sz w:val="28"/>
              <w:szCs w:val="32"/>
            </w:rPr>
            <w:instrText xml:space="preserve"> PAGEREF _Toc31660 \h </w:instrText>
          </w:r>
          <w:r>
            <w:rPr>
              <w:sz w:val="28"/>
              <w:szCs w:val="32"/>
            </w:rPr>
            <w:fldChar w:fldCharType="separate"/>
          </w:r>
          <w:r>
            <w:rPr>
              <w:sz w:val="28"/>
              <w:szCs w:val="32"/>
            </w:rPr>
            <w:t>- 9 -</w:t>
          </w:r>
          <w:r>
            <w:rPr>
              <w:sz w:val="28"/>
              <w:szCs w:val="32"/>
            </w:rPr>
            <w:fldChar w:fldCharType="end"/>
          </w:r>
          <w:r>
            <w:rPr>
              <w:rFonts w:hint="eastAsia" w:ascii="宋体" w:hAnsi="宋体" w:cs="宋体"/>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_Toc23011 </w:instrText>
          </w:r>
          <w:r>
            <w:rPr>
              <w:rFonts w:hint="eastAsia" w:ascii="宋体" w:hAnsi="宋体" w:cs="宋体"/>
              <w:bCs/>
              <w:sz w:val="28"/>
              <w:szCs w:val="56"/>
              <w:lang w:eastAsia="zh-CN"/>
            </w:rPr>
            <w:fldChar w:fldCharType="separate"/>
          </w:r>
          <w:r>
            <w:rPr>
              <w:rFonts w:hint="eastAsia" w:ascii="仿宋" w:hAnsi="仿宋" w:eastAsia="仿宋" w:cs="楷体_GB2312"/>
              <w:bCs/>
              <w:sz w:val="28"/>
              <w:szCs w:val="44"/>
              <w:lang w:eastAsia="zh-CN"/>
            </w:rPr>
            <w:t>（</w:t>
          </w:r>
          <w:r>
            <w:rPr>
              <w:rFonts w:hint="eastAsia" w:ascii="仿宋" w:hAnsi="仿宋" w:eastAsia="仿宋" w:cs="楷体_GB2312"/>
              <w:bCs/>
              <w:sz w:val="28"/>
              <w:szCs w:val="44"/>
              <w:lang w:val="en-US" w:eastAsia="zh-CN"/>
            </w:rPr>
            <w:t>四</w:t>
          </w:r>
          <w:r>
            <w:rPr>
              <w:rFonts w:hint="eastAsia" w:ascii="仿宋" w:hAnsi="仿宋" w:eastAsia="仿宋" w:cs="楷体_GB2312"/>
              <w:bCs/>
              <w:sz w:val="28"/>
              <w:szCs w:val="44"/>
              <w:lang w:eastAsia="zh-CN"/>
            </w:rPr>
            <w:t>）</w:t>
          </w:r>
          <w:r>
            <w:rPr>
              <w:rFonts w:hint="eastAsia" w:ascii="仿宋" w:hAnsi="仿宋" w:eastAsia="仿宋" w:cs="楷体_GB2312"/>
              <w:bCs/>
              <w:sz w:val="28"/>
              <w:szCs w:val="44"/>
            </w:rPr>
            <w:t>自评的方法</w:t>
          </w:r>
          <w:r>
            <w:rPr>
              <w:sz w:val="28"/>
              <w:szCs w:val="32"/>
            </w:rPr>
            <w:tab/>
          </w:r>
          <w:r>
            <w:rPr>
              <w:sz w:val="28"/>
              <w:szCs w:val="32"/>
            </w:rPr>
            <w:fldChar w:fldCharType="begin"/>
          </w:r>
          <w:r>
            <w:rPr>
              <w:sz w:val="28"/>
              <w:szCs w:val="32"/>
            </w:rPr>
            <w:instrText xml:space="preserve"> PAGEREF _Toc23011 \h </w:instrText>
          </w:r>
          <w:r>
            <w:rPr>
              <w:sz w:val="28"/>
              <w:szCs w:val="32"/>
            </w:rPr>
            <w:fldChar w:fldCharType="separate"/>
          </w:r>
          <w:r>
            <w:rPr>
              <w:sz w:val="28"/>
              <w:szCs w:val="32"/>
            </w:rPr>
            <w:t>- 9 -</w:t>
          </w:r>
          <w:r>
            <w:rPr>
              <w:sz w:val="28"/>
              <w:szCs w:val="32"/>
            </w:rPr>
            <w:fldChar w:fldCharType="end"/>
          </w:r>
          <w:r>
            <w:rPr>
              <w:rFonts w:hint="eastAsia" w:ascii="宋体" w:hAnsi="宋体" w:cs="宋体"/>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_Toc6980 </w:instrText>
          </w:r>
          <w:r>
            <w:rPr>
              <w:rFonts w:hint="eastAsia" w:ascii="宋体" w:hAnsi="宋体" w:cs="宋体"/>
              <w:bCs/>
              <w:sz w:val="28"/>
              <w:szCs w:val="56"/>
              <w:lang w:eastAsia="zh-CN"/>
            </w:rPr>
            <w:fldChar w:fldCharType="separate"/>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lang w:val="en-US" w:eastAsia="zh-CN"/>
            </w:rPr>
            <w:t>五</w:t>
          </w:r>
          <w:r>
            <w:rPr>
              <w:rFonts w:hint="eastAsia" w:ascii="仿宋_GB2312" w:hAnsi="仿宋_GB2312" w:eastAsia="仿宋_GB2312" w:cs="仿宋_GB2312"/>
              <w:bCs/>
              <w:sz w:val="28"/>
              <w:szCs w:val="44"/>
              <w:lang w:eastAsia="zh-CN"/>
            </w:rPr>
            <w:t>）</w:t>
          </w:r>
          <w:r>
            <w:rPr>
              <w:rFonts w:hint="eastAsia" w:ascii="仿宋_GB2312" w:hAnsi="仿宋_GB2312" w:eastAsia="仿宋_GB2312" w:cs="仿宋_GB2312"/>
              <w:bCs/>
              <w:sz w:val="28"/>
              <w:szCs w:val="44"/>
            </w:rPr>
            <w:t>绩效自评</w:t>
          </w:r>
          <w:r>
            <w:rPr>
              <w:rFonts w:hint="eastAsia" w:ascii="仿宋_GB2312" w:hAnsi="仿宋_GB2312" w:eastAsia="仿宋_GB2312" w:cs="仿宋_GB2312"/>
              <w:bCs/>
              <w:sz w:val="28"/>
              <w:szCs w:val="44"/>
              <w:lang w:val="en-US" w:eastAsia="zh-CN"/>
            </w:rPr>
            <w:t>过程</w:t>
          </w:r>
          <w:r>
            <w:rPr>
              <w:sz w:val="28"/>
              <w:szCs w:val="32"/>
            </w:rPr>
            <w:tab/>
          </w:r>
          <w:r>
            <w:rPr>
              <w:sz w:val="28"/>
              <w:szCs w:val="32"/>
            </w:rPr>
            <w:fldChar w:fldCharType="begin"/>
          </w:r>
          <w:r>
            <w:rPr>
              <w:sz w:val="28"/>
              <w:szCs w:val="32"/>
            </w:rPr>
            <w:instrText xml:space="preserve"> PAGEREF _Toc6980 \h </w:instrText>
          </w:r>
          <w:r>
            <w:rPr>
              <w:sz w:val="28"/>
              <w:szCs w:val="32"/>
            </w:rPr>
            <w:fldChar w:fldCharType="separate"/>
          </w:r>
          <w:r>
            <w:rPr>
              <w:sz w:val="28"/>
              <w:szCs w:val="32"/>
            </w:rPr>
            <w:t>- 9 -</w:t>
          </w:r>
          <w:r>
            <w:rPr>
              <w:sz w:val="28"/>
              <w:szCs w:val="32"/>
            </w:rPr>
            <w:fldChar w:fldCharType="end"/>
          </w:r>
          <w:r>
            <w:rPr>
              <w:rFonts w:hint="eastAsia" w:ascii="宋体" w:hAnsi="宋体" w:cs="宋体"/>
              <w:bCs/>
              <w:sz w:val="28"/>
              <w:szCs w:val="56"/>
              <w:lang w:eastAsia="zh-CN"/>
            </w:rPr>
            <w:fldChar w:fldCharType="end"/>
          </w:r>
        </w:p>
        <w:p>
          <w:pPr>
            <w:pStyle w:val="9"/>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_Toc27327 </w:instrText>
          </w:r>
          <w:r>
            <w:rPr>
              <w:rFonts w:hint="eastAsia" w:ascii="宋体" w:hAnsi="宋体" w:cs="宋体"/>
              <w:bCs/>
              <w:sz w:val="28"/>
              <w:szCs w:val="56"/>
              <w:lang w:eastAsia="zh-CN"/>
            </w:rPr>
            <w:fldChar w:fldCharType="separate"/>
          </w:r>
          <w:r>
            <w:rPr>
              <w:rFonts w:hint="eastAsia" w:ascii="黑体" w:hAnsi="黑体" w:eastAsia="黑体"/>
              <w:sz w:val="28"/>
              <w:szCs w:val="44"/>
            </w:rPr>
            <w:t>三、</w:t>
          </w:r>
          <w:r>
            <w:rPr>
              <w:rFonts w:hint="eastAsia" w:ascii="黑体" w:hAnsi="黑体" w:eastAsia="黑体"/>
              <w:sz w:val="28"/>
              <w:szCs w:val="44"/>
              <w:lang w:eastAsia="zh-CN"/>
            </w:rPr>
            <w:t>部门整体支出</w:t>
          </w:r>
          <w:r>
            <w:rPr>
              <w:rFonts w:hint="eastAsia" w:ascii="黑体" w:hAnsi="黑体" w:eastAsia="黑体"/>
              <w:sz w:val="28"/>
              <w:szCs w:val="44"/>
            </w:rPr>
            <w:t>绩效</w:t>
          </w:r>
          <w:r>
            <w:rPr>
              <w:rFonts w:hint="eastAsia" w:ascii="黑体" w:hAnsi="黑体" w:eastAsia="黑体"/>
              <w:sz w:val="28"/>
              <w:szCs w:val="44"/>
              <w:lang w:eastAsia="zh-CN"/>
            </w:rPr>
            <w:t>目标实现情况及指标分析</w:t>
          </w:r>
          <w:r>
            <w:rPr>
              <w:sz w:val="28"/>
              <w:szCs w:val="32"/>
            </w:rPr>
            <w:tab/>
          </w:r>
          <w:r>
            <w:rPr>
              <w:sz w:val="28"/>
              <w:szCs w:val="32"/>
            </w:rPr>
            <w:fldChar w:fldCharType="begin"/>
          </w:r>
          <w:r>
            <w:rPr>
              <w:sz w:val="28"/>
              <w:szCs w:val="32"/>
            </w:rPr>
            <w:instrText xml:space="preserve"> PAGEREF _Toc27327 \h </w:instrText>
          </w:r>
          <w:r>
            <w:rPr>
              <w:sz w:val="28"/>
              <w:szCs w:val="32"/>
            </w:rPr>
            <w:fldChar w:fldCharType="separate"/>
          </w:r>
          <w:r>
            <w:rPr>
              <w:sz w:val="28"/>
              <w:szCs w:val="32"/>
            </w:rPr>
            <w:t>- 10 -</w:t>
          </w:r>
          <w:r>
            <w:rPr>
              <w:sz w:val="28"/>
              <w:szCs w:val="32"/>
            </w:rPr>
            <w:fldChar w:fldCharType="end"/>
          </w:r>
          <w:r>
            <w:rPr>
              <w:rFonts w:hint="eastAsia" w:ascii="宋体" w:hAnsi="宋体" w:cs="宋体"/>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rFonts w:hint="eastAsia" w:ascii="仿宋_GB2312" w:hAnsi="仿宋_GB2312" w:eastAsia="仿宋_GB2312" w:cs="仿宋_GB2312"/>
              <w:sz w:val="28"/>
              <w:szCs w:val="32"/>
            </w:rPr>
          </w:pPr>
          <w:r>
            <w:rPr>
              <w:rFonts w:hint="eastAsia" w:ascii="仿宋_GB2312" w:hAnsi="仿宋_GB2312" w:eastAsia="仿宋_GB2312" w:cs="仿宋_GB2312"/>
              <w:bCs/>
              <w:sz w:val="28"/>
              <w:szCs w:val="56"/>
              <w:lang w:eastAsia="zh-CN"/>
            </w:rPr>
            <w:fldChar w:fldCharType="begin"/>
          </w:r>
          <w:r>
            <w:rPr>
              <w:rFonts w:hint="eastAsia" w:ascii="仿宋_GB2312" w:hAnsi="仿宋_GB2312" w:eastAsia="仿宋_GB2312" w:cs="仿宋_GB2312"/>
              <w:bCs/>
              <w:sz w:val="28"/>
              <w:szCs w:val="56"/>
              <w:lang w:eastAsia="zh-CN"/>
            </w:rPr>
            <w:instrText xml:space="preserve"> HYPERLINK \l _Toc2663 </w:instrText>
          </w:r>
          <w:r>
            <w:rPr>
              <w:rFonts w:hint="eastAsia" w:ascii="仿宋_GB2312" w:hAnsi="仿宋_GB2312" w:eastAsia="仿宋_GB2312" w:cs="仿宋_GB2312"/>
              <w:bCs/>
              <w:sz w:val="28"/>
              <w:szCs w:val="56"/>
              <w:lang w:eastAsia="zh-CN"/>
            </w:rPr>
            <w:fldChar w:fldCharType="separate"/>
          </w:r>
          <w:r>
            <w:rPr>
              <w:rFonts w:hint="eastAsia" w:ascii="仿宋_GB2312" w:hAnsi="仿宋_GB2312" w:eastAsia="仿宋_GB2312" w:cs="仿宋_GB2312"/>
              <w:bCs/>
              <w:sz w:val="28"/>
              <w:szCs w:val="44"/>
            </w:rPr>
            <w:t>（一）</w:t>
          </w:r>
          <w:r>
            <w:rPr>
              <w:rFonts w:hint="eastAsia" w:ascii="仿宋_GB2312" w:hAnsi="仿宋_GB2312" w:eastAsia="仿宋_GB2312" w:cs="仿宋_GB2312"/>
              <w:bCs/>
              <w:sz w:val="28"/>
              <w:szCs w:val="44"/>
              <w:lang w:eastAsia="zh-CN"/>
            </w:rPr>
            <w:t>总体绩效目标实现情况</w:t>
          </w:r>
          <w:r>
            <w:rPr>
              <w:rFonts w:hint="eastAsia" w:ascii="仿宋_GB2312" w:hAnsi="仿宋_GB2312" w:eastAsia="仿宋_GB2312" w:cs="仿宋_GB2312"/>
              <w:sz w:val="28"/>
              <w:szCs w:val="32"/>
            </w:rPr>
            <w:tab/>
          </w:r>
          <w:r>
            <w:rPr>
              <w:rFonts w:hint="eastAsia" w:ascii="仿宋_GB2312" w:hAnsi="仿宋_GB2312" w:eastAsia="仿宋_GB2312" w:cs="仿宋_GB2312"/>
              <w:sz w:val="28"/>
              <w:szCs w:val="32"/>
            </w:rPr>
            <w:fldChar w:fldCharType="begin"/>
          </w:r>
          <w:r>
            <w:rPr>
              <w:rFonts w:hint="eastAsia" w:ascii="仿宋_GB2312" w:hAnsi="仿宋_GB2312" w:eastAsia="仿宋_GB2312" w:cs="仿宋_GB2312"/>
              <w:sz w:val="28"/>
              <w:szCs w:val="32"/>
            </w:rPr>
            <w:instrText xml:space="preserve"> PAGEREF _Toc2663 \h </w:instrText>
          </w:r>
          <w:r>
            <w:rPr>
              <w:rFonts w:hint="eastAsia" w:ascii="仿宋_GB2312" w:hAnsi="仿宋_GB2312" w:eastAsia="仿宋_GB2312" w:cs="仿宋_GB2312"/>
              <w:sz w:val="28"/>
              <w:szCs w:val="32"/>
            </w:rPr>
            <w:fldChar w:fldCharType="separate"/>
          </w:r>
          <w:r>
            <w:rPr>
              <w:rFonts w:hint="eastAsia" w:ascii="Calibri" w:hAnsi="Calibri" w:eastAsia="宋体" w:cs="黑体"/>
              <w:kern w:val="2"/>
              <w:sz w:val="28"/>
              <w:szCs w:val="32"/>
              <w:lang w:val="en-US" w:eastAsia="zh-CN" w:bidi="ar-SA"/>
            </w:rPr>
            <w:t>-</w:t>
          </w:r>
          <w:r>
            <w:rPr>
              <w:rFonts w:hint="eastAsia" w:ascii="Calibri" w:hAnsi="Calibri" w:eastAsia="宋体" w:cs="黑体"/>
              <w:kern w:val="2"/>
              <w:sz w:val="28"/>
              <w:szCs w:val="32"/>
              <w:lang w:val="en-US" w:eastAsia="zh-CN" w:bidi="ar-SA"/>
            </w:rPr>
            <w:t xml:space="preserve"> 10 -</w:t>
          </w:r>
          <w:r>
            <w:rPr>
              <w:rFonts w:hint="eastAsia" w:ascii="仿宋_GB2312" w:hAnsi="仿宋_GB2312" w:eastAsia="仿宋_GB2312" w:cs="仿宋_GB2312"/>
              <w:sz w:val="28"/>
              <w:szCs w:val="32"/>
            </w:rPr>
            <w:fldChar w:fldCharType="end"/>
          </w:r>
          <w:r>
            <w:rPr>
              <w:rFonts w:hint="eastAsia" w:ascii="仿宋_GB2312" w:hAnsi="仿宋_GB2312" w:eastAsia="仿宋_GB2312" w:cs="仿宋_GB2312"/>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sz w:val="28"/>
              <w:szCs w:val="32"/>
            </w:rPr>
          </w:pPr>
          <w:r>
            <w:rPr>
              <w:rFonts w:hint="eastAsia" w:ascii="仿宋_GB2312" w:hAnsi="仿宋_GB2312" w:eastAsia="仿宋_GB2312" w:cs="仿宋_GB2312"/>
              <w:bCs/>
              <w:sz w:val="28"/>
              <w:szCs w:val="56"/>
              <w:lang w:eastAsia="zh-CN"/>
            </w:rPr>
            <w:fldChar w:fldCharType="begin"/>
          </w:r>
          <w:r>
            <w:rPr>
              <w:rFonts w:hint="eastAsia" w:ascii="仿宋_GB2312" w:hAnsi="仿宋_GB2312" w:eastAsia="仿宋_GB2312" w:cs="仿宋_GB2312"/>
              <w:bCs/>
              <w:sz w:val="28"/>
              <w:szCs w:val="56"/>
              <w:lang w:eastAsia="zh-CN"/>
            </w:rPr>
            <w:instrText xml:space="preserve"> HYPERLINK \l _Toc26201 </w:instrText>
          </w:r>
          <w:r>
            <w:rPr>
              <w:rFonts w:hint="eastAsia" w:ascii="仿宋_GB2312" w:hAnsi="仿宋_GB2312" w:eastAsia="仿宋_GB2312" w:cs="仿宋_GB2312"/>
              <w:bCs/>
              <w:sz w:val="28"/>
              <w:szCs w:val="56"/>
              <w:lang w:eastAsia="zh-CN"/>
            </w:rPr>
            <w:fldChar w:fldCharType="separate"/>
          </w:r>
          <w:r>
            <w:rPr>
              <w:rFonts w:hint="eastAsia" w:ascii="仿宋_GB2312" w:hAnsi="仿宋_GB2312" w:eastAsia="仿宋_GB2312" w:cs="仿宋_GB2312"/>
              <w:bCs/>
              <w:sz w:val="28"/>
              <w:szCs w:val="44"/>
              <w:lang w:eastAsia="zh-CN"/>
            </w:rPr>
            <w:t>（二）</w:t>
          </w:r>
          <w:r>
            <w:rPr>
              <w:rFonts w:hint="eastAsia" w:ascii="仿宋_GB2312" w:hAnsi="仿宋_GB2312" w:eastAsia="仿宋_GB2312" w:cs="仿宋_GB2312"/>
              <w:bCs/>
              <w:sz w:val="28"/>
              <w:szCs w:val="44"/>
              <w:highlight w:val="none"/>
              <w:lang w:eastAsia="zh-CN"/>
            </w:rPr>
            <w:t>分项绩效目标实现情况及指标分析</w:t>
          </w:r>
          <w:r>
            <w:rPr>
              <w:rFonts w:hint="eastAsia" w:ascii="仿宋_GB2312" w:hAnsi="仿宋_GB2312" w:eastAsia="仿宋_GB2312" w:cs="仿宋_GB2312"/>
              <w:sz w:val="28"/>
              <w:szCs w:val="32"/>
            </w:rPr>
            <w:tab/>
          </w:r>
          <w:r>
            <w:rPr>
              <w:rFonts w:hint="eastAsia" w:ascii="Calibri" w:hAnsi="Calibri" w:eastAsia="宋体" w:cs="黑体"/>
              <w:kern w:val="2"/>
              <w:sz w:val="28"/>
              <w:szCs w:val="32"/>
              <w:lang w:val="en-US" w:eastAsia="zh-CN" w:bidi="ar-SA"/>
            </w:rPr>
            <w:fldChar w:fldCharType="begin"/>
          </w:r>
          <w:r>
            <w:rPr>
              <w:rFonts w:hint="eastAsia" w:ascii="Calibri" w:hAnsi="Calibri" w:eastAsia="宋体" w:cs="黑体"/>
              <w:kern w:val="2"/>
              <w:sz w:val="28"/>
              <w:szCs w:val="32"/>
              <w:lang w:val="en-US" w:eastAsia="zh-CN" w:bidi="ar-SA"/>
            </w:rPr>
            <w:instrText xml:space="preserve"> PAGEREF _Toc26201 \h </w:instrText>
          </w:r>
          <w:r>
            <w:rPr>
              <w:rFonts w:hint="eastAsia" w:ascii="Calibri" w:hAnsi="Calibri" w:eastAsia="宋体" w:cs="黑体"/>
              <w:kern w:val="2"/>
              <w:sz w:val="28"/>
              <w:szCs w:val="32"/>
              <w:lang w:val="en-US" w:eastAsia="zh-CN" w:bidi="ar-SA"/>
            </w:rPr>
            <w:fldChar w:fldCharType="separate"/>
          </w:r>
          <w:r>
            <w:rPr>
              <w:rFonts w:hint="eastAsia" w:ascii="Calibri" w:hAnsi="Calibri" w:eastAsia="宋体" w:cs="黑体"/>
              <w:kern w:val="2"/>
              <w:sz w:val="28"/>
              <w:szCs w:val="32"/>
              <w:lang w:val="en-US" w:eastAsia="zh-CN" w:bidi="ar-SA"/>
            </w:rPr>
            <w:t>- 10 -</w:t>
          </w:r>
          <w:r>
            <w:rPr>
              <w:rFonts w:hint="eastAsia" w:ascii="Calibri" w:hAnsi="Calibri" w:eastAsia="宋体" w:cs="黑体"/>
              <w:kern w:val="2"/>
              <w:sz w:val="28"/>
              <w:szCs w:val="32"/>
              <w:lang w:val="en-US" w:eastAsia="zh-CN" w:bidi="ar-SA"/>
            </w:rPr>
            <w:fldChar w:fldCharType="end"/>
          </w:r>
          <w:r>
            <w:rPr>
              <w:rFonts w:hint="eastAsia" w:ascii="仿宋_GB2312" w:hAnsi="仿宋_GB2312" w:eastAsia="仿宋_GB2312" w:cs="仿宋_GB2312"/>
              <w:bCs/>
              <w:sz w:val="28"/>
              <w:szCs w:val="56"/>
              <w:lang w:eastAsia="zh-CN"/>
            </w:rPr>
            <w:fldChar w:fldCharType="end"/>
          </w:r>
        </w:p>
        <w:p>
          <w:pPr>
            <w:pStyle w:val="9"/>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_Toc12853 </w:instrText>
          </w:r>
          <w:r>
            <w:rPr>
              <w:rFonts w:hint="eastAsia" w:ascii="宋体" w:hAnsi="宋体" w:cs="宋体"/>
              <w:bCs/>
              <w:sz w:val="28"/>
              <w:szCs w:val="56"/>
              <w:lang w:eastAsia="zh-CN"/>
            </w:rPr>
            <w:fldChar w:fldCharType="separate"/>
          </w:r>
          <w:r>
            <w:rPr>
              <w:rFonts w:hint="eastAsia" w:ascii="黑体" w:hAnsi="黑体" w:eastAsia="黑体"/>
              <w:sz w:val="28"/>
              <w:szCs w:val="44"/>
            </w:rPr>
            <w:t>四、评价结论和评价等级</w:t>
          </w:r>
          <w:r>
            <w:rPr>
              <w:sz w:val="28"/>
              <w:szCs w:val="32"/>
            </w:rPr>
            <w:tab/>
          </w:r>
          <w:r>
            <w:rPr>
              <w:sz w:val="28"/>
              <w:szCs w:val="32"/>
            </w:rPr>
            <w:fldChar w:fldCharType="begin"/>
          </w:r>
          <w:r>
            <w:rPr>
              <w:sz w:val="28"/>
              <w:szCs w:val="32"/>
            </w:rPr>
            <w:instrText xml:space="preserve"> PAGEREF _Toc12853 \h </w:instrText>
          </w:r>
          <w:r>
            <w:rPr>
              <w:sz w:val="28"/>
              <w:szCs w:val="32"/>
            </w:rPr>
            <w:fldChar w:fldCharType="separate"/>
          </w:r>
          <w:r>
            <w:rPr>
              <w:sz w:val="28"/>
              <w:szCs w:val="32"/>
            </w:rPr>
            <w:t>- 14 -</w:t>
          </w:r>
          <w:r>
            <w:rPr>
              <w:sz w:val="28"/>
              <w:szCs w:val="32"/>
            </w:rPr>
            <w:fldChar w:fldCharType="end"/>
          </w:r>
          <w:r>
            <w:rPr>
              <w:rFonts w:hint="eastAsia" w:ascii="宋体" w:hAnsi="宋体" w:cs="宋体"/>
              <w:bCs/>
              <w:sz w:val="28"/>
              <w:szCs w:val="56"/>
              <w:lang w:eastAsia="zh-CN"/>
            </w:rPr>
            <w:fldChar w:fldCharType="end"/>
          </w:r>
        </w:p>
        <w:p>
          <w:pPr>
            <w:pStyle w:val="9"/>
            <w:pageBreakBefore w:val="0"/>
            <w:tabs>
              <w:tab w:val="right" w:leader="dot" w:pos="8845"/>
            </w:tabs>
            <w:kinsoku/>
            <w:wordWrap/>
            <w:overflowPunct/>
            <w:topLinePunct w:val="0"/>
            <w:autoSpaceDE/>
            <w:autoSpaceDN/>
            <w:bidi w:val="0"/>
            <w:spacing w:line="578" w:lineRule="exact"/>
            <w:rPr>
              <w:sz w:val="28"/>
              <w:szCs w:val="32"/>
            </w:rPr>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_Toc15925 </w:instrText>
          </w:r>
          <w:r>
            <w:rPr>
              <w:rFonts w:hint="eastAsia" w:ascii="宋体" w:hAnsi="宋体" w:cs="宋体"/>
              <w:bCs/>
              <w:sz w:val="28"/>
              <w:szCs w:val="56"/>
              <w:lang w:eastAsia="zh-CN"/>
            </w:rPr>
            <w:fldChar w:fldCharType="separate"/>
          </w:r>
          <w:r>
            <w:rPr>
              <w:rFonts w:hint="eastAsia" w:ascii="黑体" w:hAnsi="黑体" w:eastAsia="黑体" w:cs="黑体"/>
              <w:sz w:val="28"/>
              <w:szCs w:val="44"/>
              <w:lang w:val="en-US" w:eastAsia="zh-CN"/>
            </w:rPr>
            <w:t>五、存在的问题及改进措施</w:t>
          </w:r>
          <w:r>
            <w:rPr>
              <w:sz w:val="28"/>
              <w:szCs w:val="32"/>
            </w:rPr>
            <w:tab/>
          </w:r>
          <w:r>
            <w:rPr>
              <w:sz w:val="28"/>
              <w:szCs w:val="32"/>
            </w:rPr>
            <w:fldChar w:fldCharType="begin"/>
          </w:r>
          <w:r>
            <w:rPr>
              <w:sz w:val="28"/>
              <w:szCs w:val="32"/>
            </w:rPr>
            <w:instrText xml:space="preserve"> PAGEREF _Toc15925 \h </w:instrText>
          </w:r>
          <w:r>
            <w:rPr>
              <w:sz w:val="28"/>
              <w:szCs w:val="32"/>
            </w:rPr>
            <w:fldChar w:fldCharType="separate"/>
          </w:r>
          <w:r>
            <w:rPr>
              <w:sz w:val="28"/>
              <w:szCs w:val="32"/>
            </w:rPr>
            <w:t>- 15 -</w:t>
          </w:r>
          <w:r>
            <w:rPr>
              <w:sz w:val="28"/>
              <w:szCs w:val="32"/>
            </w:rPr>
            <w:fldChar w:fldCharType="end"/>
          </w:r>
          <w:r>
            <w:rPr>
              <w:rFonts w:hint="eastAsia" w:ascii="宋体" w:hAnsi="宋体" w:cs="宋体"/>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rFonts w:hint="eastAsia" w:ascii="仿宋_GB2312" w:hAnsi="仿宋_GB2312" w:eastAsia="仿宋_GB2312" w:cs="仿宋_GB2312"/>
              <w:sz w:val="28"/>
              <w:szCs w:val="32"/>
            </w:rPr>
          </w:pPr>
          <w:r>
            <w:rPr>
              <w:rFonts w:hint="eastAsia" w:ascii="仿宋_GB2312" w:hAnsi="仿宋_GB2312" w:eastAsia="仿宋_GB2312" w:cs="仿宋_GB2312"/>
              <w:bCs/>
              <w:sz w:val="28"/>
              <w:szCs w:val="56"/>
              <w:lang w:eastAsia="zh-CN"/>
            </w:rPr>
            <w:fldChar w:fldCharType="begin"/>
          </w:r>
          <w:r>
            <w:rPr>
              <w:rFonts w:hint="eastAsia" w:ascii="仿宋_GB2312" w:hAnsi="仿宋_GB2312" w:eastAsia="仿宋_GB2312" w:cs="仿宋_GB2312"/>
              <w:bCs/>
              <w:sz w:val="28"/>
              <w:szCs w:val="56"/>
              <w:lang w:eastAsia="zh-CN"/>
            </w:rPr>
            <w:instrText xml:space="preserve"> HYPERLINK \l _Toc24424 </w:instrText>
          </w:r>
          <w:r>
            <w:rPr>
              <w:rFonts w:hint="eastAsia" w:ascii="仿宋_GB2312" w:hAnsi="仿宋_GB2312" w:eastAsia="仿宋_GB2312" w:cs="仿宋_GB2312"/>
              <w:bCs/>
              <w:sz w:val="28"/>
              <w:szCs w:val="56"/>
              <w:lang w:eastAsia="zh-CN"/>
            </w:rPr>
            <w:fldChar w:fldCharType="separate"/>
          </w:r>
          <w:r>
            <w:rPr>
              <w:rFonts w:hint="eastAsia" w:ascii="仿宋_GB2312" w:hAnsi="仿宋_GB2312" w:eastAsia="仿宋_GB2312" w:cs="仿宋_GB2312"/>
              <w:bCs/>
              <w:sz w:val="28"/>
              <w:szCs w:val="44"/>
            </w:rPr>
            <w:t>（</w:t>
          </w:r>
          <w:r>
            <w:rPr>
              <w:rFonts w:hint="eastAsia" w:ascii="仿宋_GB2312" w:hAnsi="仿宋_GB2312" w:eastAsia="仿宋_GB2312" w:cs="仿宋_GB2312"/>
              <w:bCs/>
              <w:sz w:val="28"/>
              <w:szCs w:val="44"/>
              <w:lang w:val="en-US" w:eastAsia="zh-CN"/>
            </w:rPr>
            <w:t>一</w:t>
          </w:r>
          <w:r>
            <w:rPr>
              <w:rFonts w:hint="eastAsia" w:ascii="仿宋_GB2312" w:hAnsi="仿宋_GB2312" w:eastAsia="仿宋_GB2312" w:cs="仿宋_GB2312"/>
              <w:bCs/>
              <w:sz w:val="28"/>
              <w:szCs w:val="44"/>
            </w:rPr>
            <w:t>）</w:t>
          </w:r>
          <w:r>
            <w:rPr>
              <w:rFonts w:hint="eastAsia" w:ascii="仿宋_GB2312" w:hAnsi="仿宋_GB2312" w:eastAsia="仿宋_GB2312" w:cs="仿宋_GB2312"/>
              <w:bCs/>
              <w:sz w:val="28"/>
              <w:szCs w:val="44"/>
              <w:lang w:val="en-US" w:eastAsia="zh-CN"/>
            </w:rPr>
            <w:t>存在的问题</w:t>
          </w:r>
          <w:r>
            <w:rPr>
              <w:rFonts w:hint="eastAsia" w:ascii="仿宋_GB2312" w:hAnsi="仿宋_GB2312" w:eastAsia="仿宋_GB2312" w:cs="仿宋_GB2312"/>
              <w:sz w:val="28"/>
              <w:szCs w:val="32"/>
            </w:rPr>
            <w:tab/>
          </w:r>
          <w:r>
            <w:rPr>
              <w:rFonts w:hint="eastAsia" w:ascii="Calibri" w:hAnsi="Calibri" w:eastAsia="宋体" w:cs="黑体"/>
              <w:kern w:val="2"/>
              <w:sz w:val="28"/>
              <w:szCs w:val="32"/>
              <w:lang w:val="en-US" w:eastAsia="zh-CN" w:bidi="ar-SA"/>
            </w:rPr>
            <w:fldChar w:fldCharType="begin"/>
          </w:r>
          <w:r>
            <w:rPr>
              <w:rFonts w:hint="eastAsia" w:ascii="Calibri" w:hAnsi="Calibri" w:eastAsia="宋体" w:cs="黑体"/>
              <w:kern w:val="2"/>
              <w:sz w:val="28"/>
              <w:szCs w:val="32"/>
              <w:lang w:val="en-US" w:eastAsia="zh-CN" w:bidi="ar-SA"/>
            </w:rPr>
            <w:instrText xml:space="preserve"> PAGEREF _Toc24424 \h </w:instrText>
          </w:r>
          <w:r>
            <w:rPr>
              <w:rFonts w:hint="eastAsia" w:ascii="Calibri" w:hAnsi="Calibri" w:eastAsia="宋体" w:cs="黑体"/>
              <w:kern w:val="2"/>
              <w:sz w:val="28"/>
              <w:szCs w:val="32"/>
              <w:lang w:val="en-US" w:eastAsia="zh-CN" w:bidi="ar-SA"/>
            </w:rPr>
            <w:fldChar w:fldCharType="separate"/>
          </w:r>
          <w:r>
            <w:rPr>
              <w:rFonts w:hint="eastAsia" w:ascii="Calibri" w:hAnsi="Calibri" w:eastAsia="宋体" w:cs="黑体"/>
              <w:kern w:val="2"/>
              <w:sz w:val="28"/>
              <w:szCs w:val="32"/>
              <w:lang w:val="en-US" w:eastAsia="zh-CN" w:bidi="ar-SA"/>
            </w:rPr>
            <w:t>- 15 -</w:t>
          </w:r>
          <w:r>
            <w:rPr>
              <w:rFonts w:hint="eastAsia" w:ascii="Calibri" w:hAnsi="Calibri" w:eastAsia="宋体" w:cs="黑体"/>
              <w:kern w:val="2"/>
              <w:sz w:val="28"/>
              <w:szCs w:val="32"/>
              <w:lang w:val="en-US" w:eastAsia="zh-CN" w:bidi="ar-SA"/>
            </w:rPr>
            <w:fldChar w:fldCharType="end"/>
          </w:r>
          <w:r>
            <w:rPr>
              <w:rFonts w:hint="eastAsia" w:ascii="仿宋_GB2312" w:hAnsi="仿宋_GB2312" w:eastAsia="仿宋_GB2312" w:cs="仿宋_GB2312"/>
              <w:bCs/>
              <w:sz w:val="28"/>
              <w:szCs w:val="56"/>
              <w:lang w:eastAsia="zh-CN"/>
            </w:rPr>
            <w:fldChar w:fldCharType="end"/>
          </w:r>
        </w:p>
        <w:p>
          <w:pPr>
            <w:pStyle w:val="10"/>
            <w:pageBreakBefore w:val="0"/>
            <w:tabs>
              <w:tab w:val="right" w:leader="dot" w:pos="8845"/>
            </w:tabs>
            <w:kinsoku/>
            <w:wordWrap/>
            <w:overflowPunct/>
            <w:topLinePunct w:val="0"/>
            <w:autoSpaceDE/>
            <w:autoSpaceDN/>
            <w:bidi w:val="0"/>
            <w:spacing w:line="578" w:lineRule="exact"/>
            <w:rPr>
              <w:sz w:val="28"/>
              <w:szCs w:val="32"/>
            </w:rPr>
          </w:pPr>
          <w:r>
            <w:rPr>
              <w:rFonts w:hint="eastAsia" w:ascii="仿宋_GB2312" w:hAnsi="仿宋_GB2312" w:eastAsia="仿宋_GB2312" w:cs="仿宋_GB2312"/>
              <w:bCs/>
              <w:sz w:val="28"/>
              <w:szCs w:val="56"/>
              <w:lang w:eastAsia="zh-CN"/>
            </w:rPr>
            <w:fldChar w:fldCharType="begin"/>
          </w:r>
          <w:r>
            <w:rPr>
              <w:rFonts w:hint="eastAsia" w:ascii="仿宋_GB2312" w:hAnsi="仿宋_GB2312" w:eastAsia="仿宋_GB2312" w:cs="仿宋_GB2312"/>
              <w:bCs/>
              <w:sz w:val="28"/>
              <w:szCs w:val="56"/>
              <w:lang w:eastAsia="zh-CN"/>
            </w:rPr>
            <w:instrText xml:space="preserve"> HYPERLINK \l _Toc12390 </w:instrText>
          </w:r>
          <w:r>
            <w:rPr>
              <w:rFonts w:hint="eastAsia" w:ascii="仿宋_GB2312" w:hAnsi="仿宋_GB2312" w:eastAsia="仿宋_GB2312" w:cs="仿宋_GB2312"/>
              <w:bCs/>
              <w:sz w:val="28"/>
              <w:szCs w:val="56"/>
              <w:lang w:eastAsia="zh-CN"/>
            </w:rPr>
            <w:fldChar w:fldCharType="separate"/>
          </w:r>
          <w:r>
            <w:rPr>
              <w:rFonts w:hint="eastAsia" w:ascii="仿宋_GB2312" w:hAnsi="仿宋_GB2312" w:eastAsia="仿宋_GB2312" w:cs="仿宋_GB2312"/>
              <w:bCs/>
              <w:sz w:val="28"/>
              <w:szCs w:val="44"/>
            </w:rPr>
            <w:t>（二）针对问题提出具体的改进措施或建议</w:t>
          </w:r>
          <w:r>
            <w:rPr>
              <w:rFonts w:hint="eastAsia" w:ascii="仿宋_GB2312" w:hAnsi="仿宋_GB2312" w:eastAsia="仿宋_GB2312" w:cs="仿宋_GB2312"/>
              <w:sz w:val="28"/>
              <w:szCs w:val="32"/>
            </w:rPr>
            <w:tab/>
          </w:r>
          <w:r>
            <w:rPr>
              <w:rFonts w:hint="eastAsia" w:ascii="Calibri" w:hAnsi="Calibri" w:eastAsia="宋体" w:cs="黑体"/>
              <w:kern w:val="2"/>
              <w:sz w:val="28"/>
              <w:szCs w:val="32"/>
              <w:lang w:val="en-US" w:eastAsia="zh-CN" w:bidi="ar-SA"/>
            </w:rPr>
            <w:fldChar w:fldCharType="begin"/>
          </w:r>
          <w:r>
            <w:rPr>
              <w:rFonts w:hint="eastAsia" w:ascii="Calibri" w:hAnsi="Calibri" w:eastAsia="宋体" w:cs="黑体"/>
              <w:kern w:val="2"/>
              <w:sz w:val="28"/>
              <w:szCs w:val="32"/>
              <w:lang w:val="en-US" w:eastAsia="zh-CN" w:bidi="ar-SA"/>
            </w:rPr>
            <w:instrText xml:space="preserve"> PAGEREF _Toc12390 \h </w:instrText>
          </w:r>
          <w:r>
            <w:rPr>
              <w:rFonts w:hint="eastAsia" w:ascii="Calibri" w:hAnsi="Calibri" w:eastAsia="宋体" w:cs="黑体"/>
              <w:kern w:val="2"/>
              <w:sz w:val="28"/>
              <w:szCs w:val="32"/>
              <w:lang w:val="en-US" w:eastAsia="zh-CN" w:bidi="ar-SA"/>
            </w:rPr>
            <w:fldChar w:fldCharType="separate"/>
          </w:r>
          <w:r>
            <w:rPr>
              <w:rFonts w:hint="eastAsia" w:ascii="Calibri" w:hAnsi="Calibri" w:eastAsia="宋体" w:cs="黑体"/>
              <w:kern w:val="2"/>
              <w:sz w:val="28"/>
              <w:szCs w:val="32"/>
              <w:lang w:val="en-US" w:eastAsia="zh-CN" w:bidi="ar-SA"/>
            </w:rPr>
            <w:t>- 15 -</w:t>
          </w:r>
          <w:r>
            <w:rPr>
              <w:rFonts w:hint="eastAsia" w:ascii="Calibri" w:hAnsi="Calibri" w:eastAsia="宋体" w:cs="黑体"/>
              <w:kern w:val="2"/>
              <w:sz w:val="28"/>
              <w:szCs w:val="32"/>
              <w:lang w:val="en-US" w:eastAsia="zh-CN" w:bidi="ar-SA"/>
            </w:rPr>
            <w:fldChar w:fldCharType="end"/>
          </w:r>
          <w:r>
            <w:rPr>
              <w:rFonts w:hint="eastAsia" w:ascii="仿宋_GB2312" w:hAnsi="仿宋_GB2312" w:eastAsia="仿宋_GB2312" w:cs="仿宋_GB2312"/>
              <w:bCs/>
              <w:sz w:val="28"/>
              <w:szCs w:val="56"/>
              <w:lang w:eastAsia="zh-CN"/>
            </w:rPr>
            <w:fldChar w:fldCharType="end"/>
          </w:r>
        </w:p>
        <w:p>
          <w:pPr>
            <w:pStyle w:val="9"/>
            <w:pageBreakBefore w:val="0"/>
            <w:tabs>
              <w:tab w:val="right" w:leader="dot" w:pos="8845"/>
            </w:tabs>
            <w:kinsoku/>
            <w:wordWrap/>
            <w:overflowPunct/>
            <w:topLinePunct w:val="0"/>
            <w:autoSpaceDE/>
            <w:autoSpaceDN/>
            <w:bidi w:val="0"/>
            <w:spacing w:line="578" w:lineRule="exact"/>
          </w:pPr>
          <w:r>
            <w:rPr>
              <w:rFonts w:hint="eastAsia" w:ascii="宋体" w:hAnsi="宋体" w:cs="宋体"/>
              <w:bCs/>
              <w:sz w:val="28"/>
              <w:szCs w:val="56"/>
              <w:lang w:eastAsia="zh-CN"/>
            </w:rPr>
            <w:fldChar w:fldCharType="begin"/>
          </w:r>
          <w:r>
            <w:rPr>
              <w:rFonts w:hint="eastAsia" w:ascii="宋体" w:hAnsi="宋体" w:cs="宋体"/>
              <w:bCs/>
              <w:sz w:val="28"/>
              <w:szCs w:val="56"/>
              <w:lang w:eastAsia="zh-CN"/>
            </w:rPr>
            <w:instrText xml:space="preserve"> HYPERLINK \l _Toc21273 </w:instrText>
          </w:r>
          <w:r>
            <w:rPr>
              <w:rFonts w:hint="eastAsia" w:ascii="宋体" w:hAnsi="宋体" w:cs="宋体"/>
              <w:bCs/>
              <w:sz w:val="28"/>
              <w:szCs w:val="56"/>
              <w:lang w:eastAsia="zh-CN"/>
            </w:rPr>
            <w:fldChar w:fldCharType="separate"/>
          </w:r>
          <w:r>
            <w:rPr>
              <w:rFonts w:hint="eastAsia" w:ascii="黑体" w:hAnsi="黑体" w:eastAsia="黑体" w:cs="黑体"/>
              <w:sz w:val="28"/>
              <w:szCs w:val="44"/>
              <w:lang w:val="en-US" w:eastAsia="zh-CN"/>
            </w:rPr>
            <w:t>六</w:t>
          </w:r>
          <w:r>
            <w:rPr>
              <w:rFonts w:hint="eastAsia" w:ascii="黑体" w:hAnsi="黑体" w:eastAsia="黑体" w:cs="黑体"/>
              <w:sz w:val="28"/>
              <w:szCs w:val="44"/>
            </w:rPr>
            <w:t>、</w:t>
          </w:r>
          <w:r>
            <w:rPr>
              <w:rFonts w:hint="eastAsia" w:ascii="黑体" w:hAnsi="黑体" w:eastAsia="黑体" w:cs="黑体"/>
              <w:sz w:val="28"/>
              <w:szCs w:val="44"/>
              <w:highlight w:val="none"/>
            </w:rPr>
            <w:t>评价工作组人员名单</w:t>
          </w:r>
          <w:r>
            <w:rPr>
              <w:rFonts w:hint="eastAsia" w:ascii="黑体" w:hAnsi="黑体" w:eastAsia="黑体" w:cs="黑体"/>
              <w:sz w:val="28"/>
              <w:szCs w:val="44"/>
            </w:rPr>
            <w:t>及签字</w:t>
          </w:r>
          <w:r>
            <w:rPr>
              <w:sz w:val="28"/>
              <w:szCs w:val="32"/>
            </w:rPr>
            <w:tab/>
          </w:r>
          <w:r>
            <w:rPr>
              <w:sz w:val="28"/>
              <w:szCs w:val="32"/>
            </w:rPr>
            <w:fldChar w:fldCharType="begin"/>
          </w:r>
          <w:r>
            <w:rPr>
              <w:sz w:val="28"/>
              <w:szCs w:val="32"/>
            </w:rPr>
            <w:instrText xml:space="preserve"> PAGEREF _Toc21273 \h </w:instrText>
          </w:r>
          <w:r>
            <w:rPr>
              <w:sz w:val="28"/>
              <w:szCs w:val="32"/>
            </w:rPr>
            <w:fldChar w:fldCharType="separate"/>
          </w:r>
          <w:r>
            <w:rPr>
              <w:sz w:val="28"/>
              <w:szCs w:val="32"/>
            </w:rPr>
            <w:t>- 16 -</w:t>
          </w:r>
          <w:r>
            <w:rPr>
              <w:sz w:val="28"/>
              <w:szCs w:val="32"/>
            </w:rPr>
            <w:fldChar w:fldCharType="end"/>
          </w:r>
          <w:r>
            <w:rPr>
              <w:rFonts w:hint="eastAsia" w:ascii="宋体" w:hAnsi="宋体" w:cs="宋体"/>
              <w:bCs/>
              <w:sz w:val="28"/>
              <w:szCs w:val="56"/>
              <w:lang w:eastAsia="zh-CN"/>
            </w:rPr>
            <w:fldChar w:fldCharType="end"/>
          </w:r>
        </w:p>
        <w:p>
          <w:pPr>
            <w:pStyle w:val="5"/>
            <w:pageBreakBefore w:val="0"/>
            <w:kinsoku/>
            <w:wordWrap/>
            <w:overflowPunct/>
            <w:topLinePunct w:val="0"/>
            <w:autoSpaceDE/>
            <w:autoSpaceDN/>
            <w:bidi w:val="0"/>
            <w:spacing w:before="0" w:after="0" w:line="578" w:lineRule="exact"/>
            <w:ind w:left="0" w:leftChars="0" w:right="0" w:rightChars="0" w:firstLine="0" w:firstLineChars="0"/>
            <w:jc w:val="center"/>
            <w:outlineLvl w:val="9"/>
            <w:rPr>
              <w:rFonts w:hint="eastAsia" w:ascii="宋体" w:hAnsi="宋体" w:cs="宋体"/>
              <w:b/>
              <w:bCs/>
              <w:sz w:val="44"/>
              <w:szCs w:val="44"/>
              <w:lang w:eastAsia="zh-CN"/>
            </w:rPr>
          </w:pPr>
          <w:r>
            <w:rPr>
              <w:rFonts w:hint="eastAsia" w:ascii="宋体" w:hAnsi="宋体" w:cs="宋体"/>
              <w:bCs/>
              <w:szCs w:val="44"/>
              <w:lang w:eastAsia="zh-CN"/>
            </w:rPr>
            <w:fldChar w:fldCharType="end"/>
          </w:r>
        </w:p>
      </w:sdtContent>
    </w:sdt>
    <w:p>
      <w:pPr>
        <w:pageBreakBefore w:val="0"/>
        <w:kinsoku/>
        <w:wordWrap/>
        <w:overflowPunct/>
        <w:topLinePunct w:val="0"/>
        <w:autoSpaceDE/>
        <w:autoSpaceDN/>
        <w:bidi w:val="0"/>
        <w:spacing w:line="578" w:lineRule="exact"/>
        <w:rPr>
          <w:rFonts w:hint="eastAsia" w:ascii="宋体" w:hAnsi="宋体" w:cs="宋体"/>
          <w:b/>
          <w:bCs/>
          <w:sz w:val="44"/>
          <w:szCs w:val="44"/>
          <w:lang w:eastAsia="zh-CN"/>
        </w:rPr>
      </w:pPr>
    </w:p>
    <w:p>
      <w:pPr>
        <w:pStyle w:val="5"/>
        <w:pageBreakBefore w:val="0"/>
        <w:kinsoku/>
        <w:wordWrap/>
        <w:overflowPunct/>
        <w:topLinePunct w:val="0"/>
        <w:autoSpaceDE/>
        <w:autoSpaceDN/>
        <w:bidi w:val="0"/>
        <w:spacing w:before="0" w:after="0" w:line="578" w:lineRule="exact"/>
        <w:outlineLvl w:val="9"/>
        <w:rPr>
          <w:rFonts w:hint="eastAsia" w:ascii="宋体" w:hAnsi="宋体" w:cs="宋体"/>
          <w:b/>
          <w:bCs/>
          <w:sz w:val="44"/>
          <w:szCs w:val="44"/>
          <w:lang w:eastAsia="zh-CN"/>
        </w:rPr>
        <w:sectPr>
          <w:footerReference r:id="rId4" w:type="default"/>
          <w:pgSz w:w="11906" w:h="16838"/>
          <w:pgMar w:top="1440" w:right="1474" w:bottom="1440" w:left="1587" w:header="851" w:footer="992" w:gutter="0"/>
          <w:pgNumType w:fmt="numberInDash"/>
          <w:cols w:space="0" w:num="1"/>
          <w:rtlGutter w:val="0"/>
          <w:docGrid w:type="lines" w:linePitch="312" w:charSpace="0"/>
        </w:sectPr>
      </w:pPr>
    </w:p>
    <w:p>
      <w:pPr>
        <w:pageBreakBefore w:val="0"/>
        <w:kinsoku/>
        <w:wordWrap/>
        <w:overflowPunct/>
        <w:topLinePunct w:val="0"/>
        <w:autoSpaceDE/>
        <w:autoSpaceDN/>
        <w:bidi w:val="0"/>
        <w:spacing w:line="578" w:lineRule="exact"/>
        <w:rPr>
          <w:rFonts w:hint="eastAsia"/>
          <w:lang w:eastAsia="zh-CN"/>
        </w:rPr>
      </w:pPr>
    </w:p>
    <w:p>
      <w:pPr>
        <w:keepNext w:val="0"/>
        <w:keepLines w:val="0"/>
        <w:pageBreakBefore w:val="0"/>
        <w:widowControl w:val="0"/>
        <w:kinsoku/>
        <w:wordWrap/>
        <w:overflowPunct/>
        <w:topLinePunct w:val="0"/>
        <w:autoSpaceDE/>
        <w:autoSpaceDN/>
        <w:bidi w:val="0"/>
        <w:spacing w:line="578" w:lineRule="exact"/>
        <w:ind w:left="0" w:leftChars="0" w:right="0"/>
        <w:jc w:val="center"/>
        <w:textAlignment w:val="auto"/>
        <w:outlineLvl w:val="9"/>
        <w:rPr>
          <w:rFonts w:hint="eastAsia" w:ascii="宋体" w:hAnsi="宋体" w:eastAsia="宋体" w:cs="宋体"/>
          <w:b/>
          <w:bCs/>
          <w:sz w:val="44"/>
          <w:szCs w:val="44"/>
          <w:lang w:eastAsia="zh-CN"/>
        </w:rPr>
      </w:pPr>
      <w:r>
        <w:rPr>
          <w:rFonts w:hint="eastAsia" w:ascii="宋体" w:hAnsi="宋体" w:cs="宋体"/>
          <w:b/>
          <w:bCs/>
          <w:sz w:val="44"/>
          <w:szCs w:val="44"/>
          <w:lang w:val="en-US" w:eastAsia="zh-CN"/>
        </w:rPr>
        <w:t>石家庄市卫生健康委员会</w:t>
      </w:r>
    </w:p>
    <w:p>
      <w:pPr>
        <w:keepNext w:val="0"/>
        <w:keepLines w:val="0"/>
        <w:pageBreakBefore w:val="0"/>
        <w:widowControl w:val="0"/>
        <w:kinsoku/>
        <w:wordWrap/>
        <w:overflowPunct/>
        <w:topLinePunct w:val="0"/>
        <w:autoSpaceDE/>
        <w:autoSpaceDN/>
        <w:bidi w:val="0"/>
        <w:spacing w:line="578" w:lineRule="exact"/>
        <w:ind w:left="0" w:leftChars="0" w:right="0"/>
        <w:jc w:val="center"/>
        <w:textAlignment w:val="auto"/>
        <w:outlineLvl w:val="9"/>
        <w:rPr>
          <w:rFonts w:hint="eastAsia" w:ascii="宋体" w:hAnsi="宋体" w:cs="宋体"/>
          <w:b/>
          <w:bCs/>
          <w:sz w:val="44"/>
          <w:szCs w:val="44"/>
        </w:rPr>
      </w:pPr>
      <w:bookmarkStart w:id="1" w:name="_Toc6783"/>
      <w:bookmarkStart w:id="2" w:name="_Toc22577"/>
      <w:r>
        <w:rPr>
          <w:rFonts w:hint="eastAsia" w:ascii="宋体" w:hAnsi="宋体" w:eastAsia="宋体" w:cs="宋体"/>
          <w:b/>
          <w:bCs/>
          <w:sz w:val="44"/>
          <w:szCs w:val="44"/>
          <w:lang w:val="en-US" w:eastAsia="zh-CN"/>
        </w:rPr>
        <w:t>202</w:t>
      </w:r>
      <w:r>
        <w:rPr>
          <w:rFonts w:hint="eastAsia" w:ascii="宋体" w:hAnsi="宋体" w:cs="宋体"/>
          <w:b/>
          <w:bCs/>
          <w:sz w:val="44"/>
          <w:szCs w:val="44"/>
          <w:lang w:val="en-US" w:eastAsia="zh-CN"/>
        </w:rPr>
        <w:t>2</w:t>
      </w:r>
      <w:r>
        <w:rPr>
          <w:rFonts w:hint="eastAsia" w:ascii="宋体" w:hAnsi="宋体" w:eastAsia="宋体" w:cs="宋体"/>
          <w:b/>
          <w:bCs/>
          <w:sz w:val="44"/>
          <w:szCs w:val="44"/>
          <w:lang w:val="en-US" w:eastAsia="zh-CN"/>
        </w:rPr>
        <w:t>年度</w:t>
      </w:r>
      <w:r>
        <w:rPr>
          <w:rFonts w:hint="eastAsia" w:ascii="宋体" w:hAnsi="宋体" w:cs="宋体"/>
          <w:b/>
          <w:bCs/>
          <w:sz w:val="44"/>
          <w:szCs w:val="44"/>
          <w:lang w:val="en-US" w:eastAsia="zh-CN"/>
        </w:rPr>
        <w:t>部门</w:t>
      </w:r>
      <w:r>
        <w:rPr>
          <w:rFonts w:hint="eastAsia" w:ascii="宋体" w:hAnsi="宋体" w:eastAsia="宋体" w:cs="宋体"/>
          <w:b/>
          <w:bCs/>
          <w:sz w:val="44"/>
          <w:szCs w:val="44"/>
          <w:lang w:val="en-US" w:eastAsia="zh-CN"/>
        </w:rPr>
        <w:t>整体支出</w:t>
      </w:r>
      <w:bookmarkEnd w:id="1"/>
      <w:bookmarkEnd w:id="2"/>
      <w:bookmarkStart w:id="3" w:name="_Toc15596"/>
      <w:bookmarkStart w:id="4" w:name="_Toc9764"/>
      <w:r>
        <w:rPr>
          <w:rFonts w:hint="eastAsia" w:ascii="宋体" w:hAnsi="宋体" w:eastAsia="宋体" w:cs="宋体"/>
          <w:b/>
          <w:bCs/>
          <w:sz w:val="44"/>
          <w:szCs w:val="44"/>
          <w:lang w:val="en-US" w:eastAsia="zh-CN"/>
        </w:rPr>
        <w:t>绩效</w:t>
      </w:r>
      <w:r>
        <w:rPr>
          <w:rFonts w:hint="eastAsia" w:ascii="宋体" w:hAnsi="宋体" w:eastAsia="宋体" w:cs="宋体"/>
          <w:b/>
          <w:bCs/>
          <w:sz w:val="44"/>
          <w:szCs w:val="44"/>
          <w:lang w:eastAsia="zh-CN"/>
        </w:rPr>
        <w:t>自</w:t>
      </w:r>
      <w:r>
        <w:rPr>
          <w:rFonts w:hint="eastAsia" w:ascii="宋体" w:hAnsi="宋体" w:cs="宋体"/>
          <w:b/>
          <w:bCs/>
          <w:sz w:val="44"/>
          <w:szCs w:val="44"/>
        </w:rPr>
        <w:t>评报告</w:t>
      </w:r>
      <w:bookmarkEnd w:id="3"/>
      <w:bookmarkEnd w:id="4"/>
    </w:p>
    <w:p>
      <w:pPr>
        <w:keepNext w:val="0"/>
        <w:keepLines w:val="0"/>
        <w:pageBreakBefore w:val="0"/>
        <w:widowControl w:val="0"/>
        <w:kinsoku/>
        <w:wordWrap/>
        <w:overflowPunct/>
        <w:topLinePunct w:val="0"/>
        <w:autoSpaceDE/>
        <w:autoSpaceDN/>
        <w:bidi w:val="0"/>
        <w:spacing w:line="578" w:lineRule="exact"/>
        <w:ind w:left="0" w:leftChars="0" w:right="0"/>
        <w:jc w:val="center"/>
        <w:textAlignment w:val="auto"/>
        <w:outlineLvl w:val="9"/>
        <w:rPr>
          <w:rFonts w:ascii="华文楷体" w:eastAsia="华文楷体"/>
          <w:sz w:val="32"/>
          <w:szCs w:val="32"/>
        </w:rPr>
      </w:pP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为</w:t>
      </w:r>
      <w:r>
        <w:rPr>
          <w:rFonts w:hint="eastAsia" w:ascii="仿宋_GB2312" w:hAnsi="仿宋_GB2312" w:eastAsia="仿宋_GB2312" w:cs="仿宋_GB2312"/>
          <w:sz w:val="32"/>
          <w:szCs w:val="32"/>
        </w:rPr>
        <w:t>贯彻落实</w:t>
      </w:r>
      <w:r>
        <w:rPr>
          <w:rFonts w:hint="eastAsia" w:ascii="仿宋_GB2312" w:hAnsi="仿宋_GB2312" w:eastAsia="仿宋_GB2312" w:cs="仿宋_GB2312"/>
          <w:sz w:val="32"/>
          <w:szCs w:val="32"/>
          <w:lang w:eastAsia="zh-CN"/>
        </w:rPr>
        <w:t>市委市政府《关于全面落实预算绩效管理的实施意见》（石发﹝</w:t>
      </w:r>
      <w:r>
        <w:rPr>
          <w:rFonts w:hint="eastAsia" w:ascii="仿宋_GB2312" w:hAnsi="仿宋_GB2312" w:eastAsia="仿宋_GB2312" w:cs="仿宋_GB2312"/>
          <w:sz w:val="32"/>
          <w:szCs w:val="32"/>
          <w:lang w:val="en-US" w:eastAsia="zh-CN"/>
        </w:rPr>
        <w:t>2019</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8号</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文件精神，遵循“科学性、规范性、客观性和公正性”的原则，</w:t>
      </w:r>
      <w:r>
        <w:rPr>
          <w:rFonts w:hint="eastAsia" w:ascii="仿宋_GB2312" w:hAnsi="仿宋_GB2312" w:eastAsia="仿宋_GB2312" w:cs="仿宋_GB2312"/>
          <w:sz w:val="32"/>
          <w:szCs w:val="32"/>
          <w:lang w:val="en-US" w:eastAsia="zh-CN"/>
        </w:rPr>
        <w:t>石家庄市卫生健康委员会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以下简称“我委”</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对2022年部门</w:t>
      </w:r>
      <w:r>
        <w:rPr>
          <w:rFonts w:hint="eastAsia" w:ascii="仿宋_GB2312" w:hAnsi="仿宋_GB2312" w:eastAsia="仿宋_GB2312" w:cs="仿宋_GB2312"/>
          <w:sz w:val="32"/>
          <w:szCs w:val="32"/>
          <w:lang w:eastAsia="zh-CN"/>
        </w:rPr>
        <w:t>整体支出情况</w:t>
      </w:r>
      <w:r>
        <w:rPr>
          <w:rFonts w:hint="eastAsia" w:ascii="仿宋_GB2312" w:hAnsi="仿宋_GB2312" w:eastAsia="仿宋_GB2312" w:cs="仿宋_GB2312"/>
          <w:sz w:val="32"/>
          <w:szCs w:val="32"/>
        </w:rPr>
        <w:t>实施了财政支出绩效自评价，形成本评价报告。</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0"/>
        <w:rPr>
          <w:rFonts w:ascii="黑体" w:hAnsi="黑体" w:eastAsia="黑体"/>
          <w:b/>
          <w:bCs/>
          <w:sz w:val="32"/>
          <w:szCs w:val="32"/>
        </w:rPr>
      </w:pPr>
      <w:bookmarkStart w:id="5" w:name="_Toc25494"/>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2"/>
        </w:rPr>
        <w:t>基本情况</w:t>
      </w:r>
      <w:bookmarkEnd w:id="5"/>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1"/>
        <w:rPr>
          <w:rFonts w:hint="eastAsia" w:ascii="楷体" w:hAnsi="楷体" w:eastAsia="楷体" w:cs="楷体"/>
          <w:sz w:val="32"/>
          <w:szCs w:val="32"/>
        </w:rPr>
      </w:pPr>
      <w:bookmarkStart w:id="6" w:name="_Toc7026"/>
      <w:r>
        <w:rPr>
          <w:rFonts w:hint="eastAsia" w:ascii="楷体" w:hAnsi="楷体" w:eastAsia="楷体" w:cs="楷体"/>
          <w:sz w:val="32"/>
          <w:szCs w:val="32"/>
        </w:rPr>
        <w:t>（一）</w:t>
      </w:r>
      <w:r>
        <w:rPr>
          <w:rFonts w:hint="eastAsia" w:ascii="楷体" w:hAnsi="楷体" w:eastAsia="楷体" w:cs="楷体"/>
          <w:sz w:val="32"/>
          <w:szCs w:val="32"/>
          <w:lang w:eastAsia="zh-CN"/>
        </w:rPr>
        <w:t>部门</w:t>
      </w:r>
      <w:r>
        <w:rPr>
          <w:rFonts w:hint="eastAsia" w:ascii="楷体" w:hAnsi="楷体" w:eastAsia="楷体" w:cs="楷体"/>
          <w:sz w:val="32"/>
          <w:szCs w:val="32"/>
        </w:rPr>
        <w:t>概况</w:t>
      </w:r>
      <w:bookmarkEnd w:id="6"/>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1.部门职责</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负责起草卫生健康、中医药事业发展地方性法规、政府规章草案，拟定全市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协调推进全市深化医药卫生体制改革，研究提出全市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（3）制定并组织落实疾病预防控制规划、国家免疫规划以及危害人民健康的公共卫生问题的干预措施。负责卫生应急工作，组织指导突发公共卫生事件的预防控制和各类突发公共事件的医疗卫生救援。</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（4）组织拟定并协调落实应对人口老龄化政策措施，负责推进老年健康服务体系建设和医养结合工作。</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5）组织实施国家基本药物政策和国家基本药物制度，开展药品使用监测、临床综合评价和短缺药品预警，提出全市基本药物价格政策的建议，参与拟订药品地方性法规、政府规章草案。配合省卫生健康委做好食品安全风险监测和食品安全地方标准跟踪评价工作。</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6）负责职责范围内的职业卫生、放射卫生、环境卫生、学校卫生、公共场所卫生、饮用水卫生等公共卫生的监督管理，负责传染病防治监督，健全卫生健康综合监督体系。牵头《烟草控制框架公约》履约工作。</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7）监督医疗机构、医疗服务行业管理办法的组织实施，建立医疗服务评价和监督管理体系。会同市有关部门实施卫生健康专业技术人员资格标准。负责医疗服务规范、标准和卫生健康专业技术人员执业规则、服务规范的组织实施。</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（8）负责计划生育管理和服务工作，开展人口监测预警，研究提出人口与家庭发展相关政策建议，落实计划生育政策。</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（9）负责全市卫生健康工作，负责基层医疗卫生、妇幼健康服务体系和全科医生队伍建设。推进卫生健康科技创新发展。</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（10）拟订中医药中长期发展规划，并纳入卫生健康事业发展总体规划和战略目标。</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（11）负责市保健对象的医疗保健工作，负责市直部门有关干部医疗管理工作，负责重要会议与重大活动的医疗卫生保障工作。</w:t>
      </w:r>
    </w:p>
    <w:p>
      <w:pPr>
        <w:keepNext w:val="0"/>
        <w:keepLines w:val="0"/>
        <w:pageBreakBefore w:val="0"/>
        <w:widowControl w:val="0"/>
        <w:kinsoku/>
        <w:wordWrap/>
        <w:overflowPunct/>
        <w:topLinePunct w:val="0"/>
        <w:autoSpaceDE/>
        <w:autoSpaceDN/>
        <w:bidi w:val="0"/>
        <w:spacing w:line="578" w:lineRule="exact"/>
        <w:ind w:firstLine="640" w:firstLineChars="200"/>
        <w:jc w:val="both"/>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highlight w:val="none"/>
          <w:lang w:val="en-US" w:eastAsia="zh-CN"/>
        </w:rPr>
        <w:t>（12）承办市委、市政府交办的其他事项。</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2.资产情况</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highlight w:val="none"/>
          <w:lang w:val="en-US" w:eastAsia="zh-CN"/>
        </w:rPr>
        <w:t>我委资产管理</w:t>
      </w:r>
      <w:r>
        <w:rPr>
          <w:rFonts w:hint="eastAsia" w:ascii="仿宋_GB2312" w:hAnsi="仿宋_GB2312" w:eastAsia="仿宋_GB2312" w:cs="仿宋_GB2312"/>
          <w:sz w:val="32"/>
          <w:szCs w:val="32"/>
          <w:lang w:eastAsia="zh-CN"/>
        </w:rPr>
        <w:t>依照政府采购目录进行政府采购，加强固定资产登记、使用和报废处置管理，做到支出合理，物尽其用。</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yellow"/>
          <w:lang w:val="en-US" w:eastAsia="zh-CN"/>
        </w:rPr>
      </w:pPr>
      <w:r>
        <w:rPr>
          <w:rFonts w:hint="eastAsia" w:ascii="仿宋_GB2312" w:hAnsi="仿宋_GB2312" w:eastAsia="仿宋_GB2312" w:cs="仿宋_GB2312"/>
          <w:sz w:val="32"/>
          <w:szCs w:val="32"/>
          <w:highlight w:val="none"/>
          <w:lang w:val="en-US" w:eastAsia="zh-CN"/>
        </w:rPr>
        <w:t>截止2022年底，我委共有资产</w:t>
      </w:r>
      <w:r>
        <w:rPr>
          <w:rFonts w:hint="eastAsia" w:ascii="仿宋_GB2312" w:hAnsi="仿宋_GB2312" w:eastAsia="仿宋_GB2312" w:cs="仿宋_GB2312"/>
          <w:kern w:val="2"/>
          <w:sz w:val="32"/>
          <w:szCs w:val="32"/>
          <w:highlight w:val="none"/>
          <w:lang w:val="en-US" w:eastAsia="zh-CN"/>
        </w:rPr>
        <w:t>739116.42</w:t>
      </w:r>
      <w:r>
        <w:rPr>
          <w:rFonts w:hint="eastAsia" w:ascii="仿宋_GB2312" w:hAnsi="仿宋_GB2312" w:eastAsia="仿宋_GB2312" w:cs="仿宋_GB2312"/>
          <w:sz w:val="32"/>
          <w:szCs w:val="32"/>
          <w:highlight w:val="none"/>
          <w:lang w:val="en-US" w:eastAsia="zh-CN"/>
        </w:rPr>
        <w:t>万元，其中货币资金237957.81万元；固定资产净值466316.16万元（原值791104.27万元，较年初增加113942.53万元、累计折旧324788.11万元）。固定资产原值情况如下：</w:t>
      </w: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255"/>
        <w:gridCol w:w="1133"/>
        <w:gridCol w:w="1135"/>
        <w:gridCol w:w="1133"/>
        <w:gridCol w:w="1135"/>
        <w:gridCol w:w="1133"/>
        <w:gridCol w:w="113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44" w:type="pct"/>
            <w:vMerge w:val="restart"/>
            <w:tcBorders>
              <w:top w:val="single" w:color="000000" w:sz="4" w:space="0"/>
              <w:left w:val="single" w:color="000000" w:sz="4" w:space="0"/>
              <w:bottom w:val="single" w:color="000000" w:sz="4" w:space="0"/>
              <w:right w:val="single" w:color="000000" w:sz="4" w:space="0"/>
              <w:tl2br w:val="single" w:color="000000" w:sz="4" w:space="0"/>
            </w:tcBorders>
            <w:shd w:val="clear" w:color="auto" w:fill="auto"/>
            <w:noWrap/>
            <w:vAlign w:val="center"/>
          </w:tcPr>
          <w:p>
            <w:pPr>
              <w:pageBreakBefore w:val="0"/>
              <w:kinsoku/>
              <w:wordWrap/>
              <w:overflowPunct/>
              <w:topLinePunct w:val="0"/>
              <w:autoSpaceDE/>
              <w:autoSpaceDN/>
              <w:bidi w:val="0"/>
              <w:spacing w:line="578" w:lineRule="exact"/>
              <w:jc w:val="center"/>
              <w:rPr>
                <w:rFonts w:hint="eastAsia" w:ascii="宋体" w:hAnsi="宋体" w:eastAsia="宋体" w:cs="宋体"/>
                <w:i w:val="0"/>
                <w:iCs w:val="0"/>
                <w:color w:val="000000"/>
                <w:sz w:val="22"/>
                <w:szCs w:val="22"/>
                <w:u w:val="none"/>
              </w:rPr>
            </w:pPr>
          </w:p>
        </w:tc>
        <w:tc>
          <w:tcPr>
            <w:tcW w:w="125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年初数</w:t>
            </w:r>
          </w:p>
        </w:tc>
        <w:tc>
          <w:tcPr>
            <w:tcW w:w="1251"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年末数</w:t>
            </w:r>
          </w:p>
        </w:tc>
        <w:tc>
          <w:tcPr>
            <w:tcW w:w="1252"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增量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44" w:type="pct"/>
            <w:vMerge w:val="continue"/>
            <w:tcBorders>
              <w:top w:val="single" w:color="000000" w:sz="4" w:space="0"/>
              <w:left w:val="single" w:color="000000" w:sz="4" w:space="0"/>
              <w:bottom w:val="single" w:color="000000" w:sz="4" w:space="0"/>
              <w:right w:val="single" w:color="000000" w:sz="4" w:space="0"/>
              <w:tl2br w:val="single" w:color="000000" w:sz="4" w:space="0"/>
            </w:tcBorders>
            <w:shd w:val="clear" w:color="auto" w:fill="auto"/>
            <w:noWrap/>
            <w:vAlign w:val="center"/>
          </w:tcPr>
          <w:p>
            <w:pPr>
              <w:pageBreakBefore w:val="0"/>
              <w:kinsoku/>
              <w:wordWrap/>
              <w:overflowPunct/>
              <w:topLinePunct w:val="0"/>
              <w:autoSpaceDE/>
              <w:autoSpaceDN/>
              <w:bidi w:val="0"/>
              <w:spacing w:line="578" w:lineRule="exact"/>
              <w:jc w:val="center"/>
              <w:rPr>
                <w:rFonts w:hint="eastAsia" w:ascii="宋体" w:hAnsi="宋体" w:eastAsia="宋体" w:cs="宋体"/>
                <w:i w:val="0"/>
                <w:iCs w:val="0"/>
                <w:color w:val="000000"/>
                <w:sz w:val="22"/>
                <w:szCs w:val="22"/>
                <w:u w:val="none"/>
              </w:rPr>
            </w:pP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6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固定资产原值</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677161.74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791104.27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overflowPunct/>
              <w:topLinePunct w:val="0"/>
              <w:autoSpaceDE/>
              <w:autoSpaceDN/>
              <w:bidi w:val="0"/>
              <w:spacing w:line="578" w:lineRule="exact"/>
              <w:rPr>
                <w:rFonts w:hint="eastAsia" w:ascii="宋体" w:hAnsi="宋体" w:eastAsia="宋体" w:cs="宋体"/>
                <w:i w:val="0"/>
                <w:iCs w:val="0"/>
                <w:color w:val="000000"/>
                <w:sz w:val="20"/>
                <w:szCs w:val="20"/>
                <w:u w:val="none"/>
              </w:rPr>
            </w:pPr>
          </w:p>
        </w:tc>
        <w:tc>
          <w:tcPr>
            <w:tcW w:w="6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113942.53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其中：房屋（平方米）</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618579.76</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269399.90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764430.13</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358344.87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145850.37</w:t>
            </w:r>
          </w:p>
        </w:tc>
        <w:tc>
          <w:tcPr>
            <w:tcW w:w="6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88944.97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1.办公用房</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88373.78</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39444.32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87968.05</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30007.48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-405.73</w:t>
            </w:r>
          </w:p>
        </w:tc>
        <w:tc>
          <w:tcPr>
            <w:tcW w:w="6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-9436.84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2.业务用房</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524222.82</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228</w:t>
            </w:r>
            <w:bookmarkStart w:id="40" w:name="_GoBack"/>
            <w:bookmarkEnd w:id="40"/>
            <w:r>
              <w:rPr>
                <w:rFonts w:hint="eastAsia" w:ascii="宋体" w:hAnsi="宋体" w:eastAsia="宋体" w:cs="宋体"/>
                <w:i w:val="0"/>
                <w:iCs w:val="0"/>
                <w:color w:val="000000"/>
                <w:kern w:val="0"/>
                <w:sz w:val="20"/>
                <w:szCs w:val="20"/>
                <w:u w:val="none"/>
                <w:lang w:val="en-US" w:eastAsia="zh-CN" w:bidi="ar"/>
              </w:rPr>
              <w:t xml:space="preserve">354.65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670907.92</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326971.17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146685.1</w:t>
            </w:r>
          </w:p>
        </w:tc>
        <w:tc>
          <w:tcPr>
            <w:tcW w:w="6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98616.52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3.其他（不含构筑物）</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5983.16</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1600.92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5554.16</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1366.21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-429</w:t>
            </w:r>
          </w:p>
        </w:tc>
        <w:tc>
          <w:tcPr>
            <w:tcW w:w="6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-234.71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车辆（台、辆）</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211</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5517.73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216</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5930.23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6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412.50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1.轿车</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28</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560.42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22</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410.49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-6</w:t>
            </w:r>
          </w:p>
        </w:tc>
        <w:tc>
          <w:tcPr>
            <w:tcW w:w="6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-149.93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2.越野车</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65.65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5</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65.65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6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3.小型载客汽车</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252.46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252.46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6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4.大中型载客汽车</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overflowPunct/>
              <w:topLinePunct w:val="0"/>
              <w:autoSpaceDE/>
              <w:autoSpaceDN/>
              <w:bidi w:val="0"/>
              <w:spacing w:line="578" w:lineRule="exact"/>
              <w:jc w:val="right"/>
              <w:rPr>
                <w:rFonts w:hint="eastAsia" w:ascii="宋体" w:hAnsi="宋体" w:eastAsia="宋体" w:cs="宋体"/>
                <w:i w:val="0"/>
                <w:iCs w:val="0"/>
                <w:color w:val="000000"/>
                <w:sz w:val="20"/>
                <w:szCs w:val="20"/>
                <w:u w:val="none"/>
              </w:rPr>
            </w:pP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0.00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pageBreakBefore w:val="0"/>
              <w:kinsoku/>
              <w:wordWrap/>
              <w:overflowPunct/>
              <w:topLinePunct w:val="0"/>
              <w:autoSpaceDE/>
              <w:autoSpaceDN/>
              <w:bidi w:val="0"/>
              <w:spacing w:line="578" w:lineRule="exact"/>
              <w:jc w:val="right"/>
              <w:rPr>
                <w:rFonts w:hint="eastAsia" w:ascii="宋体" w:hAnsi="宋体" w:eastAsia="宋体" w:cs="宋体"/>
                <w:i w:val="0"/>
                <w:iCs w:val="0"/>
                <w:color w:val="000000"/>
                <w:sz w:val="20"/>
                <w:szCs w:val="20"/>
                <w:u w:val="none"/>
              </w:rPr>
            </w:pP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0.00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0</w:t>
            </w:r>
          </w:p>
        </w:tc>
        <w:tc>
          <w:tcPr>
            <w:tcW w:w="6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0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244"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5.其他车型</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167</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4639.20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178</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5201.63 </w:t>
            </w:r>
          </w:p>
        </w:tc>
        <w:tc>
          <w:tcPr>
            <w:tcW w:w="625"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11</w:t>
            </w:r>
          </w:p>
        </w:tc>
        <w:tc>
          <w:tcPr>
            <w:tcW w:w="626" w:type="pc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spacing w:line="578" w:lineRule="exact"/>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xml:space="preserve">562.43 </w:t>
            </w:r>
          </w:p>
        </w:tc>
      </w:tr>
    </w:tbl>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leftChars="0" w:right="0" w:rightChars="0"/>
        <w:textAlignment w:val="auto"/>
        <w:outlineLvl w:val="9"/>
        <w:rPr>
          <w:rFonts w:hint="eastAsia" w:ascii="仿宋" w:hAnsi="仿宋" w:eastAsia="仿宋" w:cs="楷体_GB2312"/>
          <w:b/>
          <w:bCs/>
          <w:sz w:val="32"/>
          <w:szCs w:val="32"/>
          <w:highlight w:val="yellow"/>
          <w:lang w:eastAsia="zh-CN"/>
        </w:rPr>
      </w:pP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leftChars="0" w:right="0" w:rightChars="0" w:firstLine="640" w:firstLineChars="200"/>
        <w:textAlignment w:val="auto"/>
        <w:outlineLvl w:val="1"/>
        <w:rPr>
          <w:rFonts w:hint="eastAsia" w:ascii="楷体" w:hAnsi="楷体" w:eastAsia="楷体" w:cs="楷体"/>
          <w:b w:val="0"/>
          <w:bCs w:val="0"/>
          <w:kern w:val="2"/>
          <w:sz w:val="32"/>
          <w:szCs w:val="32"/>
          <w:highlight w:val="none"/>
        </w:rPr>
      </w:pPr>
      <w:bookmarkStart w:id="7" w:name="_Toc25571"/>
      <w:r>
        <w:rPr>
          <w:rFonts w:hint="eastAsia" w:ascii="楷体" w:hAnsi="楷体" w:eastAsia="楷体" w:cs="楷体"/>
          <w:b w:val="0"/>
          <w:bCs w:val="0"/>
          <w:sz w:val="32"/>
          <w:szCs w:val="32"/>
          <w:highlight w:val="none"/>
          <w:lang w:eastAsia="zh-CN"/>
        </w:rPr>
        <w:t>（</w:t>
      </w:r>
      <w:r>
        <w:rPr>
          <w:rFonts w:hint="eastAsia" w:ascii="楷体" w:hAnsi="楷体" w:eastAsia="楷体" w:cs="楷体"/>
          <w:b w:val="0"/>
          <w:bCs w:val="0"/>
          <w:sz w:val="32"/>
          <w:szCs w:val="32"/>
          <w:highlight w:val="none"/>
          <w:lang w:val="en-US" w:eastAsia="zh-CN"/>
        </w:rPr>
        <w:t>二</w:t>
      </w:r>
      <w:r>
        <w:rPr>
          <w:rFonts w:hint="eastAsia" w:ascii="楷体" w:hAnsi="楷体" w:eastAsia="楷体" w:cs="楷体"/>
          <w:b w:val="0"/>
          <w:bCs w:val="0"/>
          <w:sz w:val="32"/>
          <w:szCs w:val="32"/>
          <w:highlight w:val="none"/>
          <w:lang w:eastAsia="zh-CN"/>
        </w:rPr>
        <w:t>）部门收支预决算情况</w:t>
      </w:r>
      <w:bookmarkEnd w:id="7"/>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0" w:firstLineChars="200"/>
        <w:textAlignment w:val="auto"/>
        <w:outlineLvl w:val="9"/>
        <w:rPr>
          <w:rFonts w:hint="eastAsia" w:ascii="仿宋_GB2312" w:hAnsi="仿宋_GB2312" w:eastAsia="仿宋_GB2312" w:cs="仿宋_GB2312"/>
          <w:kern w:val="2"/>
          <w:sz w:val="32"/>
          <w:szCs w:val="32"/>
          <w:highlight w:val="yellow"/>
          <w:lang w:val="en-US" w:eastAsia="zh-CN"/>
        </w:rPr>
      </w:pPr>
      <w:r>
        <w:rPr>
          <w:rFonts w:hint="eastAsia" w:ascii="仿宋_GB2312" w:hAnsi="仿宋_GB2312" w:eastAsia="仿宋_GB2312" w:cs="仿宋_GB2312"/>
          <w:sz w:val="32"/>
          <w:szCs w:val="32"/>
          <w:highlight w:val="none"/>
          <w:lang w:val="en-US" w:eastAsia="zh-CN"/>
        </w:rPr>
        <w:t>2022年我委</w:t>
      </w:r>
      <w:r>
        <w:rPr>
          <w:rFonts w:hint="eastAsia" w:ascii="仿宋_GB2312" w:hAnsi="仿宋_GB2312" w:eastAsia="仿宋_GB2312" w:cs="仿宋_GB2312"/>
          <w:kern w:val="2"/>
          <w:sz w:val="32"/>
          <w:szCs w:val="32"/>
          <w:highlight w:val="none"/>
          <w:lang w:val="en-US" w:eastAsia="zh-CN"/>
        </w:rPr>
        <w:t>年初</w:t>
      </w:r>
      <w:r>
        <w:rPr>
          <w:rFonts w:hint="eastAsia" w:ascii="仿宋_GB2312" w:hAnsi="仿宋_GB2312" w:eastAsia="仿宋_GB2312" w:cs="仿宋_GB2312"/>
          <w:kern w:val="2"/>
          <w:sz w:val="32"/>
          <w:szCs w:val="32"/>
          <w:highlight w:val="none"/>
        </w:rPr>
        <w:t>预算</w:t>
      </w:r>
      <w:r>
        <w:rPr>
          <w:rFonts w:hint="eastAsia" w:ascii="仿宋_GB2312" w:hAnsi="仿宋_GB2312" w:eastAsia="仿宋_GB2312" w:cs="仿宋_GB2312"/>
          <w:kern w:val="2"/>
          <w:sz w:val="32"/>
          <w:szCs w:val="32"/>
          <w:highlight w:val="none"/>
          <w:lang w:val="en-US" w:eastAsia="zh-CN"/>
        </w:rPr>
        <w:t>收入854016.88万元、预算调整收入953847.29万元、年度决算收入953847.27万元、年度支出数806119.94</w:t>
      </w:r>
      <w:r>
        <w:rPr>
          <w:rFonts w:hint="eastAsia" w:ascii="仿宋_GB2312" w:hAnsi="仿宋_GB2312" w:eastAsia="仿宋_GB2312" w:cs="仿宋_GB2312"/>
          <w:kern w:val="2"/>
          <w:sz w:val="32"/>
          <w:szCs w:val="32"/>
          <w:highlight w:val="none"/>
        </w:rPr>
        <w:t>万元</w:t>
      </w:r>
      <w:r>
        <w:rPr>
          <w:rFonts w:hint="eastAsia" w:ascii="仿宋_GB2312" w:hAnsi="仿宋_GB2312" w:eastAsia="仿宋_GB2312" w:cs="仿宋_GB2312"/>
          <w:kern w:val="2"/>
          <w:sz w:val="32"/>
          <w:szCs w:val="32"/>
          <w:highlight w:val="none"/>
          <w:lang w:eastAsia="zh-CN"/>
        </w:rPr>
        <w:t>、年度结余分配资金</w:t>
      </w:r>
      <w:r>
        <w:rPr>
          <w:rFonts w:hint="eastAsia" w:ascii="仿宋_GB2312" w:hAnsi="仿宋_GB2312" w:eastAsia="仿宋_GB2312" w:cs="仿宋_GB2312"/>
          <w:kern w:val="2"/>
          <w:sz w:val="32"/>
          <w:szCs w:val="32"/>
          <w:highlight w:val="none"/>
          <w:lang w:val="en-US" w:eastAsia="zh-CN"/>
        </w:rPr>
        <w:t>37109.88万元</w:t>
      </w:r>
      <w:r>
        <w:rPr>
          <w:rFonts w:hint="eastAsia" w:ascii="仿宋_GB2312" w:hAnsi="仿宋_GB2312" w:eastAsia="仿宋_GB2312" w:cs="仿宋_GB2312"/>
          <w:kern w:val="2"/>
          <w:sz w:val="32"/>
          <w:szCs w:val="32"/>
          <w:highlight w:val="none"/>
          <w:lang w:eastAsia="zh-CN"/>
        </w:rPr>
        <w:t>、</w:t>
      </w:r>
      <w:r>
        <w:rPr>
          <w:rFonts w:hint="eastAsia" w:ascii="仿宋_GB2312" w:hAnsi="仿宋_GB2312" w:eastAsia="仿宋_GB2312" w:cs="仿宋_GB2312"/>
          <w:kern w:val="2"/>
          <w:sz w:val="32"/>
          <w:szCs w:val="32"/>
          <w:highlight w:val="none"/>
          <w:lang w:val="en-US" w:eastAsia="zh-CN"/>
        </w:rPr>
        <w:t>年度结转结余资金110617.45万元。具体情况如下：</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0" w:firstLineChars="200"/>
        <w:textAlignment w:val="auto"/>
        <w:outlineLvl w:val="9"/>
        <w:rPr>
          <w:rFonts w:hint="eastAsia" w:ascii="仿宋_GB2312" w:hAnsi="仿宋_GB2312" w:eastAsia="仿宋_GB2312" w:cs="仿宋_GB2312"/>
          <w:kern w:val="2"/>
          <w:sz w:val="32"/>
          <w:szCs w:val="32"/>
          <w:highlight w:val="none"/>
          <w:lang w:val="en-US" w:eastAsia="zh-CN"/>
        </w:rPr>
      </w:pPr>
      <w:r>
        <w:rPr>
          <w:rFonts w:hint="eastAsia" w:ascii="仿宋_GB2312" w:hAnsi="仿宋_GB2312" w:eastAsia="仿宋_GB2312" w:cs="仿宋_GB2312"/>
          <w:kern w:val="2"/>
          <w:sz w:val="32"/>
          <w:szCs w:val="32"/>
          <w:highlight w:val="none"/>
          <w:lang w:val="en-US" w:eastAsia="zh-CN"/>
        </w:rPr>
        <w:t>1.年初预算854016.88万元均为一般公共预算财政拨款收入，按资金支出性质分类：基本支出预算412054.28万元，其中人员经费297680.74万元、公用经费114373.53万元；项目支出预算441962.60万元。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0" w:firstLineChars="200"/>
        <w:textAlignment w:val="auto"/>
        <w:outlineLvl w:val="9"/>
        <w:rPr>
          <w:rFonts w:hint="eastAsia" w:ascii="仿宋_GB2312" w:hAnsi="仿宋_GB2312" w:eastAsia="仿宋_GB2312" w:cs="仿宋_GB2312"/>
          <w:kern w:val="2"/>
          <w:sz w:val="32"/>
          <w:szCs w:val="32"/>
          <w:highlight w:val="none"/>
        </w:rPr>
      </w:pPr>
      <w:r>
        <w:rPr>
          <w:rFonts w:hint="eastAsia" w:ascii="仿宋_GB2312" w:hAnsi="仿宋_GB2312" w:eastAsia="仿宋_GB2312" w:cs="仿宋_GB2312"/>
          <w:kern w:val="2"/>
          <w:sz w:val="32"/>
          <w:szCs w:val="32"/>
          <w:highlight w:val="none"/>
          <w:lang w:val="en-US" w:eastAsia="zh-CN"/>
        </w:rPr>
        <w:t>2.预算调整收入953847.29万元，包含本年预算调整数761854.80万元，非财政拨款结余数20928.33万元，年初结转结余数171064.16万元，均为一般公共预算财政拨款收入</w:t>
      </w:r>
      <w:r>
        <w:rPr>
          <w:rFonts w:hint="eastAsia" w:ascii="仿宋_GB2312" w:hAnsi="仿宋_GB2312" w:eastAsia="仿宋_GB2312" w:cs="仿宋_GB2312"/>
          <w:kern w:val="2"/>
          <w:sz w:val="32"/>
          <w:szCs w:val="32"/>
          <w:highlight w:val="none"/>
        </w:rPr>
        <w:t>。</w:t>
      </w:r>
      <w:r>
        <w:rPr>
          <w:rFonts w:hint="eastAsia" w:ascii="仿宋_GB2312" w:hAnsi="仿宋_GB2312" w:eastAsia="仿宋_GB2312" w:cs="仿宋_GB2312"/>
          <w:kern w:val="2"/>
          <w:sz w:val="32"/>
          <w:szCs w:val="32"/>
          <w:highlight w:val="none"/>
          <w:lang w:val="en-US" w:eastAsia="zh-CN"/>
        </w:rPr>
        <w:t>按资金支出性质分类：基本支出预算847376.72万元，其中人员经费408445.99万元、公用经费438930.72万元；项目支出预算106470.58万元。</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0" w:firstLineChars="200"/>
        <w:textAlignment w:val="auto"/>
        <w:outlineLvl w:val="9"/>
        <w:rPr>
          <w:rFonts w:hint="eastAsia" w:ascii="仿宋_GB2312" w:hAnsi="仿宋_GB2312" w:eastAsia="仿宋_GB2312" w:cs="仿宋_GB2312"/>
          <w:kern w:val="2"/>
          <w:sz w:val="32"/>
          <w:szCs w:val="32"/>
          <w:highlight w:val="none"/>
        </w:rPr>
      </w:pPr>
      <w:r>
        <w:rPr>
          <w:rFonts w:hint="eastAsia" w:ascii="仿宋_GB2312" w:hAnsi="仿宋_GB2312" w:eastAsia="仿宋_GB2312" w:cs="仿宋_GB2312"/>
          <w:kern w:val="2"/>
          <w:sz w:val="32"/>
          <w:szCs w:val="32"/>
          <w:highlight w:val="none"/>
          <w:lang w:val="en-US" w:eastAsia="zh-CN"/>
        </w:rPr>
        <w:t>3.年度支出数806119.94</w:t>
      </w:r>
      <w:r>
        <w:rPr>
          <w:rFonts w:hint="eastAsia" w:ascii="仿宋_GB2312" w:hAnsi="仿宋_GB2312" w:eastAsia="仿宋_GB2312" w:cs="仿宋_GB2312"/>
          <w:kern w:val="2"/>
          <w:sz w:val="32"/>
          <w:szCs w:val="32"/>
          <w:highlight w:val="none"/>
        </w:rPr>
        <w:t>万元</w:t>
      </w:r>
      <w:r>
        <w:rPr>
          <w:rFonts w:hint="eastAsia" w:ascii="仿宋_GB2312" w:hAnsi="仿宋_GB2312" w:eastAsia="仿宋_GB2312" w:cs="仿宋_GB2312"/>
          <w:kern w:val="2"/>
          <w:sz w:val="32"/>
          <w:szCs w:val="32"/>
          <w:highlight w:val="none"/>
          <w:lang w:eastAsia="zh-CN"/>
        </w:rPr>
        <w:t>，</w:t>
      </w:r>
      <w:r>
        <w:rPr>
          <w:rFonts w:hint="eastAsia" w:ascii="仿宋_GB2312" w:hAnsi="仿宋_GB2312" w:eastAsia="仿宋_GB2312" w:cs="仿宋_GB2312"/>
          <w:kern w:val="2"/>
          <w:sz w:val="32"/>
          <w:szCs w:val="32"/>
          <w:highlight w:val="none"/>
          <w:lang w:val="en-US" w:eastAsia="zh-CN"/>
        </w:rPr>
        <w:t>按资金支出性质分类：基本支出712101.3万元，其中人员经费319949.17万元、公用经费392152.14万元；项目支出94018.64万元。</w:t>
      </w:r>
    </w:p>
    <w:p>
      <w:pPr>
        <w:keepNext w:val="0"/>
        <w:keepLines w:val="0"/>
        <w:pageBreakBefore w:val="0"/>
        <w:widowControl w:val="0"/>
        <w:kinsoku/>
        <w:wordWrap/>
        <w:overflowPunct/>
        <w:topLinePunct w:val="0"/>
        <w:autoSpaceDE/>
        <w:autoSpaceDN/>
        <w:bidi w:val="0"/>
        <w:spacing w:line="578" w:lineRule="exact"/>
        <w:ind w:left="0" w:firstLine="640" w:firstLineChars="200"/>
        <w:contextualSpacing/>
        <w:jc w:val="both"/>
        <w:textAlignment w:val="auto"/>
        <w:outlineLvl w:val="1"/>
        <w:rPr>
          <w:rFonts w:hint="eastAsia" w:ascii="楷体" w:hAnsi="楷体" w:eastAsia="楷体" w:cs="楷体"/>
          <w:b w:val="0"/>
          <w:bCs w:val="0"/>
          <w:sz w:val="32"/>
          <w:szCs w:val="32"/>
          <w:lang w:eastAsia="zh-CN"/>
        </w:rPr>
      </w:pPr>
      <w:bookmarkStart w:id="8" w:name="_Toc15733"/>
      <w:r>
        <w:rPr>
          <w:rFonts w:hint="eastAsia" w:ascii="楷体" w:hAnsi="楷体" w:eastAsia="楷体" w:cs="楷体"/>
          <w:b w:val="0"/>
          <w:bCs w:val="0"/>
          <w:sz w:val="32"/>
          <w:szCs w:val="32"/>
          <w:lang w:eastAsia="zh-CN"/>
        </w:rPr>
        <w:t>（三）部门整体支出绩效目标、指标</w:t>
      </w:r>
      <w:bookmarkEnd w:id="8"/>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3" w:firstLineChars="200"/>
        <w:textAlignment w:val="auto"/>
        <w:outlineLvl w:val="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val="en-US" w:eastAsia="zh-CN"/>
        </w:rPr>
        <w:t>1.整体绩效目标</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0"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2022年，全市卫生健康工作以习近平新时代中国特色社会主义思想为指导，坚持新时代卫生健康工作方针，坚持生命至上、人民至上，紧紧围绕省市工作部署，树牢“大卫生、大健康”理念，紧盯短板弱项，以高质量发展为主题，以推进健康石家庄建设和深化医改为主线，以做好常态化疫情防控、防范公共卫生领域风险为保障，以深化医药卫生体制改革为引领，统筹公共医疗卫生服务体系建设、优质卫生资源提质扩容、基层医疗卫生服务能力提升、中医药传承创新发展、“一老一小”健康服务优化等重点工作，推动卫生健康事业高质量发展实现新突破，更好满足省会人民群众卫生健康新需求，以优异成绩为建设现代化、国际化美丽省会城市贡献力量。</w:t>
      </w:r>
    </w:p>
    <w:p>
      <w:pPr>
        <w:keepNext w:val="0"/>
        <w:keepLines w:val="0"/>
        <w:pageBreakBefore w:val="0"/>
        <w:widowControl w:val="0"/>
        <w:numPr>
          <w:ilvl w:val="0"/>
          <w:numId w:val="0"/>
        </w:numPr>
        <w:kinsoku/>
        <w:wordWrap/>
        <w:overflowPunct/>
        <w:topLinePunct w:val="0"/>
        <w:autoSpaceDE/>
        <w:autoSpaceDN/>
        <w:bidi w:val="0"/>
        <w:adjustRightInd w:val="0"/>
        <w:snapToGrid w:val="0"/>
        <w:spacing w:line="578" w:lineRule="exact"/>
        <w:ind w:left="0" w:right="0" w:rightChars="0" w:firstLine="643" w:firstLineChars="200"/>
        <w:textAlignment w:val="auto"/>
        <w:outlineLvl w:val="9"/>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b/>
          <w:bCs/>
          <w:sz w:val="32"/>
          <w:szCs w:val="32"/>
          <w:highlight w:val="none"/>
          <w:lang w:val="en-US" w:eastAsia="zh-CN"/>
        </w:rPr>
        <w:t>2.分项绩效目标</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sz w:val="32"/>
          <w:szCs w:val="32"/>
          <w:highlight w:val="none"/>
        </w:rPr>
      </w:pPr>
      <w:r>
        <w:rPr>
          <w:rFonts w:hint="eastAsia" w:ascii="仿宋_GB2312" w:hAnsi="仿宋_GB2312" w:eastAsia="仿宋_GB2312" w:cs="仿宋_GB2312"/>
          <w:b/>
          <w:bCs/>
          <w:kern w:val="2"/>
          <w:sz w:val="32"/>
          <w:szCs w:val="32"/>
          <w:highlight w:val="none"/>
          <w:lang w:val="en-US" w:eastAsia="zh-CN" w:bidi="ar-SA"/>
        </w:rPr>
        <w:t>（1）毫不松懈抓紧抓实疫情防控工作。</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绩效目标：坚持“外防输入、内防反弹”总体策略，严格按照疫情防控十个方面30项举措，全面巩固疫情防控成果。</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①研发补充完善信息数据模块，打通各环节信息壁垒，持续提升疫情防控信息化水平；</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②持续抓好重点人群、重点部位、重点场所防控。全面加强基层防控能力，规范基层发热筛查门诊建设，建立县乡村三级培训体系，夯实基层疫情防控“哨点”作用。</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③持续强化院感防控，健全实施市县乡村四级院感防控机制，坚决杜绝院感事件发生。</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sz w:val="32"/>
          <w:szCs w:val="32"/>
          <w:highlight w:val="none"/>
        </w:rPr>
      </w:pPr>
      <w:r>
        <w:rPr>
          <w:rFonts w:hint="eastAsia" w:ascii="仿宋_GB2312" w:hAnsi="仿宋_GB2312" w:eastAsia="仿宋_GB2312" w:cs="仿宋_GB2312"/>
          <w:kern w:val="2"/>
          <w:sz w:val="32"/>
          <w:szCs w:val="32"/>
          <w:highlight w:val="none"/>
          <w:lang w:val="en-US" w:eastAsia="zh-CN" w:bidi="ar-SA"/>
        </w:rPr>
        <w:t>④全力做好疫苗接种工作，按时保质完成省下达任务，巩固全人群免疫屏障。</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b/>
          <w:bCs/>
          <w:kern w:val="2"/>
          <w:sz w:val="32"/>
          <w:szCs w:val="32"/>
          <w:highlight w:val="none"/>
          <w:lang w:val="en-US" w:eastAsia="zh-CN" w:bidi="ar-SA"/>
        </w:rPr>
        <w:t>（2）持续提升全市公共卫生服务能力</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绩效目标：做实公共卫生服务，全力抓好乡镇卫生院建设、社区卫生服务机构建设以及基层人才培养。</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①推动乡镇卫生院分级管理全覆盖，基层医疗卫生机构建设95%以上达到标准化，新增2家社区医院。</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②持续深化乡村一体化管理水平，新增10个一体化管理示范机构。</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③开展社区卫生服务机构示范工作室建设。建成10个慢病医防融合工作室示范门诊，20个名家庭医生工作室，评选10个名首席专家工作室。</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④抓好基层医疗卫生机构专业人员公开招录，继续做好大学生定向订单培养，力争引进不少于100名专业技术人员。</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⑤持续抓好基层医务人员培养，持续实施社区千人骨干培训计划，年内再培训400名业务骨干，培养50名社区慢病医防融合人才。</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⑥扎实做好基本公共卫生项目，深化家庭医生签约服务，推动65岁及以上老年人城乡社区规范健康服务率达到60%以上，居民规范化电子健康档案覆盖率达到60%以上，进一步提升基层群众就医获得感。</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b/>
          <w:bCs/>
          <w:kern w:val="2"/>
          <w:sz w:val="32"/>
          <w:szCs w:val="32"/>
          <w:highlight w:val="none"/>
          <w:lang w:val="en-US" w:eastAsia="zh-CN" w:bidi="ar-SA"/>
        </w:rPr>
        <w:t>（3）着力深化医药卫生体制改革</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以建机制为重点，围绕重点领域和关键环节，继续推进公立医院综合改革，加快推进现代医院管理制度改革和医联体建设，提升卫生健康信息化水平，着力构建分级诊疗制度，抓好综合监管制度建设，努力在基本医疗卫生制度建设上取得突破。</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①加快推进公立医院高质量发展，全力打造区域诊疗中心，积极推动市属医院与北京知名医院对接合作，全力争取合作共建国家区域医疗中心；</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②加大名医带动医院发展力度，扩大国内院士工作室、名医工作室数量，带动市属医院高质量发展；</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③加快市属医院特色专科发展，重点围绕心脑血管疾病、癌症、糖尿病、呼吸系统疾病等领域，争创省级区域医疗中心和临床重点专科，全面增强疑难危重症救治能力；</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④在全市东西南北四个区域，依托藁城、井陉、元氏、新乐县级医院，建设4个县级区域医疗中心，努力把常见病、多发病县域内就诊率提高到90%以上。</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sz w:val="32"/>
          <w:szCs w:val="32"/>
          <w:highlight w:val="none"/>
        </w:rPr>
      </w:pPr>
      <w:r>
        <w:rPr>
          <w:rFonts w:hint="eastAsia" w:ascii="仿宋_GB2312" w:hAnsi="仿宋_GB2312" w:eastAsia="仿宋_GB2312" w:cs="仿宋_GB2312"/>
          <w:kern w:val="2"/>
          <w:sz w:val="32"/>
          <w:szCs w:val="32"/>
          <w:highlight w:val="none"/>
          <w:lang w:val="en-US" w:eastAsia="zh-CN" w:bidi="ar-SA"/>
        </w:rPr>
        <w:t>⑤深化公立医院综合改革，年内新增1-2个省级示范县，打造1-2个省级现代医院管理制度建设样板。深化医联体建设，打造2-3个紧密型医联体示范机构。</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b/>
          <w:bCs/>
          <w:kern w:val="2"/>
          <w:sz w:val="32"/>
          <w:szCs w:val="32"/>
          <w:highlight w:val="none"/>
          <w:lang w:val="en-US" w:eastAsia="zh-CN" w:bidi="ar-SA"/>
        </w:rPr>
        <w:t>（4）加快提升重点人群卫生健康服务水平。</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持续提升妇女生殖健康服务水平，降低出生缺陷的发生，有效遏制出生人口性别比偏高问题，不断提高人口质量。有效保障计划生育家庭生活水平，积极应对人口老龄化，加快推进安宁疗护试点建设，积极探索建设居家社区机构相协调、医养康养相结合的养老服务体系，不断满足老年人养老服务需求。</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①扎实推进婴幼儿照护工作，全市婴幼儿照护试点机构达到100家以上，试点托位达到8000个以上。</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②探索“互联网+托育服务”，积极争创国家婴幼儿照护示范城市。扎实做好老龄健康工作。</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③制定安宁疗护相关标准规范，不断完善老年健康服务体系；推动老年友善医疗机构达到70%以上，方便老年人就医看病；新增5家老年友善社区，营造全社会关心关爱老年人氛围。</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sz w:val="32"/>
          <w:szCs w:val="32"/>
          <w:highlight w:val="none"/>
        </w:rPr>
      </w:pPr>
      <w:r>
        <w:rPr>
          <w:rFonts w:hint="eastAsia" w:ascii="仿宋_GB2312" w:hAnsi="仿宋_GB2312" w:eastAsia="仿宋_GB2312" w:cs="仿宋_GB2312"/>
          <w:kern w:val="2"/>
          <w:sz w:val="32"/>
          <w:szCs w:val="32"/>
          <w:highlight w:val="none"/>
          <w:lang w:val="en-US" w:eastAsia="zh-CN" w:bidi="ar-SA"/>
        </w:rPr>
        <w:t>④协调省卫健委和市财政部门，率先在全省将农村妇女两癌筛查的服务对象提标扩面至市内五区低保户等困难家庭适龄妇女，预防和减少宫颈癌和乳腺癌发生，做到早发现、早治疗，维护妇女健康权益。</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b/>
          <w:bCs/>
          <w:kern w:val="2"/>
          <w:sz w:val="32"/>
          <w:szCs w:val="32"/>
          <w:highlight w:val="none"/>
          <w:lang w:val="en-US" w:eastAsia="zh-CN" w:bidi="ar-SA"/>
        </w:rPr>
      </w:pPr>
      <w:r>
        <w:rPr>
          <w:rFonts w:hint="eastAsia" w:ascii="仿宋_GB2312" w:hAnsi="仿宋_GB2312" w:eastAsia="仿宋_GB2312" w:cs="仿宋_GB2312"/>
          <w:b/>
          <w:bCs/>
          <w:kern w:val="2"/>
          <w:sz w:val="32"/>
          <w:szCs w:val="32"/>
          <w:highlight w:val="none"/>
          <w:lang w:val="en-US" w:eastAsia="zh-CN" w:bidi="ar-SA"/>
        </w:rPr>
        <w:t>（5）加快推进中医药发展和服务体系建设。</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目标：巩固国家中医药综合改革试验区建设成果，贯彻落实国家促进中医药传承创新发展的意见，进一步加强中医药能力建设，提高中医药服务水平，筑牢基层中医药服务阵地，深入弘扬中医药文化，有效发挥中医药在医疗保健领域的特色优势，不断满足人民群众中医药服务需求。</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绩效指标：</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①实施建名院、树名医、创名科、推名方、选名药“五名”工程，依托市中医院建设区域性中医药诊疗服务中心。组织市级名中医、基层名中医、中医重点专科和地方经典名方、特色制剂评选，向社会推介一批名医、名科、名方、名药。</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kern w:val="2"/>
          <w:sz w:val="32"/>
          <w:szCs w:val="32"/>
          <w:highlight w:val="none"/>
          <w:lang w:val="en-US" w:eastAsia="zh-CN" w:bidi="ar-SA"/>
        </w:rPr>
      </w:pPr>
      <w:r>
        <w:rPr>
          <w:rFonts w:hint="eastAsia" w:ascii="仿宋_GB2312" w:hAnsi="仿宋_GB2312" w:eastAsia="仿宋_GB2312" w:cs="仿宋_GB2312"/>
          <w:kern w:val="2"/>
          <w:sz w:val="32"/>
          <w:szCs w:val="32"/>
          <w:highlight w:val="none"/>
          <w:lang w:val="en-US" w:eastAsia="zh-CN" w:bidi="ar-SA"/>
        </w:rPr>
        <w:t>②持续深化高水平国医堂建设，建设50个具有中医药服务优势的特色卫生院（社区卫生服务中心），推广普及不少于30项中医适宜技术。</w:t>
      </w:r>
    </w:p>
    <w:p>
      <w:pPr>
        <w:pStyle w:val="15"/>
        <w:pageBreakBefore w:val="0"/>
        <w:kinsoku/>
        <w:wordWrap/>
        <w:overflowPunct/>
        <w:topLinePunct w:val="0"/>
        <w:autoSpaceDE/>
        <w:autoSpaceDN/>
        <w:bidi w:val="0"/>
        <w:spacing w:line="578" w:lineRule="exact"/>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kern w:val="2"/>
          <w:sz w:val="32"/>
          <w:szCs w:val="32"/>
          <w:highlight w:val="none"/>
          <w:lang w:val="en-US" w:eastAsia="zh-CN" w:bidi="ar-SA"/>
        </w:rPr>
        <w:t>③实施中医药人才培养“十百千工程”，年内建立10个名中医工作室，举办150人的中医药高层次人才培训班，培养2000名左右中西医复合型人才，夯实中医药服务人才基础。</w:t>
      </w:r>
    </w:p>
    <w:p>
      <w:pPr>
        <w:keepNext w:val="0"/>
        <w:keepLines w:val="0"/>
        <w:pageBreakBefore w:val="0"/>
        <w:widowControl w:val="0"/>
        <w:numPr>
          <w:ilvl w:val="0"/>
          <w:numId w:val="1"/>
        </w:numPr>
        <w:kinsoku/>
        <w:wordWrap/>
        <w:overflowPunct/>
        <w:topLinePunct w:val="0"/>
        <w:autoSpaceDE/>
        <w:autoSpaceDN/>
        <w:bidi w:val="0"/>
        <w:adjustRightInd w:val="0"/>
        <w:snapToGrid w:val="0"/>
        <w:spacing w:line="578" w:lineRule="exact"/>
        <w:ind w:left="0" w:leftChars="0" w:right="0" w:firstLine="640" w:firstLineChars="200"/>
        <w:textAlignment w:val="auto"/>
        <w:outlineLvl w:val="0"/>
        <w:rPr>
          <w:rFonts w:hint="eastAsia" w:ascii="黑体" w:hAnsi="黑体" w:eastAsia="黑体"/>
          <w:sz w:val="32"/>
          <w:szCs w:val="32"/>
        </w:rPr>
      </w:pPr>
      <w:bookmarkStart w:id="9" w:name="_Toc20289"/>
      <w:r>
        <w:rPr>
          <w:rFonts w:hint="eastAsia" w:ascii="黑体" w:hAnsi="黑体" w:eastAsia="黑体"/>
          <w:sz w:val="32"/>
          <w:szCs w:val="32"/>
        </w:rPr>
        <w:t>自评工作</w:t>
      </w:r>
      <w:r>
        <w:rPr>
          <w:rFonts w:hint="eastAsia" w:ascii="黑体" w:hAnsi="黑体" w:eastAsia="黑体"/>
          <w:sz w:val="32"/>
          <w:szCs w:val="32"/>
          <w:lang w:eastAsia="zh-CN"/>
        </w:rPr>
        <w:t>开展</w:t>
      </w:r>
      <w:r>
        <w:rPr>
          <w:rFonts w:hint="eastAsia" w:ascii="黑体" w:hAnsi="黑体" w:eastAsia="黑体"/>
          <w:sz w:val="32"/>
          <w:szCs w:val="32"/>
        </w:rPr>
        <w:t>情况</w:t>
      </w:r>
      <w:bookmarkEnd w:id="9"/>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outlineLvl w:val="1"/>
        <w:rPr>
          <w:rFonts w:hint="eastAsia" w:ascii="楷体" w:hAnsi="楷体" w:eastAsia="楷体" w:cs="楷体"/>
          <w:b w:val="0"/>
          <w:bCs w:val="0"/>
          <w:sz w:val="32"/>
          <w:szCs w:val="32"/>
          <w:lang w:eastAsia="zh-CN"/>
        </w:rPr>
      </w:pPr>
      <w:bookmarkStart w:id="10" w:name="_Toc22722"/>
      <w:r>
        <w:rPr>
          <w:rFonts w:hint="eastAsia" w:ascii="楷体" w:hAnsi="楷体" w:eastAsia="楷体" w:cs="楷体"/>
          <w:b w:val="0"/>
          <w:bCs w:val="0"/>
          <w:sz w:val="32"/>
          <w:szCs w:val="32"/>
          <w:lang w:eastAsia="zh-CN"/>
        </w:rPr>
        <w:t>（一）自评的组织工作</w:t>
      </w:r>
      <w:bookmarkEnd w:id="10"/>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ascii="仿宋_GB2312" w:hAnsi="仿宋_GB2312" w:eastAsia="仿宋_GB2312" w:cs="仿宋_GB2312"/>
          <w:sz w:val="32"/>
          <w:szCs w:val="32"/>
        </w:rPr>
      </w:pPr>
      <w:r>
        <w:rPr>
          <w:rFonts w:hint="eastAsia" w:ascii="仿宋_GB2312" w:hAnsi="仿宋_GB2312" w:eastAsia="仿宋_GB2312" w:cs="仿宋_GB2312"/>
          <w:color w:val="auto"/>
          <w:kern w:val="0"/>
          <w:sz w:val="32"/>
          <w:szCs w:val="32"/>
          <w:lang w:val="en-US" w:eastAsia="zh-CN"/>
        </w:rPr>
        <w:t>我委高度重视此次年度预算绩效评价工作，成立了绩效评价工作组，由施文国任绩效评价组组</w:t>
      </w:r>
      <w:r>
        <w:rPr>
          <w:rFonts w:hint="eastAsia" w:ascii="仿宋_GB2312" w:hAnsi="仿宋_GB2312" w:eastAsia="仿宋_GB2312" w:cs="仿宋_GB2312"/>
          <w:color w:val="auto"/>
          <w:kern w:val="0"/>
          <w:sz w:val="32"/>
          <w:szCs w:val="32"/>
          <w:highlight w:val="none"/>
          <w:lang w:val="en-US" w:eastAsia="zh-CN"/>
        </w:rPr>
        <w:t>长，</w:t>
      </w:r>
      <w:r>
        <w:rPr>
          <w:rFonts w:hint="eastAsia" w:ascii="仿宋_GB2312" w:hAnsi="仿宋_GB2312" w:eastAsia="仿宋_GB2312" w:cs="仿宋_GB2312"/>
          <w:sz w:val="32"/>
          <w:szCs w:val="32"/>
          <w:highlight w:val="none"/>
        </w:rPr>
        <w:t>成员包括</w:t>
      </w:r>
      <w:r>
        <w:rPr>
          <w:rFonts w:hint="eastAsia" w:ascii="仿宋_GB2312" w:hAnsi="仿宋_GB2312" w:eastAsia="仿宋_GB2312" w:cs="仿宋_GB2312"/>
          <w:sz w:val="32"/>
          <w:szCs w:val="32"/>
          <w:highlight w:val="none"/>
          <w:lang w:val="en-US" w:eastAsia="zh-CN"/>
        </w:rPr>
        <w:t>胡金石、杨伟娟</w:t>
      </w:r>
      <w:r>
        <w:rPr>
          <w:rFonts w:hint="eastAsia" w:ascii="仿宋_GB2312" w:hAnsi="仿宋_GB2312" w:eastAsia="仿宋_GB2312" w:cs="仿宋_GB2312"/>
          <w:color w:val="auto"/>
          <w:kern w:val="0"/>
          <w:sz w:val="32"/>
          <w:szCs w:val="32"/>
          <w:highlight w:val="none"/>
          <w:lang w:val="en-US" w:eastAsia="zh-CN"/>
        </w:rPr>
        <w:t>、王彦蕊、赵一丁、李广兴、陈瑜。</w:t>
      </w:r>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按照通知要求，评</w:t>
      </w:r>
      <w:bookmarkStart w:id="11" w:name="_Hlk43651802"/>
      <w:r>
        <w:rPr>
          <w:rFonts w:hint="eastAsia" w:ascii="仿宋_GB2312" w:hAnsi="仿宋_GB2312" w:eastAsia="仿宋_GB2312" w:cs="仿宋_GB2312"/>
          <w:sz w:val="32"/>
          <w:szCs w:val="32"/>
        </w:rPr>
        <w:t>价工作组制定自评工作方案，明确评价内容、评价程序及时间安排。组织相关人员召开专题会议，传达自评价工作要求和部署各项工作安排。全面收集评价所需基础信息资料并对资料进行分类整理、审查和分析</w:t>
      </w:r>
      <w:bookmarkEnd w:id="11"/>
      <w:r>
        <w:rPr>
          <w:rFonts w:hint="eastAsia" w:ascii="仿宋_GB2312" w:hAnsi="仿宋_GB2312" w:eastAsia="仿宋_GB2312" w:cs="仿宋_GB2312"/>
          <w:sz w:val="32"/>
          <w:szCs w:val="32"/>
        </w:rPr>
        <w:t>。</w:t>
      </w:r>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outlineLvl w:val="1"/>
        <w:rPr>
          <w:rFonts w:hint="eastAsia" w:ascii="楷体" w:hAnsi="楷体" w:eastAsia="楷体" w:cs="楷体"/>
          <w:b w:val="0"/>
          <w:bCs w:val="0"/>
          <w:sz w:val="32"/>
          <w:szCs w:val="32"/>
          <w:lang w:eastAsia="zh-CN"/>
        </w:rPr>
      </w:pPr>
      <w:bookmarkStart w:id="12" w:name="_Toc11327"/>
      <w:bookmarkStart w:id="13" w:name="_Toc1205"/>
      <w:bookmarkStart w:id="14" w:name="_Toc28737"/>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二</w:t>
      </w:r>
      <w:r>
        <w:rPr>
          <w:rFonts w:hint="eastAsia" w:ascii="楷体" w:hAnsi="楷体" w:eastAsia="楷体" w:cs="楷体"/>
          <w:b w:val="0"/>
          <w:bCs w:val="0"/>
          <w:sz w:val="32"/>
          <w:szCs w:val="32"/>
          <w:lang w:eastAsia="zh-CN"/>
        </w:rPr>
        <w:t>）绩效自评目的</w:t>
      </w:r>
      <w:bookmarkEnd w:id="12"/>
      <w:bookmarkEnd w:id="13"/>
      <w:bookmarkEnd w:id="14"/>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rPr>
      </w:pPr>
      <w:bookmarkStart w:id="15" w:name="_Toc22462"/>
      <w:bookmarkStart w:id="16" w:name="_Toc19442"/>
      <w:bookmarkStart w:id="17" w:name="_Toc7758"/>
      <w:r>
        <w:rPr>
          <w:rFonts w:hint="eastAsia" w:ascii="仿宋_GB2312" w:hAnsi="仿宋_GB2312" w:eastAsia="仿宋_GB2312" w:cs="仿宋_GB2312"/>
          <w:sz w:val="32"/>
          <w:szCs w:val="32"/>
        </w:rPr>
        <w:t>本次绩效自评将结合</w:t>
      </w:r>
      <w:r>
        <w:rPr>
          <w:rFonts w:hint="eastAsia" w:ascii="仿宋_GB2312" w:hAnsi="仿宋_GB2312" w:eastAsia="仿宋_GB2312" w:cs="仿宋_GB2312"/>
          <w:sz w:val="32"/>
          <w:szCs w:val="32"/>
          <w:lang w:eastAsia="zh-CN"/>
        </w:rPr>
        <w:t>我委</w:t>
      </w:r>
      <w:r>
        <w:rPr>
          <w:rFonts w:hint="eastAsia" w:ascii="仿宋_GB2312" w:hAnsi="仿宋_GB2312" w:eastAsia="仿宋_GB2312" w:cs="仿宋_GB2312"/>
          <w:sz w:val="32"/>
          <w:szCs w:val="32"/>
        </w:rPr>
        <w:t>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年度部门整体支出实际情况，运用科学、规范、合理的评价方法，全面、真实、客观地对</w:t>
      </w:r>
      <w:r>
        <w:rPr>
          <w:rFonts w:hint="eastAsia" w:ascii="仿宋_GB2312" w:hAnsi="仿宋_GB2312" w:eastAsia="仿宋_GB2312" w:cs="仿宋_GB2312"/>
          <w:sz w:val="32"/>
          <w:szCs w:val="32"/>
          <w:lang w:eastAsia="zh-CN"/>
        </w:rPr>
        <w:t>我委</w:t>
      </w:r>
      <w:r>
        <w:rPr>
          <w:rFonts w:hint="eastAsia" w:ascii="仿宋_GB2312" w:hAnsi="仿宋_GB2312" w:eastAsia="仿宋_GB2312" w:cs="仿宋_GB2312"/>
          <w:sz w:val="32"/>
          <w:szCs w:val="32"/>
        </w:rPr>
        <w:t>年度一般公共预算财政拨款资金支出情况、相关制度健全性、项目完成情况及部门履职效果等内容进行综合评价全面反映财政资金使用成效和部门职能的实现程度，针对评价过程中发现的问题进一步提出相关意见建议，为以后年度</w:t>
      </w:r>
      <w:r>
        <w:rPr>
          <w:rFonts w:hint="eastAsia" w:ascii="仿宋_GB2312" w:hAnsi="仿宋_GB2312" w:eastAsia="仿宋_GB2312" w:cs="仿宋_GB2312"/>
          <w:sz w:val="32"/>
          <w:szCs w:val="32"/>
          <w:lang w:eastAsia="zh-CN"/>
        </w:rPr>
        <w:t>我委</w:t>
      </w:r>
      <w:r>
        <w:rPr>
          <w:rFonts w:hint="eastAsia" w:ascii="仿宋_GB2312" w:hAnsi="仿宋_GB2312" w:eastAsia="仿宋_GB2312" w:cs="仿宋_GB2312"/>
          <w:sz w:val="32"/>
          <w:szCs w:val="32"/>
        </w:rPr>
        <w:t>履行部门职责作出更好的预算管理和资金安排。</w:t>
      </w:r>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outlineLvl w:val="1"/>
        <w:rPr>
          <w:rFonts w:hint="eastAsia" w:ascii="楷体" w:hAnsi="楷体" w:eastAsia="楷体" w:cs="楷体"/>
          <w:b w:val="0"/>
          <w:bCs w:val="0"/>
          <w:sz w:val="32"/>
          <w:szCs w:val="32"/>
          <w:lang w:eastAsia="zh-CN"/>
        </w:rPr>
      </w:pPr>
      <w:bookmarkStart w:id="18" w:name="_Toc31660"/>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三</w:t>
      </w:r>
      <w:r>
        <w:rPr>
          <w:rFonts w:hint="eastAsia" w:ascii="楷体" w:hAnsi="楷体" w:eastAsia="楷体" w:cs="楷体"/>
          <w:b w:val="0"/>
          <w:bCs w:val="0"/>
          <w:sz w:val="32"/>
          <w:szCs w:val="32"/>
          <w:lang w:eastAsia="zh-CN"/>
        </w:rPr>
        <w:t>）绩效自评内容</w:t>
      </w:r>
      <w:bookmarkEnd w:id="15"/>
      <w:bookmarkEnd w:id="16"/>
      <w:bookmarkEnd w:id="18"/>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本次</w:t>
      </w:r>
      <w:r>
        <w:rPr>
          <w:rFonts w:hint="eastAsia" w:ascii="仿宋_GB2312" w:hAnsi="仿宋_GB2312" w:eastAsia="仿宋_GB2312" w:cs="仿宋_GB2312"/>
          <w:sz w:val="32"/>
          <w:szCs w:val="32"/>
          <w:lang w:val="en-US" w:eastAsia="zh-CN"/>
        </w:rPr>
        <w:t>我委</w:t>
      </w:r>
      <w:r>
        <w:rPr>
          <w:rFonts w:hint="eastAsia" w:ascii="仿宋_GB2312" w:hAnsi="仿宋_GB2312" w:eastAsia="仿宋_GB2312" w:cs="仿宋_GB2312"/>
          <w:sz w:val="32"/>
          <w:szCs w:val="32"/>
        </w:rPr>
        <w:t>部门整体支出绩效自评主要自评内容包括</w:t>
      </w:r>
      <w:r>
        <w:rPr>
          <w:rFonts w:hint="eastAsia" w:ascii="仿宋_GB2312" w:hAnsi="仿宋_GB2312" w:eastAsia="仿宋_GB2312" w:cs="仿宋_GB2312"/>
          <w:b/>
          <w:bCs/>
          <w:sz w:val="32"/>
          <w:szCs w:val="32"/>
        </w:rPr>
        <w:t>一是</w:t>
      </w:r>
      <w:r>
        <w:rPr>
          <w:rFonts w:hint="eastAsia" w:ascii="仿宋_GB2312" w:hAnsi="仿宋_GB2312" w:eastAsia="仿宋_GB2312" w:cs="仿宋_GB2312"/>
          <w:sz w:val="32"/>
          <w:szCs w:val="32"/>
        </w:rPr>
        <w:t>绩效目标和预算编制情况；</w:t>
      </w:r>
      <w:r>
        <w:rPr>
          <w:rFonts w:hint="eastAsia" w:ascii="仿宋_GB2312" w:hAnsi="仿宋_GB2312" w:eastAsia="仿宋_GB2312" w:cs="仿宋_GB2312"/>
          <w:b/>
          <w:bCs/>
          <w:sz w:val="32"/>
          <w:szCs w:val="32"/>
        </w:rPr>
        <w:t>二是</w:t>
      </w:r>
      <w:r>
        <w:rPr>
          <w:rFonts w:hint="eastAsia" w:ascii="仿宋_GB2312" w:hAnsi="仿宋_GB2312" w:eastAsia="仿宋_GB2312" w:cs="仿宋_GB2312"/>
          <w:sz w:val="32"/>
          <w:szCs w:val="32"/>
        </w:rPr>
        <w:t>部门</w:t>
      </w:r>
      <w:r>
        <w:rPr>
          <w:rFonts w:hint="eastAsia" w:ascii="仿宋_GB2312" w:hAnsi="仿宋_GB2312" w:eastAsia="仿宋_GB2312" w:cs="仿宋_GB2312"/>
          <w:sz w:val="32"/>
          <w:szCs w:val="32"/>
          <w:lang w:val="en-US" w:eastAsia="zh-CN"/>
        </w:rPr>
        <w:t>预决算收支</w:t>
      </w:r>
      <w:r>
        <w:rPr>
          <w:rFonts w:hint="eastAsia" w:ascii="仿宋_GB2312" w:hAnsi="仿宋_GB2312" w:eastAsia="仿宋_GB2312" w:cs="仿宋_GB2312"/>
          <w:sz w:val="32"/>
          <w:szCs w:val="32"/>
        </w:rPr>
        <w:t>情况；</w:t>
      </w:r>
      <w:r>
        <w:rPr>
          <w:rFonts w:hint="eastAsia" w:ascii="仿宋_GB2312" w:hAnsi="仿宋_GB2312" w:eastAsia="仿宋_GB2312" w:cs="仿宋_GB2312"/>
          <w:b/>
          <w:bCs/>
          <w:sz w:val="32"/>
          <w:szCs w:val="32"/>
        </w:rPr>
        <w:t>三是</w:t>
      </w:r>
      <w:r>
        <w:rPr>
          <w:rFonts w:hint="eastAsia" w:ascii="仿宋_GB2312" w:hAnsi="仿宋_GB2312" w:eastAsia="仿宋_GB2312" w:cs="仿宋_GB2312"/>
          <w:sz w:val="32"/>
          <w:szCs w:val="32"/>
        </w:rPr>
        <w:t>部门年度总体绩效目标完成情况；</w:t>
      </w:r>
      <w:r>
        <w:rPr>
          <w:rFonts w:hint="eastAsia" w:ascii="仿宋_GB2312" w:hAnsi="仿宋_GB2312" w:eastAsia="仿宋_GB2312" w:cs="仿宋_GB2312"/>
          <w:b/>
          <w:bCs/>
          <w:sz w:val="32"/>
          <w:szCs w:val="32"/>
        </w:rPr>
        <w:t>四是</w:t>
      </w:r>
      <w:r>
        <w:rPr>
          <w:rFonts w:hint="eastAsia" w:ascii="仿宋_GB2312" w:hAnsi="仿宋_GB2312" w:eastAsia="仿宋_GB2312" w:cs="仿宋_GB2312"/>
          <w:sz w:val="32"/>
          <w:szCs w:val="32"/>
        </w:rPr>
        <w:t>部门年度绩效指标完成情况，包括部门履职投入、履职过程、履职产出及履职效果等。</w:t>
      </w:r>
    </w:p>
    <w:bookmarkEnd w:id="17"/>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outlineLvl w:val="1"/>
        <w:rPr>
          <w:rFonts w:hint="eastAsia" w:ascii="楷体" w:hAnsi="楷体" w:eastAsia="楷体" w:cs="楷体"/>
          <w:b w:val="0"/>
          <w:bCs w:val="0"/>
          <w:sz w:val="32"/>
          <w:szCs w:val="32"/>
          <w:lang w:eastAsia="zh-CN"/>
        </w:rPr>
      </w:pPr>
      <w:bookmarkStart w:id="19" w:name="_Toc23011"/>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四</w:t>
      </w:r>
      <w:r>
        <w:rPr>
          <w:rFonts w:hint="eastAsia" w:ascii="楷体" w:hAnsi="楷体" w:eastAsia="楷体" w:cs="楷体"/>
          <w:b w:val="0"/>
          <w:bCs w:val="0"/>
          <w:sz w:val="32"/>
          <w:szCs w:val="32"/>
          <w:lang w:eastAsia="zh-CN"/>
        </w:rPr>
        <w:t>）自评的方法</w:t>
      </w:r>
      <w:bookmarkEnd w:id="19"/>
      <w:bookmarkStart w:id="20" w:name="_Toc25386"/>
    </w:p>
    <w:p>
      <w:pPr>
        <w:keepNext w:val="0"/>
        <w:keepLines w:val="0"/>
        <w:pageBreakBefore w:val="0"/>
        <w:widowControl w:val="0"/>
        <w:numPr>
          <w:ilvl w:val="0"/>
          <w:numId w:val="0"/>
        </w:numPr>
        <w:kinsoku/>
        <w:wordWrap/>
        <w:overflowPunct/>
        <w:topLinePunct w:val="0"/>
        <w:autoSpaceDE/>
        <w:autoSpaceDN/>
        <w:bidi w:val="0"/>
        <w:spacing w:line="578" w:lineRule="exact"/>
        <w:ind w:left="0" w:right="0" w:rightChars="0" w:firstLine="640" w:firstLineChars="200"/>
        <w:textAlignment w:val="auto"/>
        <w:outlineLvl w:val="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科学公正原则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此次绩效自评运用科学合理的方法，按照规范的程序，对我</w:t>
      </w:r>
      <w:r>
        <w:rPr>
          <w:rFonts w:hint="eastAsia" w:ascii="仿宋_GB2312" w:hAnsi="仿宋_GB2312" w:eastAsia="仿宋_GB2312" w:cs="仿宋_GB2312"/>
          <w:sz w:val="32"/>
          <w:szCs w:val="32"/>
          <w:lang w:eastAsia="zh-CN"/>
        </w:rPr>
        <w:t>委</w:t>
      </w:r>
      <w:r>
        <w:rPr>
          <w:rFonts w:hint="eastAsia" w:ascii="仿宋_GB2312" w:hAnsi="仿宋_GB2312" w:eastAsia="仿宋_GB2312" w:cs="仿宋_GB2312"/>
          <w:sz w:val="32"/>
          <w:szCs w:val="32"/>
        </w:rPr>
        <w:t>部门整体预算资金使用绩效进行客观、公正的反映。</w:t>
      </w:r>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统筹兼顾原则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单位自评、部门自评和财政自评应职责明确，各有侧重，相互衔接，绩效自评结果将上报财政部门作为财政自评参考依据。</w:t>
      </w:r>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激励约束原则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此次绩效自评结果与预算安排、政策调整、改进管理实质性挂钩，体现奖优罚劣和激励相容导向，有效安排、低效压减、无效问责。</w:t>
      </w:r>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4</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公开透明原则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此次绩效自评结果应依法依规在政府门户网站进行公开，并自觉接受社会监督。</w:t>
      </w:r>
    </w:p>
    <w:bookmarkEnd w:id="20"/>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outlineLvl w:val="1"/>
        <w:rPr>
          <w:rFonts w:hint="eastAsia" w:ascii="楷体" w:hAnsi="楷体" w:eastAsia="楷体" w:cs="楷体"/>
          <w:b w:val="0"/>
          <w:bCs w:val="0"/>
          <w:sz w:val="32"/>
          <w:szCs w:val="32"/>
          <w:lang w:val="en-US" w:eastAsia="zh-CN"/>
        </w:rPr>
      </w:pPr>
      <w:bookmarkStart w:id="21" w:name="_Toc8765"/>
      <w:bookmarkStart w:id="22" w:name="_Toc14749"/>
      <w:bookmarkStart w:id="23" w:name="_Toc6980"/>
      <w:r>
        <w:rPr>
          <w:rFonts w:hint="eastAsia" w:ascii="楷体" w:hAnsi="楷体" w:eastAsia="楷体" w:cs="楷体"/>
          <w:b w:val="0"/>
          <w:bCs w:val="0"/>
          <w:sz w:val="32"/>
          <w:szCs w:val="32"/>
          <w:lang w:eastAsia="zh-CN"/>
        </w:rPr>
        <w:t>（</w:t>
      </w:r>
      <w:r>
        <w:rPr>
          <w:rFonts w:hint="eastAsia" w:ascii="楷体" w:hAnsi="楷体" w:eastAsia="楷体" w:cs="楷体"/>
          <w:b w:val="0"/>
          <w:bCs w:val="0"/>
          <w:sz w:val="32"/>
          <w:szCs w:val="32"/>
          <w:lang w:val="en-US" w:eastAsia="zh-CN"/>
        </w:rPr>
        <w:t>五</w:t>
      </w:r>
      <w:r>
        <w:rPr>
          <w:rFonts w:hint="eastAsia" w:ascii="楷体" w:hAnsi="楷体" w:eastAsia="楷体" w:cs="楷体"/>
          <w:b w:val="0"/>
          <w:bCs w:val="0"/>
          <w:sz w:val="32"/>
          <w:szCs w:val="32"/>
          <w:lang w:eastAsia="zh-CN"/>
        </w:rPr>
        <w:t>）绩效自评</w:t>
      </w:r>
      <w:bookmarkEnd w:id="21"/>
      <w:bookmarkEnd w:id="22"/>
      <w:r>
        <w:rPr>
          <w:rFonts w:hint="eastAsia" w:ascii="楷体" w:hAnsi="楷体" w:eastAsia="楷体" w:cs="楷体"/>
          <w:b w:val="0"/>
          <w:bCs w:val="0"/>
          <w:sz w:val="32"/>
          <w:szCs w:val="32"/>
          <w:lang w:val="en-US" w:eastAsia="zh-CN"/>
        </w:rPr>
        <w:t>过程</w:t>
      </w:r>
      <w:bookmarkEnd w:id="23"/>
    </w:p>
    <w:p>
      <w:pPr>
        <w:keepNext w:val="0"/>
        <w:keepLines w:val="0"/>
        <w:pageBreakBefore w:val="0"/>
        <w:widowControl w:val="0"/>
        <w:kinsoku/>
        <w:wordWrap/>
        <w:overflowPunct/>
        <w:topLinePunct w:val="0"/>
        <w:autoSpaceDE/>
        <w:autoSpaceDN/>
        <w:bidi w:val="0"/>
        <w:snapToGrid w:val="0"/>
        <w:spacing w:line="578" w:lineRule="exact"/>
        <w:ind w:left="0" w:firstLine="640" w:firstLineChars="200"/>
        <w:textAlignment w:val="auto"/>
        <w:rPr>
          <w:rFonts w:hint="eastAsia"/>
          <w:sz w:val="32"/>
          <w:szCs w:val="32"/>
        </w:rPr>
      </w:pPr>
      <w:r>
        <w:rPr>
          <w:rFonts w:hint="eastAsia" w:ascii="仿宋_GB2312" w:hAnsi="仿宋_GB2312" w:eastAsia="仿宋_GB2312" w:cs="仿宋_GB2312"/>
          <w:sz w:val="32"/>
          <w:szCs w:val="32"/>
        </w:rPr>
        <w:t>本次绩效自评将资金使用产出及效果与年初指标值相比较，完成相应指标值的；对完成值</w:t>
      </w:r>
      <w:r>
        <w:rPr>
          <w:rFonts w:hint="eastAsia" w:ascii="仿宋_GB2312" w:hAnsi="仿宋_GB2312" w:eastAsia="仿宋_GB2312" w:cs="仿宋_GB2312"/>
          <w:sz w:val="32"/>
          <w:szCs w:val="32"/>
          <w:lang w:eastAsia="zh-CN"/>
        </w:rPr>
        <w:t>低</w:t>
      </w:r>
      <w:r>
        <w:rPr>
          <w:rFonts w:hint="eastAsia" w:ascii="仿宋_GB2312" w:hAnsi="仿宋_GB2312" w:eastAsia="仿宋_GB2312" w:cs="仿宋_GB2312"/>
          <w:sz w:val="32"/>
          <w:szCs w:val="32"/>
        </w:rPr>
        <w:t>于指标值较多的，分析其形成原因，针对评价过程中发现的问题进一步提出相关意见建议，为以后年度</w:t>
      </w:r>
      <w:r>
        <w:rPr>
          <w:rFonts w:hint="eastAsia" w:ascii="仿宋_GB2312" w:hAnsi="仿宋_GB2312" w:eastAsia="仿宋_GB2312" w:cs="仿宋_GB2312"/>
          <w:sz w:val="32"/>
          <w:szCs w:val="32"/>
          <w:lang w:eastAsia="zh-CN"/>
        </w:rPr>
        <w:t>我委</w:t>
      </w:r>
      <w:r>
        <w:rPr>
          <w:rFonts w:hint="eastAsia" w:ascii="仿宋_GB2312" w:hAnsi="仿宋_GB2312" w:eastAsia="仿宋_GB2312" w:cs="仿宋_GB2312"/>
          <w:sz w:val="32"/>
          <w:szCs w:val="32"/>
        </w:rPr>
        <w:t>履行部门职责作出更好的预算管理和资金安排。</w:t>
      </w:r>
    </w:p>
    <w:p>
      <w:pPr>
        <w:keepNext w:val="0"/>
        <w:keepLines w:val="0"/>
        <w:pageBreakBefore w:val="0"/>
        <w:widowControl w:val="0"/>
        <w:kinsoku/>
        <w:wordWrap/>
        <w:overflowPunct/>
        <w:topLinePunct w:val="0"/>
        <w:autoSpaceDE/>
        <w:autoSpaceDN/>
        <w:bidi w:val="0"/>
        <w:adjustRightInd/>
        <w:snapToGrid/>
        <w:spacing w:line="578" w:lineRule="exact"/>
        <w:ind w:left="0" w:leftChars="0" w:right="0" w:firstLine="640" w:firstLineChars="200"/>
        <w:textAlignment w:val="auto"/>
        <w:outlineLvl w:val="0"/>
        <w:rPr>
          <w:rFonts w:hint="eastAsia" w:ascii="黑体" w:hAnsi="黑体" w:eastAsia="黑体"/>
          <w:b/>
          <w:bCs/>
          <w:sz w:val="32"/>
          <w:szCs w:val="32"/>
          <w:lang w:eastAsia="zh-CN"/>
        </w:rPr>
      </w:pPr>
      <w:bookmarkStart w:id="24" w:name="_Toc27327"/>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bookmarkEnd w:id="24"/>
    </w:p>
    <w:p>
      <w:pPr>
        <w:keepNext w:val="0"/>
        <w:keepLines w:val="0"/>
        <w:pageBreakBefore w:val="0"/>
        <w:widowControl w:val="0"/>
        <w:numPr>
          <w:ilvl w:val="0"/>
          <w:numId w:val="2"/>
        </w:numPr>
        <w:kinsoku/>
        <w:wordWrap/>
        <w:overflowPunct/>
        <w:topLinePunct w:val="0"/>
        <w:autoSpaceDE/>
        <w:autoSpaceDN/>
        <w:bidi w:val="0"/>
        <w:spacing w:line="578" w:lineRule="exact"/>
        <w:ind w:left="0" w:leftChars="0" w:right="0" w:firstLine="640" w:firstLineChars="200"/>
        <w:textAlignment w:val="auto"/>
        <w:outlineLvl w:val="1"/>
        <w:rPr>
          <w:rFonts w:hint="eastAsia" w:ascii="楷体" w:hAnsi="楷体" w:eastAsia="楷体" w:cs="楷体"/>
          <w:b w:val="0"/>
          <w:bCs w:val="0"/>
          <w:sz w:val="32"/>
          <w:szCs w:val="32"/>
        </w:rPr>
      </w:pPr>
      <w:bookmarkStart w:id="25" w:name="_Toc2663"/>
      <w:r>
        <w:rPr>
          <w:rFonts w:hint="eastAsia" w:ascii="楷体" w:hAnsi="楷体" w:eastAsia="楷体" w:cs="楷体"/>
          <w:b w:val="0"/>
          <w:bCs w:val="0"/>
          <w:sz w:val="32"/>
          <w:szCs w:val="32"/>
          <w:lang w:eastAsia="zh-CN"/>
        </w:rPr>
        <w:t>总体绩效目标实现情况</w:t>
      </w:r>
      <w:bookmarkEnd w:id="25"/>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 w:hAnsi="仿宋" w:eastAsia="仿宋"/>
          <w:sz w:val="32"/>
          <w:szCs w:val="32"/>
          <w:lang w:val="en-US" w:eastAsia="zh-CN"/>
        </w:rPr>
      </w:pPr>
      <w:r>
        <w:rPr>
          <w:rFonts w:hint="eastAsia" w:ascii="仿宋_GB2312" w:eastAsia="仿宋_GB2312"/>
          <w:sz w:val="32"/>
          <w:szCs w:val="32"/>
          <w:lang w:val="en-US" w:eastAsia="zh-CN"/>
        </w:rPr>
        <w:t>2022</w:t>
      </w:r>
      <w:r>
        <w:rPr>
          <w:rFonts w:hint="eastAsia" w:ascii="仿宋_GB2312" w:eastAsia="仿宋_GB2312"/>
          <w:sz w:val="32"/>
          <w:szCs w:val="32"/>
        </w:rPr>
        <w:t>年，在市委、市政府的正确领导下，</w:t>
      </w:r>
      <w:r>
        <w:rPr>
          <w:rFonts w:hint="eastAsia" w:ascii="仿宋_GB2312" w:eastAsia="仿宋_GB2312"/>
          <w:sz w:val="32"/>
          <w:szCs w:val="32"/>
          <w:lang w:eastAsia="zh-CN"/>
        </w:rPr>
        <w:t>我委</w:t>
      </w:r>
      <w:r>
        <w:rPr>
          <w:rFonts w:hint="default" w:ascii="仿宋_GB2312" w:eastAsia="仿宋_GB2312"/>
          <w:sz w:val="32"/>
          <w:szCs w:val="32"/>
          <w:lang w:val="en"/>
        </w:rPr>
        <w:t>领导班子</w:t>
      </w:r>
      <w:r>
        <w:rPr>
          <w:rFonts w:hint="eastAsia" w:ascii="仿宋_GB2312" w:hAnsi="仿宋_GB2312" w:eastAsia="仿宋_GB2312" w:cs="仿宋_GB2312"/>
          <w:sz w:val="32"/>
          <w:szCs w:val="32"/>
        </w:rPr>
        <w:t>坚持以</w:t>
      </w:r>
      <w:r>
        <w:rPr>
          <w:rFonts w:hint="eastAsia" w:ascii="仿宋_GB2312" w:hAnsi="仿宋_GB2312" w:eastAsia="仿宋_GB2312" w:cs="仿宋_GB2312"/>
          <w:spacing w:val="0"/>
          <w:w w:val="100"/>
          <w:sz w:val="32"/>
          <w:szCs w:val="32"/>
          <w:lang w:eastAsia="zh-CN"/>
        </w:rPr>
        <w:t>习近平新时代中国特色社会主义思想为指导，紧紧围绕</w:t>
      </w:r>
      <w:r>
        <w:rPr>
          <w:rFonts w:hint="eastAsia" w:ascii="仿宋_GB2312" w:hAnsi="仿宋_GB2312" w:eastAsia="仿宋_GB2312" w:cs="仿宋_GB2312"/>
          <w:color w:val="auto"/>
          <w:sz w:val="32"/>
          <w:szCs w:val="32"/>
          <w:lang w:eastAsia="zh-CN"/>
        </w:rPr>
        <w:t>国家、省市一系列会议精神和决策部署</w:t>
      </w:r>
      <w:r>
        <w:rPr>
          <w:rFonts w:hint="eastAsia" w:ascii="仿宋_GB2312" w:hAnsi="仿宋_GB2312" w:eastAsia="仿宋_GB2312" w:cs="仿宋_GB2312"/>
          <w:spacing w:val="0"/>
          <w:w w:val="100"/>
          <w:sz w:val="32"/>
          <w:szCs w:val="32"/>
          <w:lang w:eastAsia="zh-CN"/>
        </w:rPr>
        <w:t>，</w:t>
      </w:r>
      <w:r>
        <w:rPr>
          <w:rFonts w:hint="eastAsia" w:ascii="仿宋_GB2312" w:hAnsi="仿宋_GB2312" w:eastAsia="仿宋_GB2312" w:cs="仿宋_GB2312"/>
          <w:color w:val="auto"/>
          <w:sz w:val="32"/>
          <w:szCs w:val="32"/>
          <w:lang w:val="en-US" w:eastAsia="zh-CN"/>
        </w:rPr>
        <w:t>坚持党的全面领导，</w:t>
      </w:r>
      <w:r>
        <w:rPr>
          <w:rFonts w:hint="eastAsia" w:ascii="仿宋_GB2312" w:hAnsi="仿宋_GB2312" w:eastAsia="仿宋_GB2312" w:cs="仿宋_GB2312"/>
          <w:color w:val="auto"/>
          <w:sz w:val="32"/>
          <w:szCs w:val="32"/>
          <w:lang w:eastAsia="zh-CN"/>
        </w:rPr>
        <w:t>遵循</w:t>
      </w:r>
      <w:r>
        <w:rPr>
          <w:rFonts w:hint="eastAsia" w:ascii="仿宋_GB2312" w:hAnsi="仿宋_GB2312" w:eastAsia="仿宋_GB2312" w:cs="仿宋_GB2312"/>
          <w:color w:val="auto"/>
          <w:sz w:val="32"/>
          <w:szCs w:val="32"/>
        </w:rPr>
        <w:t>新时代卫生健康工作方针，</w:t>
      </w:r>
      <w:r>
        <w:rPr>
          <w:rFonts w:hint="eastAsia" w:ascii="仿宋_GB2312" w:hAnsi="仿宋_GB2312" w:eastAsia="仿宋_GB2312" w:cs="仿宋_GB2312"/>
          <w:color w:val="auto"/>
          <w:sz w:val="32"/>
          <w:szCs w:val="32"/>
          <w:lang w:val="en-US" w:eastAsia="zh-CN"/>
        </w:rPr>
        <w:t>树牢“大卫生、大健康”理念，以高质量发展为主题，</w:t>
      </w:r>
      <w:r>
        <w:rPr>
          <w:rFonts w:hint="eastAsia" w:ascii="仿宋_GB2312" w:hAnsi="仿宋_GB2312" w:eastAsia="仿宋_GB2312" w:cs="仿宋_GB2312"/>
          <w:color w:val="auto"/>
          <w:sz w:val="32"/>
          <w:szCs w:val="32"/>
        </w:rPr>
        <w:t>以</w:t>
      </w:r>
      <w:r>
        <w:rPr>
          <w:rFonts w:hint="eastAsia" w:ascii="仿宋_GB2312" w:hAnsi="仿宋_GB2312" w:eastAsia="仿宋_GB2312" w:cs="仿宋_GB2312"/>
          <w:color w:val="auto"/>
          <w:sz w:val="32"/>
          <w:szCs w:val="32"/>
          <w:lang w:eastAsia="zh-CN"/>
        </w:rPr>
        <w:t>推进</w:t>
      </w:r>
      <w:r>
        <w:rPr>
          <w:rFonts w:hint="eastAsia" w:ascii="仿宋_GB2312" w:hAnsi="仿宋_GB2312" w:eastAsia="仿宋_GB2312" w:cs="仿宋_GB2312"/>
          <w:color w:val="auto"/>
          <w:sz w:val="32"/>
          <w:szCs w:val="32"/>
        </w:rPr>
        <w:t>健康石家庄建设为主线，</w:t>
      </w:r>
      <w:r>
        <w:rPr>
          <w:rFonts w:hint="eastAsia" w:ascii="仿宋_GB2312" w:hAnsi="仿宋_GB2312" w:eastAsia="仿宋_GB2312" w:cs="仿宋_GB2312"/>
          <w:color w:val="auto"/>
          <w:sz w:val="32"/>
          <w:szCs w:val="32"/>
          <w:lang w:eastAsia="zh-CN"/>
        </w:rPr>
        <w:t>以深化医改为引领，以“三名”工程为载体，高效</w:t>
      </w:r>
      <w:r>
        <w:rPr>
          <w:rFonts w:hint="eastAsia" w:ascii="仿宋_GB2312" w:hAnsi="仿宋_GB2312" w:eastAsia="仿宋_GB2312" w:cs="仿宋_GB2312"/>
          <w:sz w:val="32"/>
          <w:szCs w:val="32"/>
        </w:rPr>
        <w:t>统筹全市疫情防控和卫生健康事业高质量发展，</w:t>
      </w:r>
      <w:r>
        <w:rPr>
          <w:rFonts w:hint="eastAsia" w:ascii="仿宋_GB2312" w:hAnsi="仿宋_GB2312" w:eastAsia="仿宋_GB2312" w:cs="仿宋_GB2312"/>
          <w:sz w:val="32"/>
          <w:szCs w:val="32"/>
          <w:lang w:eastAsia="zh-CN"/>
        </w:rPr>
        <w:t>着力推进医疗资源优势转化为发展优势，</w:t>
      </w:r>
      <w:r>
        <w:rPr>
          <w:rFonts w:hint="eastAsia" w:ascii="仿宋_GB2312" w:hAnsi="仿宋_GB2312" w:eastAsia="仿宋_GB2312" w:cs="仿宋_GB2312"/>
          <w:color w:val="auto"/>
          <w:sz w:val="32"/>
          <w:szCs w:val="32"/>
          <w:lang w:val="en-US" w:eastAsia="zh-CN"/>
        </w:rPr>
        <w:t>努力全方位全周期保障人民健康，</w:t>
      </w:r>
      <w:r>
        <w:rPr>
          <w:rFonts w:hint="eastAsia" w:ascii="仿宋_GB2312" w:hAnsi="仿宋_GB2312" w:eastAsia="仿宋_GB2312" w:cs="仿宋_GB2312"/>
          <w:sz w:val="32"/>
          <w:szCs w:val="32"/>
        </w:rPr>
        <w:t>为加快建设</w:t>
      </w:r>
      <w:r>
        <w:rPr>
          <w:rFonts w:hint="eastAsia" w:ascii="仿宋_GB2312" w:hAnsi="仿宋_GB2312" w:eastAsia="仿宋_GB2312" w:cs="仿宋_GB2312"/>
          <w:sz w:val="32"/>
          <w:szCs w:val="32"/>
          <w:lang w:eastAsia="zh-CN"/>
        </w:rPr>
        <w:t>现代化、国际化美丽省会城市</w:t>
      </w:r>
      <w:r>
        <w:rPr>
          <w:rFonts w:hint="eastAsia" w:ascii="仿宋_GB2312" w:hAnsi="仿宋_GB2312" w:eastAsia="仿宋_GB2312" w:cs="仿宋_GB2312"/>
          <w:sz w:val="32"/>
          <w:szCs w:val="32"/>
        </w:rPr>
        <w:t>提供</w:t>
      </w:r>
      <w:r>
        <w:rPr>
          <w:rFonts w:hint="default" w:ascii="仿宋_GB2312" w:hAnsi="仿宋_GB2312" w:eastAsia="仿宋_GB2312" w:cs="仿宋_GB2312"/>
          <w:sz w:val="32"/>
          <w:szCs w:val="32"/>
          <w:lang w:val="en"/>
        </w:rPr>
        <w:t>了</w:t>
      </w:r>
      <w:r>
        <w:rPr>
          <w:rFonts w:hint="eastAsia" w:ascii="仿宋_GB2312" w:hAnsi="仿宋_GB2312" w:eastAsia="仿宋_GB2312" w:cs="仿宋_GB2312"/>
          <w:sz w:val="32"/>
          <w:szCs w:val="32"/>
        </w:rPr>
        <w:t>坚实健康保障。</w:t>
      </w:r>
    </w:p>
    <w:p>
      <w:pPr>
        <w:keepNext w:val="0"/>
        <w:keepLines w:val="0"/>
        <w:pageBreakBefore w:val="0"/>
        <w:widowControl w:val="0"/>
        <w:numPr>
          <w:ilvl w:val="0"/>
          <w:numId w:val="2"/>
        </w:numPr>
        <w:kinsoku/>
        <w:wordWrap/>
        <w:overflowPunct/>
        <w:topLinePunct w:val="0"/>
        <w:autoSpaceDE/>
        <w:autoSpaceDN/>
        <w:bidi w:val="0"/>
        <w:spacing w:line="578" w:lineRule="exact"/>
        <w:ind w:left="0" w:leftChars="0" w:right="0" w:firstLine="640" w:firstLineChars="200"/>
        <w:textAlignment w:val="auto"/>
        <w:outlineLvl w:val="1"/>
        <w:rPr>
          <w:rFonts w:hint="eastAsia" w:ascii="楷体" w:hAnsi="楷体" w:eastAsia="楷体" w:cs="楷体"/>
          <w:b w:val="0"/>
          <w:bCs w:val="0"/>
          <w:sz w:val="32"/>
          <w:szCs w:val="32"/>
          <w:highlight w:val="none"/>
          <w:lang w:eastAsia="zh-CN"/>
        </w:rPr>
      </w:pPr>
      <w:bookmarkStart w:id="26" w:name="_Toc26201"/>
      <w:r>
        <w:rPr>
          <w:rFonts w:hint="eastAsia" w:ascii="楷体" w:hAnsi="楷体" w:eastAsia="楷体" w:cs="楷体"/>
          <w:b w:val="0"/>
          <w:bCs w:val="0"/>
          <w:sz w:val="32"/>
          <w:szCs w:val="32"/>
          <w:highlight w:val="none"/>
          <w:lang w:eastAsia="zh-CN"/>
        </w:rPr>
        <w:t>分项绩效目标实现情况及指标分析</w:t>
      </w:r>
      <w:bookmarkEnd w:id="26"/>
    </w:p>
    <w:p>
      <w:pPr>
        <w:pageBreakBefore w:val="0"/>
        <w:numPr>
          <w:ilvl w:val="0"/>
          <w:numId w:val="0"/>
        </w:numPr>
        <w:kinsoku/>
        <w:wordWrap/>
        <w:overflowPunct/>
        <w:topLinePunct w:val="0"/>
        <w:autoSpaceDE/>
        <w:autoSpaceDN/>
        <w:bidi w:val="0"/>
        <w:spacing w:line="578" w:lineRule="exact"/>
        <w:ind w:left="630" w:leftChars="0"/>
        <w:rPr>
          <w:rFonts w:hint="eastAsia" w:ascii="仿宋_GB2312" w:hAnsi="仿宋_GB2312" w:eastAsia="仿宋_GB2312" w:cs="仿宋_GB2312"/>
          <w:b/>
          <w:bCs/>
          <w:i w:val="0"/>
          <w:caps w:val="0"/>
          <w:color w:val="000000"/>
          <w:spacing w:val="0"/>
          <w:sz w:val="32"/>
          <w:szCs w:val="32"/>
          <w:lang w:eastAsia="zh-CN"/>
        </w:rPr>
      </w:pPr>
      <w:r>
        <w:rPr>
          <w:rFonts w:hint="eastAsia" w:ascii="仿宋_GB2312" w:hAnsi="仿宋_GB2312" w:eastAsia="仿宋_GB2312" w:cs="仿宋_GB2312"/>
          <w:b/>
          <w:bCs/>
          <w:i w:val="0"/>
          <w:caps w:val="0"/>
          <w:color w:val="000000"/>
          <w:spacing w:val="0"/>
          <w:sz w:val="32"/>
          <w:szCs w:val="32"/>
          <w:lang w:eastAsia="zh-CN"/>
        </w:rPr>
        <w:t>（</w:t>
      </w:r>
      <w:r>
        <w:rPr>
          <w:rFonts w:hint="eastAsia" w:ascii="仿宋_GB2312" w:hAnsi="仿宋_GB2312" w:eastAsia="仿宋_GB2312" w:cs="仿宋_GB2312"/>
          <w:b/>
          <w:bCs/>
          <w:i w:val="0"/>
          <w:caps w:val="0"/>
          <w:color w:val="000000"/>
          <w:spacing w:val="0"/>
          <w:sz w:val="32"/>
          <w:szCs w:val="32"/>
          <w:lang w:val="en-US" w:eastAsia="zh-CN"/>
        </w:rPr>
        <w:t>1</w:t>
      </w:r>
      <w:r>
        <w:rPr>
          <w:rFonts w:hint="eastAsia" w:ascii="仿宋_GB2312" w:hAnsi="仿宋_GB2312" w:eastAsia="仿宋_GB2312" w:cs="仿宋_GB2312"/>
          <w:b/>
          <w:bCs/>
          <w:i w:val="0"/>
          <w:caps w:val="0"/>
          <w:color w:val="000000"/>
          <w:spacing w:val="0"/>
          <w:sz w:val="32"/>
          <w:szCs w:val="32"/>
          <w:lang w:eastAsia="zh-CN"/>
        </w:rPr>
        <w:t>）积极落实疫情防控工作</w:t>
      </w:r>
    </w:p>
    <w:p>
      <w:pPr>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i w:val="0"/>
          <w:caps w:val="0"/>
          <w:color w:val="000000"/>
          <w:spacing w:val="0"/>
          <w:sz w:val="32"/>
          <w:szCs w:val="32"/>
          <w:lang w:eastAsia="zh-CN"/>
        </w:rPr>
        <w:t>我委</w:t>
      </w:r>
      <w:r>
        <w:rPr>
          <w:rFonts w:hint="eastAsia" w:ascii="仿宋_GB2312" w:hAnsi="仿宋_GB2312" w:eastAsia="仿宋_GB2312" w:cs="仿宋_GB2312"/>
          <w:b w:val="0"/>
          <w:bCs w:val="0"/>
          <w:i w:val="0"/>
          <w:caps w:val="0"/>
          <w:color w:val="000000"/>
          <w:spacing w:val="0"/>
          <w:sz w:val="32"/>
          <w:szCs w:val="32"/>
          <w:lang w:val="en-US" w:eastAsia="zh-CN"/>
        </w:rPr>
        <w:t>2022年全年</w:t>
      </w:r>
      <w:r>
        <w:rPr>
          <w:rFonts w:hint="eastAsia" w:ascii="仿宋_GB2312" w:hAnsi="仿宋_GB2312" w:eastAsia="仿宋_GB2312" w:cs="仿宋_GB2312"/>
          <w:b w:val="0"/>
          <w:bCs w:val="0"/>
          <w:i w:val="0"/>
          <w:caps w:val="0"/>
          <w:color w:val="000000"/>
          <w:spacing w:val="0"/>
          <w:sz w:val="32"/>
          <w:szCs w:val="32"/>
          <w:lang w:eastAsia="zh-CN"/>
        </w:rPr>
        <w:t>针对疫情防控形势变化，结合工作中暴露出的问题不足和短板弱项，坚持边实战边总结边完善，及时优化调整</w:t>
      </w:r>
      <w:r>
        <w:rPr>
          <w:rFonts w:hint="eastAsia" w:ascii="仿宋_GB2312" w:hAnsi="仿宋_GB2312" w:eastAsia="仿宋_GB2312" w:cs="仿宋_GB2312"/>
          <w:w w:val="98"/>
          <w:sz w:val="32"/>
          <w:szCs w:val="32"/>
          <w:lang w:eastAsia="zh-CN"/>
        </w:rPr>
        <w:t>排查监测、核酸检测、流调溯源、隔离转运、医疗救治、消毒消杀、方舱医院建设、数据统报、疫苗接种等各种工作流程</w:t>
      </w:r>
      <w:r>
        <w:rPr>
          <w:rFonts w:hint="eastAsia" w:ascii="仿宋_GB2312" w:hAnsi="仿宋_GB2312" w:eastAsia="仿宋_GB2312" w:cs="仿宋_GB2312"/>
          <w:w w:val="98"/>
          <w:sz w:val="32"/>
          <w:szCs w:val="32"/>
          <w:lang w:val="en-US" w:eastAsia="zh-CN"/>
        </w:rPr>
        <w:t>27项</w:t>
      </w:r>
      <w:r>
        <w:rPr>
          <w:rFonts w:hint="eastAsia" w:ascii="仿宋_GB2312" w:hAnsi="仿宋_GB2312" w:eastAsia="仿宋_GB2312" w:cs="仿宋_GB2312"/>
          <w:w w:val="98"/>
          <w:sz w:val="32"/>
          <w:szCs w:val="32"/>
          <w:lang w:eastAsia="zh-CN"/>
        </w:rPr>
        <w:t>，细化出台各项预案方案</w:t>
      </w:r>
      <w:r>
        <w:rPr>
          <w:rFonts w:hint="eastAsia" w:ascii="仿宋_GB2312" w:hAnsi="仿宋_GB2312" w:eastAsia="仿宋_GB2312" w:cs="仿宋_GB2312"/>
          <w:w w:val="98"/>
          <w:sz w:val="32"/>
          <w:szCs w:val="32"/>
          <w:lang w:val="en-US" w:eastAsia="zh-CN"/>
        </w:rPr>
        <w:t>31个</w:t>
      </w:r>
      <w:r>
        <w:rPr>
          <w:rFonts w:hint="eastAsia" w:ascii="仿宋_GB2312" w:hAnsi="仿宋_GB2312" w:eastAsia="仿宋_GB2312" w:cs="仿宋_GB2312"/>
          <w:w w:val="98"/>
          <w:sz w:val="32"/>
          <w:szCs w:val="32"/>
          <w:lang w:eastAsia="zh-CN"/>
        </w:rPr>
        <w:t>，进一步明确</w:t>
      </w:r>
      <w:r>
        <w:rPr>
          <w:rFonts w:hint="default" w:ascii="仿宋_GB2312" w:hAnsi="仿宋_GB2312" w:eastAsia="仿宋_GB2312" w:cs="仿宋_GB2312"/>
          <w:w w:val="98"/>
          <w:sz w:val="32"/>
          <w:szCs w:val="32"/>
          <w:lang w:eastAsia="zh-CN"/>
        </w:rPr>
        <w:t>了</w:t>
      </w:r>
      <w:r>
        <w:rPr>
          <w:rFonts w:hint="eastAsia" w:ascii="仿宋_GB2312" w:hAnsi="仿宋_GB2312" w:eastAsia="仿宋_GB2312" w:cs="仿宋_GB2312"/>
          <w:w w:val="98"/>
          <w:sz w:val="32"/>
          <w:szCs w:val="32"/>
          <w:lang w:eastAsia="zh-CN"/>
        </w:rPr>
        <w:t>各项工作任务，压实了各级工作责任；</w:t>
      </w:r>
      <w:r>
        <w:rPr>
          <w:rFonts w:hint="eastAsia" w:ascii="仿宋_GB2312" w:hAnsi="仿宋_GB2312" w:eastAsia="仿宋_GB2312" w:cs="仿宋_GB2312"/>
          <w:b w:val="0"/>
          <w:bCs w:val="0"/>
          <w:sz w:val="32"/>
          <w:szCs w:val="32"/>
          <w:lang w:val="en-US" w:eastAsia="zh-CN"/>
        </w:rPr>
        <w:t>建立健全“三公”协同，融合联动，四级专班，一体推进工作机制，在全市23个县（市、区）275个乡镇（街道）5150个村居（社区）钩织了横向到边、纵向到底的排查网，完成</w:t>
      </w:r>
      <w:r>
        <w:rPr>
          <w:rFonts w:hint="eastAsia" w:ascii="仿宋_GB2312" w:hAnsi="仿宋_GB2312" w:eastAsia="仿宋_GB2312" w:cs="仿宋_GB2312"/>
          <w:sz w:val="32"/>
          <w:szCs w:val="32"/>
          <w:lang w:val="en-US" w:eastAsia="zh-CN"/>
        </w:rPr>
        <w:t>重点地区风险人员排查任务886批，共计590余万条，</w:t>
      </w:r>
      <w:r>
        <w:rPr>
          <w:rFonts w:hint="eastAsia" w:ascii="仿宋_GB2312" w:hAnsi="仿宋_GB2312" w:eastAsia="仿宋_GB2312" w:cs="仿宋_GB2312"/>
          <w:b w:val="0"/>
          <w:bCs w:val="0"/>
          <w:sz w:val="32"/>
          <w:szCs w:val="32"/>
          <w:lang w:val="en-US" w:eastAsia="zh-CN"/>
        </w:rPr>
        <w:t>全年累计</w:t>
      </w:r>
      <w:r>
        <w:rPr>
          <w:rFonts w:hint="eastAsia" w:ascii="仿宋_GB2312" w:hAnsi="仿宋_GB2312" w:eastAsia="仿宋_GB2312" w:cs="仿宋_GB2312"/>
          <w:i w:val="0"/>
          <w:caps w:val="0"/>
          <w:color w:val="auto"/>
          <w:spacing w:val="0"/>
          <w:kern w:val="0"/>
          <w:sz w:val="32"/>
          <w:szCs w:val="32"/>
          <w:lang w:val="en-US" w:eastAsia="zh-CN" w:bidi="ar"/>
        </w:rPr>
        <w:t>接收、推送省外、省内市际协查函2.1万份，</w:t>
      </w:r>
      <w:r>
        <w:rPr>
          <w:rFonts w:hint="eastAsia" w:ascii="仿宋_GB2312" w:hAnsi="仿宋_GB2312" w:eastAsia="仿宋_GB2312" w:cs="仿宋_GB2312"/>
          <w:sz w:val="32"/>
          <w:szCs w:val="32"/>
          <w:lang w:eastAsia="zh-CN"/>
        </w:rPr>
        <w:t>各级医疗机构</w:t>
      </w:r>
      <w:r>
        <w:rPr>
          <w:rFonts w:hint="eastAsia" w:ascii="仿宋_GB2312" w:hAnsi="仿宋_GB2312" w:eastAsia="仿宋_GB2312" w:cs="仿宋_GB2312"/>
          <w:sz w:val="32"/>
          <w:szCs w:val="32"/>
          <w:lang w:val="en-US" w:eastAsia="zh-CN"/>
        </w:rPr>
        <w:t>全年累计筛查</w:t>
      </w:r>
      <w:r>
        <w:rPr>
          <w:rFonts w:hint="eastAsia" w:ascii="仿宋_GB2312" w:hAnsi="仿宋_GB2312" w:eastAsia="仿宋_GB2312" w:cs="仿宋_GB2312"/>
          <w:b w:val="0"/>
          <w:bCs w:val="0"/>
          <w:sz w:val="32"/>
          <w:szCs w:val="32"/>
          <w:lang w:val="en-US" w:eastAsia="zh-CN"/>
        </w:rPr>
        <w:t>发热人员21万人次，</w:t>
      </w:r>
      <w:r>
        <w:rPr>
          <w:rFonts w:hint="eastAsia" w:ascii="仿宋_GB2312" w:hAnsi="仿宋_GB2312" w:eastAsia="仿宋_GB2312" w:cs="仿宋_GB2312"/>
          <w:sz w:val="32"/>
          <w:szCs w:val="32"/>
          <w:lang w:val="en-US" w:eastAsia="zh-CN"/>
        </w:rPr>
        <w:t>全部采取相应管控措施，牢牢守住了哨点关口；</w:t>
      </w:r>
      <w:r>
        <w:rPr>
          <w:rFonts w:hint="eastAsia" w:ascii="仿宋_GB2312" w:hAnsi="仿宋_GB2312" w:eastAsia="仿宋_GB2312" w:cs="仿宋_GB2312"/>
          <w:b w:val="0"/>
          <w:bCs w:val="0"/>
          <w:sz w:val="32"/>
          <w:szCs w:val="32"/>
          <w:lang w:val="en-US" w:eastAsia="zh-CN"/>
        </w:rPr>
        <w:t>有效整合全市流调力量，组建2254人的流调队伍，</w:t>
      </w:r>
      <w:r>
        <w:rPr>
          <w:rFonts w:hint="eastAsia" w:ascii="仿宋_GB2312" w:hAnsi="仿宋_GB2312" w:eastAsia="仿宋_GB2312" w:cs="仿宋_GB2312"/>
          <w:b w:val="0"/>
          <w:bCs w:val="0"/>
          <w:sz w:val="32"/>
          <w:szCs w:val="32"/>
          <w:lang w:eastAsia="zh-CN"/>
        </w:rPr>
        <w:t>坚持公卫、公安、工信“三公”协同作战，</w:t>
      </w:r>
      <w:r>
        <w:rPr>
          <w:rFonts w:hint="eastAsia" w:ascii="仿宋_GB2312" w:hAnsi="仿宋_GB2312" w:eastAsia="仿宋_GB2312" w:cs="仿宋_GB2312"/>
          <w:b w:val="0"/>
          <w:bCs w:val="0"/>
          <w:sz w:val="32"/>
          <w:szCs w:val="32"/>
          <w:lang w:val="en-US" w:eastAsia="zh-CN"/>
        </w:rPr>
        <w:t>综合运用大数据、面对面调查等多种手段，全方位、全渠道对阳性病例进行流调溯源，</w:t>
      </w:r>
      <w:r>
        <w:rPr>
          <w:rFonts w:hint="eastAsia" w:ascii="仿宋_GB2312" w:hAnsi="仿宋_GB2312" w:eastAsia="仿宋_GB2312" w:cs="仿宋_GB2312"/>
          <w:b w:val="0"/>
          <w:bCs w:val="0"/>
          <w:sz w:val="32"/>
          <w:szCs w:val="32"/>
          <w:lang w:eastAsia="zh-CN"/>
        </w:rPr>
        <w:t>做到</w:t>
      </w:r>
      <w:r>
        <w:rPr>
          <w:rFonts w:hint="eastAsia" w:ascii="仿宋_GB2312" w:hAnsi="仿宋_GB2312" w:eastAsia="仿宋_GB2312" w:cs="仿宋_GB2312"/>
          <w:b w:val="0"/>
          <w:bCs w:val="0"/>
          <w:sz w:val="32"/>
          <w:szCs w:val="32"/>
          <w:lang w:val="en-US" w:eastAsia="zh-CN"/>
        </w:rPr>
        <w:t>2小时</w:t>
      </w:r>
      <w:r>
        <w:rPr>
          <w:rFonts w:hint="eastAsia" w:ascii="仿宋_GB2312" w:hAnsi="仿宋_GB2312" w:eastAsia="仿宋_GB2312" w:cs="仿宋_GB2312"/>
          <w:b w:val="0"/>
          <w:bCs w:val="0"/>
          <w:sz w:val="32"/>
          <w:szCs w:val="32"/>
        </w:rPr>
        <w:t>内</w:t>
      </w:r>
      <w:r>
        <w:rPr>
          <w:rFonts w:hint="eastAsia" w:ascii="仿宋_GB2312" w:hAnsi="仿宋_GB2312" w:eastAsia="仿宋_GB2312" w:cs="仿宋_GB2312"/>
          <w:b w:val="0"/>
          <w:bCs w:val="0"/>
          <w:sz w:val="32"/>
          <w:szCs w:val="32"/>
          <w:lang w:eastAsia="zh-CN"/>
        </w:rPr>
        <w:t>达到</w:t>
      </w:r>
      <w:r>
        <w:rPr>
          <w:rFonts w:hint="eastAsia" w:ascii="仿宋_GB2312" w:hAnsi="仿宋_GB2312" w:eastAsia="仿宋_GB2312" w:cs="仿宋_GB2312"/>
          <w:b w:val="0"/>
          <w:bCs w:val="0"/>
          <w:sz w:val="32"/>
          <w:szCs w:val="32"/>
        </w:rPr>
        <w:t>现场，4小时内提交核心信息，24小时内完成流调报告</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b w:val="0"/>
          <w:i w:val="0"/>
          <w:caps w:val="0"/>
          <w:color w:val="auto"/>
          <w:spacing w:val="0"/>
          <w:sz w:val="32"/>
          <w:szCs w:val="32"/>
          <w:shd w:val="clear" w:color="auto" w:fill="FFFFFF"/>
          <w:lang w:val="en-US" w:eastAsia="zh-CN"/>
        </w:rPr>
        <w:t>着力</w:t>
      </w:r>
      <w:r>
        <w:rPr>
          <w:rFonts w:hint="eastAsia" w:ascii="仿宋_GB2312" w:hAnsi="仿宋_GB2312" w:eastAsia="仿宋_GB2312" w:cs="仿宋_GB2312"/>
          <w:b w:val="0"/>
          <w:bCs w:val="0"/>
          <w:sz w:val="32"/>
          <w:szCs w:val="32"/>
        </w:rPr>
        <w:t>提高</w:t>
      </w:r>
      <w:r>
        <w:rPr>
          <w:rFonts w:hint="eastAsia" w:ascii="仿宋_GB2312" w:hAnsi="仿宋_GB2312" w:eastAsia="仿宋_GB2312" w:cs="仿宋_GB2312"/>
          <w:b w:val="0"/>
          <w:bCs w:val="0"/>
          <w:sz w:val="32"/>
          <w:szCs w:val="32"/>
          <w:lang w:eastAsia="zh-CN"/>
        </w:rPr>
        <w:t>核酸</w:t>
      </w:r>
      <w:r>
        <w:rPr>
          <w:rFonts w:hint="eastAsia" w:ascii="仿宋_GB2312" w:hAnsi="仿宋_GB2312" w:eastAsia="仿宋_GB2312" w:cs="仿宋_GB2312"/>
          <w:b w:val="0"/>
          <w:bCs w:val="0"/>
          <w:sz w:val="32"/>
          <w:szCs w:val="32"/>
        </w:rPr>
        <w:t>检测能力</w:t>
      </w:r>
      <w:r>
        <w:rPr>
          <w:rFonts w:hint="eastAsia" w:ascii="仿宋_GB2312" w:hAnsi="仿宋_GB2312" w:eastAsia="仿宋_GB2312" w:cs="仿宋_GB2312"/>
          <w:b w:val="0"/>
          <w:bCs w:val="0"/>
          <w:sz w:val="32"/>
          <w:szCs w:val="32"/>
          <w:lang w:eastAsia="zh-CN"/>
        </w:rPr>
        <w:t>，</w:t>
      </w:r>
      <w:r>
        <w:rPr>
          <w:rFonts w:hint="eastAsia" w:ascii="仿宋_GB2312" w:hAnsi="仿宋_GB2312" w:eastAsia="仿宋_GB2312" w:cs="仿宋_GB2312"/>
          <w:color w:val="000000"/>
          <w:sz w:val="32"/>
          <w:szCs w:val="32"/>
          <w:lang w:eastAsia="zh-CN"/>
        </w:rPr>
        <w:t>全市建成核酸检</w:t>
      </w:r>
      <w:r>
        <w:rPr>
          <w:rFonts w:hint="eastAsia" w:ascii="仿宋_GB2312" w:hAnsi="仿宋_GB2312" w:eastAsia="仿宋_GB2312" w:cs="仿宋_GB2312"/>
          <w:b w:val="0"/>
          <w:bCs w:val="0"/>
          <w:color w:val="auto"/>
          <w:sz w:val="32"/>
          <w:szCs w:val="32"/>
          <w:lang w:eastAsia="zh-CN"/>
        </w:rPr>
        <w:t>测机构</w:t>
      </w:r>
      <w:r>
        <w:rPr>
          <w:rFonts w:hint="eastAsia" w:ascii="仿宋_GB2312" w:hAnsi="仿宋_GB2312" w:eastAsia="仿宋_GB2312" w:cs="仿宋_GB2312"/>
          <w:b w:val="0"/>
          <w:bCs w:val="0"/>
          <w:color w:val="auto"/>
          <w:sz w:val="32"/>
          <w:szCs w:val="32"/>
          <w:lang w:val="en-US" w:eastAsia="zh-CN"/>
        </w:rPr>
        <w:t>120</w:t>
      </w:r>
      <w:r>
        <w:rPr>
          <w:rFonts w:hint="eastAsia" w:ascii="仿宋_GB2312" w:hAnsi="仿宋_GB2312" w:eastAsia="仿宋_GB2312" w:cs="仿宋_GB2312"/>
          <w:b w:val="0"/>
          <w:bCs w:val="0"/>
          <w:color w:val="auto"/>
          <w:sz w:val="32"/>
          <w:szCs w:val="32"/>
        </w:rPr>
        <w:t>家，</w:t>
      </w:r>
      <w:r>
        <w:rPr>
          <w:rFonts w:hint="eastAsia" w:ascii="仿宋_GB2312" w:hAnsi="仿宋_GB2312" w:eastAsia="仿宋_GB2312" w:cs="仿宋_GB2312"/>
          <w:sz w:val="32"/>
          <w:szCs w:val="32"/>
          <w:lang w:eastAsia="zh-CN"/>
        </w:rPr>
        <w:t>建立</w:t>
      </w:r>
      <w:r>
        <w:rPr>
          <w:rFonts w:hint="eastAsia" w:ascii="仿宋_GB2312" w:hAnsi="仿宋_GB2312" w:eastAsia="仿宋_GB2312" w:cs="仿宋_GB2312"/>
          <w:sz w:val="32"/>
          <w:szCs w:val="32"/>
        </w:rPr>
        <w:t>核酸检测基地</w:t>
      </w:r>
      <w:r>
        <w:rPr>
          <w:rFonts w:hint="eastAsia" w:ascii="仿宋_GB2312" w:hAnsi="仿宋_GB2312" w:eastAsia="仿宋_GB2312" w:cs="仿宋_GB2312"/>
          <w:sz w:val="32"/>
          <w:szCs w:val="32"/>
          <w:lang w:val="en-US" w:eastAsia="zh-CN"/>
        </w:rPr>
        <w:t>20个</w:t>
      </w:r>
      <w:r>
        <w:rPr>
          <w:rFonts w:hint="eastAsia" w:ascii="仿宋_GB2312" w:hAnsi="仿宋_GB2312" w:eastAsia="仿宋_GB2312" w:cs="仿宋_GB2312"/>
          <w:sz w:val="32"/>
          <w:szCs w:val="32"/>
        </w:rPr>
        <w:t>，单日</w:t>
      </w:r>
      <w:r>
        <w:rPr>
          <w:rFonts w:hint="eastAsia" w:ascii="仿宋_GB2312" w:hAnsi="仿宋_GB2312" w:eastAsia="仿宋_GB2312" w:cs="仿宋_GB2312"/>
          <w:sz w:val="32"/>
          <w:szCs w:val="32"/>
          <w:lang w:eastAsia="zh-CN"/>
        </w:rPr>
        <w:t>单管</w:t>
      </w:r>
      <w:r>
        <w:rPr>
          <w:rFonts w:hint="eastAsia" w:ascii="仿宋_GB2312" w:hAnsi="仿宋_GB2312" w:eastAsia="仿宋_GB2312" w:cs="仿宋_GB2312"/>
          <w:sz w:val="32"/>
          <w:szCs w:val="32"/>
        </w:rPr>
        <w:t>最大检测能力达到</w:t>
      </w:r>
      <w:r>
        <w:rPr>
          <w:rFonts w:hint="eastAsia" w:ascii="仿宋_GB2312" w:hAnsi="仿宋_GB2312" w:eastAsia="仿宋_GB2312" w:cs="仿宋_GB2312"/>
          <w:sz w:val="32"/>
          <w:szCs w:val="32"/>
          <w:lang w:val="en-US" w:eastAsia="zh-CN"/>
        </w:rPr>
        <w:t>68万</w:t>
      </w:r>
      <w:r>
        <w:rPr>
          <w:rFonts w:hint="eastAsia" w:ascii="仿宋_GB2312" w:hAnsi="仿宋_GB2312" w:eastAsia="仿宋_GB2312" w:cs="仿宋_GB2312"/>
          <w:sz w:val="32"/>
          <w:szCs w:val="32"/>
        </w:rPr>
        <w:t>管</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pacing w:val="0"/>
          <w:sz w:val="32"/>
          <w:szCs w:val="32"/>
          <w:lang w:val="en-US" w:eastAsia="zh-CN"/>
        </w:rPr>
        <w:t>组建了3万余人的核酸采样队伍，2100人的核酸检测队伍，</w:t>
      </w:r>
      <w:r>
        <w:rPr>
          <w:rFonts w:hint="eastAsia" w:ascii="仿宋_GB2312" w:hAnsi="仿宋_GB2312" w:eastAsia="仿宋_GB2312" w:cs="仿宋_GB2312"/>
          <w:b w:val="0"/>
          <w:bCs/>
          <w:color w:val="auto"/>
          <w:spacing w:val="0"/>
          <w:sz w:val="32"/>
          <w:szCs w:val="32"/>
          <w:highlight w:val="none"/>
          <w:lang w:val="en-US" w:eastAsia="zh-CN"/>
        </w:rPr>
        <w:t>统筹全市120家核酸检测机构，全年</w:t>
      </w:r>
      <w:r>
        <w:rPr>
          <w:rFonts w:hint="eastAsia" w:ascii="仿宋_GB2312" w:hAnsi="仿宋_GB2312" w:eastAsia="仿宋_GB2312" w:cs="仿宋_GB2312"/>
          <w:spacing w:val="0"/>
          <w:sz w:val="32"/>
          <w:szCs w:val="32"/>
          <w:lang w:val="en-US" w:eastAsia="zh-CN"/>
        </w:rPr>
        <w:t>累计检测8.31亿人次，为打好打赢疫情防控攻坚战提供了有力支撑</w:t>
      </w:r>
      <w:r>
        <w:rPr>
          <w:rFonts w:hint="eastAsia" w:ascii="仿宋_GB2312" w:hAnsi="仿宋_GB2312" w:eastAsia="仿宋_GB2312" w:cs="仿宋_GB2312"/>
          <w:b w:val="0"/>
          <w:bCs w:val="0"/>
          <w:sz w:val="32"/>
          <w:szCs w:val="32"/>
          <w:lang w:val="en-US" w:eastAsia="zh-CN"/>
        </w:rPr>
        <w:t>。</w:t>
      </w:r>
    </w:p>
    <w:p>
      <w:pPr>
        <w:pageBreakBefore w:val="0"/>
        <w:kinsoku/>
        <w:wordWrap/>
        <w:overflowPunct/>
        <w:topLinePunct w:val="0"/>
        <w:autoSpaceDE/>
        <w:autoSpaceDN/>
        <w:bidi w:val="0"/>
        <w:spacing w:line="578" w:lineRule="exact"/>
        <w:ind w:firstLine="640" w:firstLineChars="200"/>
        <w:rPr>
          <w:sz w:val="32"/>
          <w:szCs w:val="32"/>
        </w:rPr>
      </w:pPr>
      <w:r>
        <w:rPr>
          <w:rFonts w:hint="eastAsia" w:ascii="仿宋_GB2312" w:hAnsi="仿宋_GB2312" w:eastAsia="仿宋_GB2312" w:cs="仿宋_GB2312"/>
          <w:b w:val="0"/>
          <w:i w:val="0"/>
          <w:caps w:val="0"/>
          <w:color w:val="auto"/>
          <w:spacing w:val="0"/>
          <w:sz w:val="32"/>
          <w:szCs w:val="32"/>
          <w:shd w:val="clear" w:color="auto" w:fill="FFFFFF"/>
          <w:lang w:val="en-US" w:eastAsia="zh-CN"/>
        </w:rPr>
        <w:t>全市</w:t>
      </w:r>
      <w:r>
        <w:rPr>
          <w:rFonts w:hint="eastAsia" w:ascii="仿宋_GB2312" w:hAnsi="仿宋_GB2312" w:eastAsia="仿宋_GB2312" w:cs="仿宋_GB2312"/>
          <w:b w:val="0"/>
          <w:i w:val="0"/>
          <w:caps w:val="0"/>
          <w:color w:val="auto"/>
          <w:spacing w:val="0"/>
          <w:sz w:val="32"/>
          <w:szCs w:val="32"/>
          <w:shd w:val="clear" w:color="auto" w:fill="FFFFFF"/>
        </w:rPr>
        <w:t>启用6个定点救治医院</w:t>
      </w:r>
      <w:r>
        <w:rPr>
          <w:rFonts w:hint="eastAsia" w:ascii="仿宋_GB2312" w:hAnsi="仿宋_GB2312" w:eastAsia="仿宋_GB2312" w:cs="仿宋_GB2312"/>
          <w:b w:val="0"/>
          <w:i w:val="0"/>
          <w:caps w:val="0"/>
          <w:color w:val="auto"/>
          <w:spacing w:val="0"/>
          <w:sz w:val="32"/>
          <w:szCs w:val="32"/>
          <w:shd w:val="clear" w:color="auto" w:fill="FFFFFF"/>
          <w:lang w:eastAsia="zh-CN"/>
        </w:rPr>
        <w:t>、</w:t>
      </w:r>
      <w:r>
        <w:rPr>
          <w:rFonts w:hint="eastAsia" w:ascii="仿宋_GB2312" w:hAnsi="仿宋_GB2312" w:eastAsia="仿宋_GB2312" w:cs="仿宋_GB2312"/>
          <w:spacing w:val="0"/>
          <w:sz w:val="32"/>
          <w:szCs w:val="32"/>
          <w:lang w:val="en-US" w:eastAsia="zh-CN"/>
        </w:rPr>
        <w:t>3200余张救治床位，</w:t>
      </w:r>
      <w:r>
        <w:rPr>
          <w:rFonts w:hint="eastAsia" w:ascii="仿宋_GB2312" w:hAnsi="仿宋_GB2312" w:eastAsia="仿宋_GB2312" w:cs="仿宋_GB2312"/>
          <w:b w:val="0"/>
          <w:i w:val="0"/>
          <w:caps w:val="0"/>
          <w:color w:val="auto"/>
          <w:spacing w:val="0"/>
          <w:sz w:val="32"/>
          <w:szCs w:val="32"/>
          <w:shd w:val="clear" w:color="auto" w:fill="FFFFFF"/>
          <w:lang w:eastAsia="zh-CN"/>
        </w:rPr>
        <w:t>投入</w:t>
      </w:r>
      <w:r>
        <w:rPr>
          <w:rFonts w:hint="eastAsia" w:ascii="仿宋_GB2312" w:hAnsi="仿宋_GB2312" w:eastAsia="仿宋_GB2312" w:cs="仿宋_GB2312"/>
          <w:b w:val="0"/>
          <w:i w:val="0"/>
          <w:caps w:val="0"/>
          <w:color w:val="auto"/>
          <w:spacing w:val="0"/>
          <w:sz w:val="32"/>
          <w:szCs w:val="32"/>
          <w:shd w:val="clear" w:color="auto" w:fill="FFFFFF"/>
          <w:lang w:val="en-US" w:eastAsia="zh-CN"/>
        </w:rPr>
        <w:t>3800余名</w:t>
      </w:r>
      <w:r>
        <w:rPr>
          <w:rFonts w:hint="eastAsia" w:ascii="仿宋_GB2312" w:hAnsi="仿宋_GB2312" w:eastAsia="仿宋_GB2312" w:cs="仿宋_GB2312"/>
          <w:b w:val="0"/>
          <w:i w:val="0"/>
          <w:caps w:val="0"/>
          <w:color w:val="auto"/>
          <w:spacing w:val="0"/>
          <w:sz w:val="32"/>
          <w:szCs w:val="32"/>
          <w:shd w:val="clear" w:color="auto" w:fill="FFFFFF"/>
          <w:lang w:eastAsia="zh-CN"/>
        </w:rPr>
        <w:t>医务人员，</w:t>
      </w:r>
      <w:r>
        <w:rPr>
          <w:rFonts w:hint="eastAsia" w:ascii="仿宋_GB2312" w:hAnsi="仿宋_GB2312" w:eastAsia="仿宋_GB2312" w:cs="仿宋_GB2312"/>
          <w:spacing w:val="0"/>
          <w:sz w:val="32"/>
          <w:szCs w:val="32"/>
          <w:lang w:val="en-US" w:eastAsia="zh-CN"/>
        </w:rPr>
        <w:t>短时间内</w:t>
      </w:r>
      <w:r>
        <w:rPr>
          <w:rFonts w:hint="eastAsia" w:ascii="仿宋_GB2312" w:hAnsi="仿宋_GB2312" w:eastAsia="仿宋_GB2312" w:cs="仿宋_GB2312"/>
          <w:b w:val="0"/>
          <w:i w:val="0"/>
          <w:caps w:val="0"/>
          <w:color w:val="auto"/>
          <w:spacing w:val="0"/>
          <w:sz w:val="32"/>
          <w:szCs w:val="32"/>
          <w:shd w:val="clear" w:color="auto" w:fill="FFFFFF"/>
        </w:rPr>
        <w:t>改造7个方舱医院</w:t>
      </w:r>
      <w:r>
        <w:rPr>
          <w:rFonts w:hint="eastAsia" w:ascii="仿宋_GB2312" w:hAnsi="仿宋_GB2312" w:eastAsia="仿宋_GB2312" w:cs="仿宋_GB2312"/>
          <w:b w:val="0"/>
          <w:i w:val="0"/>
          <w:caps w:val="0"/>
          <w:color w:val="auto"/>
          <w:spacing w:val="0"/>
          <w:sz w:val="32"/>
          <w:szCs w:val="32"/>
          <w:shd w:val="clear" w:color="auto" w:fill="FFFFFF"/>
          <w:lang w:eastAsia="zh-CN"/>
        </w:rPr>
        <w:t>、</w:t>
      </w:r>
      <w:r>
        <w:rPr>
          <w:rFonts w:hint="eastAsia" w:ascii="仿宋_GB2312" w:hAnsi="仿宋_GB2312" w:eastAsia="仿宋_GB2312" w:cs="仿宋_GB2312"/>
          <w:b w:val="0"/>
          <w:i w:val="0"/>
          <w:caps w:val="0"/>
          <w:color w:val="auto"/>
          <w:spacing w:val="0"/>
          <w:sz w:val="32"/>
          <w:szCs w:val="32"/>
          <w:shd w:val="clear" w:color="auto" w:fill="FFFFFF"/>
          <w:lang w:val="en-US" w:eastAsia="zh-CN"/>
        </w:rPr>
        <w:t>4万余张</w:t>
      </w:r>
      <w:r>
        <w:rPr>
          <w:rFonts w:hint="eastAsia" w:ascii="仿宋_GB2312" w:hAnsi="仿宋_GB2312" w:eastAsia="仿宋_GB2312" w:cs="仿宋_GB2312"/>
          <w:b w:val="0"/>
          <w:i w:val="0"/>
          <w:caps w:val="0"/>
          <w:color w:val="auto"/>
          <w:spacing w:val="0"/>
          <w:sz w:val="32"/>
          <w:szCs w:val="32"/>
          <w:shd w:val="clear" w:color="auto" w:fill="FFFFFF"/>
          <w:lang w:eastAsia="zh-CN"/>
        </w:rPr>
        <w:t>床位</w:t>
      </w:r>
      <w:r>
        <w:rPr>
          <w:rFonts w:hint="eastAsia" w:ascii="仿宋_GB2312" w:hAnsi="仿宋_GB2312" w:eastAsia="仿宋_GB2312" w:cs="仿宋_GB2312"/>
          <w:b w:val="0"/>
          <w:i w:val="0"/>
          <w:caps w:val="0"/>
          <w:color w:val="auto"/>
          <w:spacing w:val="0"/>
          <w:sz w:val="32"/>
          <w:szCs w:val="32"/>
          <w:shd w:val="clear" w:color="auto" w:fill="FFFFFF"/>
          <w:lang w:val="en-US" w:eastAsia="zh-CN"/>
        </w:rPr>
        <w:t>，</w:t>
      </w:r>
      <w:r>
        <w:rPr>
          <w:rFonts w:hint="eastAsia" w:ascii="仿宋_GB2312" w:hAnsi="仿宋_GB2312" w:eastAsia="仿宋_GB2312" w:cs="仿宋_GB2312"/>
          <w:b w:val="0"/>
          <w:i w:val="0"/>
          <w:caps w:val="0"/>
          <w:color w:val="auto"/>
          <w:spacing w:val="0"/>
          <w:sz w:val="32"/>
          <w:szCs w:val="32"/>
          <w:shd w:val="clear" w:color="auto" w:fill="FFFFFF"/>
        </w:rPr>
        <w:t>确保患者得到有效</w:t>
      </w:r>
      <w:r>
        <w:rPr>
          <w:rFonts w:hint="eastAsia" w:ascii="仿宋_GB2312" w:hAnsi="仿宋_GB2312" w:eastAsia="仿宋_GB2312" w:cs="仿宋_GB2312"/>
          <w:b w:val="0"/>
          <w:i w:val="0"/>
          <w:caps w:val="0"/>
          <w:color w:val="auto"/>
          <w:spacing w:val="0"/>
          <w:sz w:val="32"/>
          <w:szCs w:val="32"/>
          <w:shd w:val="clear" w:color="auto" w:fill="FFFFFF"/>
          <w:lang w:eastAsia="zh-CN"/>
        </w:rPr>
        <w:t>治疗，</w:t>
      </w:r>
      <w:r>
        <w:rPr>
          <w:rFonts w:hint="eastAsia" w:ascii="仿宋_GB2312" w:hAnsi="仿宋_GB2312" w:eastAsia="仿宋_GB2312" w:cs="仿宋_GB2312"/>
          <w:b w:val="0"/>
          <w:bCs w:val="0"/>
          <w:color w:val="auto"/>
          <w:sz w:val="32"/>
          <w:szCs w:val="32"/>
          <w:lang w:val="en-US" w:eastAsia="zh-CN"/>
        </w:rPr>
        <w:t>全市设置400个疫苗接种点，</w:t>
      </w:r>
      <w:r>
        <w:rPr>
          <w:rFonts w:hint="eastAsia" w:ascii="仿宋_GB2312" w:hAnsi="仿宋_GB2312" w:eastAsia="仿宋_GB2312" w:cs="仿宋_GB2312"/>
          <w:color w:val="auto"/>
          <w:sz w:val="32"/>
          <w:szCs w:val="32"/>
        </w:rPr>
        <w:t>1</w:t>
      </w:r>
      <w:r>
        <w:rPr>
          <w:rFonts w:hint="eastAsia" w:ascii="仿宋_GB2312" w:hAnsi="仿宋_GB2312" w:eastAsia="仿宋_GB2312" w:cs="仿宋_GB2312"/>
          <w:color w:val="auto"/>
          <w:sz w:val="32"/>
          <w:szCs w:val="32"/>
          <w:lang w:val="en-US" w:eastAsia="zh-CN"/>
        </w:rPr>
        <w:t>0</w:t>
      </w:r>
      <w:r>
        <w:rPr>
          <w:rFonts w:hint="eastAsia" w:ascii="仿宋_GB2312" w:hAnsi="仿宋_GB2312" w:eastAsia="仿宋_GB2312" w:cs="仿宋_GB2312"/>
          <w:color w:val="auto"/>
          <w:sz w:val="32"/>
          <w:szCs w:val="32"/>
        </w:rPr>
        <w:t>00个接种台，</w:t>
      </w:r>
      <w:r>
        <w:rPr>
          <w:rFonts w:hint="eastAsia" w:ascii="仿宋_GB2312" w:hAnsi="仿宋_GB2312" w:eastAsia="仿宋_GB2312" w:cs="仿宋_GB2312"/>
          <w:color w:val="auto"/>
          <w:sz w:val="32"/>
          <w:szCs w:val="32"/>
          <w:lang w:eastAsia="zh-CN"/>
        </w:rPr>
        <w:t>配备</w:t>
      </w:r>
      <w:r>
        <w:rPr>
          <w:rFonts w:hint="eastAsia" w:ascii="仿宋_GB2312" w:hAnsi="仿宋_GB2312" w:eastAsia="仿宋_GB2312" w:cs="仿宋_GB2312"/>
          <w:color w:val="auto"/>
          <w:sz w:val="32"/>
          <w:szCs w:val="32"/>
          <w:lang w:val="en-US" w:eastAsia="zh-CN"/>
        </w:rPr>
        <w:t>5000名接种人员，1000名医疗保障人员，全年不间断持续推进疫苗接种工作。</w:t>
      </w:r>
      <w:r>
        <w:rPr>
          <w:rFonts w:hint="eastAsia" w:ascii="仿宋_GB2312" w:hAnsi="仿宋_GB2312" w:eastAsia="仿宋_GB2312" w:cs="仿宋_GB2312"/>
          <w:b w:val="0"/>
          <w:i w:val="0"/>
          <w:caps w:val="0"/>
          <w:color w:val="auto"/>
          <w:spacing w:val="0"/>
          <w:sz w:val="32"/>
          <w:szCs w:val="32"/>
          <w:shd w:val="clear" w:color="auto" w:fill="FFFFFF"/>
        </w:rPr>
        <w:t>全市累计接种新冠病毒疫苗2677.1585万剂次，3岁以上人群累计接种989.3204万人，接种覆盖率</w:t>
      </w:r>
      <w:r>
        <w:rPr>
          <w:rFonts w:hint="eastAsia" w:ascii="仿宋_GB2312" w:hAnsi="仿宋_GB2312" w:eastAsia="仿宋_GB2312" w:cs="仿宋_GB2312"/>
          <w:b w:val="0"/>
          <w:i w:val="0"/>
          <w:caps w:val="0"/>
          <w:color w:val="auto"/>
          <w:spacing w:val="0"/>
          <w:sz w:val="32"/>
          <w:szCs w:val="32"/>
          <w:shd w:val="clear" w:color="auto" w:fill="FFFFFF"/>
          <w:lang w:eastAsia="zh-CN"/>
        </w:rPr>
        <w:t>达到</w:t>
      </w:r>
      <w:r>
        <w:rPr>
          <w:rFonts w:hint="eastAsia" w:ascii="仿宋_GB2312" w:hAnsi="仿宋_GB2312" w:eastAsia="仿宋_GB2312" w:cs="仿宋_GB2312"/>
          <w:b w:val="0"/>
          <w:i w:val="0"/>
          <w:caps w:val="0"/>
          <w:color w:val="auto"/>
          <w:spacing w:val="0"/>
          <w:sz w:val="32"/>
          <w:szCs w:val="32"/>
          <w:shd w:val="clear" w:color="auto" w:fill="FFFFFF"/>
        </w:rPr>
        <w:t>95.94%。全市已接种加强免疫398.2371万剂次（其中序贯免疫累计接种16.6293万剂次）,当前接种完成率90.21%</w:t>
      </w:r>
      <w:r>
        <w:rPr>
          <w:rFonts w:hint="eastAsia" w:ascii="仿宋_GB2312" w:hAnsi="仿宋_GB2312" w:eastAsia="仿宋_GB2312" w:cs="仿宋_GB2312"/>
          <w:b w:val="0"/>
          <w:i w:val="0"/>
          <w:caps w:val="0"/>
          <w:color w:val="auto"/>
          <w:spacing w:val="0"/>
          <w:sz w:val="32"/>
          <w:szCs w:val="32"/>
          <w:shd w:val="clear" w:color="auto" w:fill="FFFFFF"/>
          <w:lang w:eastAsia="zh-CN"/>
        </w:rPr>
        <w:t>，形成了</w:t>
      </w:r>
      <w:r>
        <w:rPr>
          <w:rFonts w:hint="eastAsia" w:ascii="仿宋_GB2312" w:hAnsi="仿宋_GB2312" w:eastAsia="仿宋_GB2312" w:cs="仿宋_GB2312"/>
          <w:b w:val="0"/>
          <w:bCs w:val="0"/>
          <w:color w:val="auto"/>
          <w:sz w:val="32"/>
          <w:szCs w:val="32"/>
          <w:lang w:val="en-US" w:eastAsia="zh-CN"/>
        </w:rPr>
        <w:t>全人群免疫屏障。</w:t>
      </w:r>
      <w:r>
        <w:rPr>
          <w:rFonts w:hint="eastAsia" w:ascii="仿宋_GB2312" w:hAnsi="仿宋_GB2312" w:eastAsia="仿宋_GB2312" w:cs="仿宋_GB2312"/>
          <w:b w:val="0"/>
          <w:bCs w:val="0"/>
          <w:i w:val="0"/>
          <w:caps w:val="0"/>
          <w:color w:val="000000"/>
          <w:spacing w:val="0"/>
          <w:sz w:val="32"/>
          <w:szCs w:val="32"/>
          <w:lang w:eastAsia="zh-CN"/>
        </w:rPr>
        <w:t>我委与市</w:t>
      </w:r>
      <w:r>
        <w:rPr>
          <w:rFonts w:hint="default" w:ascii="仿宋_GB2312" w:hAnsi="仿宋_GB2312" w:eastAsia="仿宋_GB2312" w:cs="仿宋_GB2312"/>
          <w:b w:val="0"/>
          <w:bCs w:val="0"/>
          <w:i w:val="0"/>
          <w:caps w:val="0"/>
          <w:color w:val="000000"/>
          <w:spacing w:val="0"/>
          <w:sz w:val="32"/>
          <w:szCs w:val="32"/>
          <w:lang w:eastAsia="zh-CN"/>
        </w:rPr>
        <w:t>防疫</w:t>
      </w:r>
      <w:r>
        <w:rPr>
          <w:rFonts w:hint="eastAsia" w:ascii="仿宋_GB2312" w:hAnsi="仿宋_GB2312" w:eastAsia="仿宋_GB2312" w:cs="仿宋_GB2312"/>
          <w:b w:val="0"/>
          <w:bCs w:val="0"/>
          <w:i w:val="0"/>
          <w:caps w:val="0"/>
          <w:color w:val="000000"/>
          <w:spacing w:val="0"/>
          <w:sz w:val="32"/>
          <w:szCs w:val="32"/>
          <w:lang w:eastAsia="zh-CN"/>
        </w:rPr>
        <w:t>办、市委市政府督查室组成联合督导组，持续不断开展疫情防控措施落实情况督导检查，累计查改各类问题</w:t>
      </w:r>
      <w:r>
        <w:rPr>
          <w:rFonts w:hint="eastAsia" w:ascii="仿宋_GB2312" w:hAnsi="仿宋_GB2312" w:eastAsia="仿宋_GB2312" w:cs="仿宋_GB2312"/>
          <w:b w:val="0"/>
          <w:bCs w:val="0"/>
          <w:i w:val="0"/>
          <w:caps w:val="0"/>
          <w:color w:val="000000"/>
          <w:spacing w:val="0"/>
          <w:sz w:val="32"/>
          <w:szCs w:val="32"/>
          <w:lang w:val="en-US" w:eastAsia="zh-CN"/>
        </w:rPr>
        <w:t>3800余条，推动全市疫情防控工作不断落实落细</w:t>
      </w:r>
      <w:r>
        <w:rPr>
          <w:rFonts w:hint="eastAsia" w:ascii="仿宋_GB2312" w:hAnsi="仿宋_GB2312" w:eastAsia="仿宋_GB2312" w:cs="仿宋_GB2312"/>
          <w:b w:val="0"/>
          <w:bCs w:val="0"/>
          <w:i w:val="0"/>
          <w:caps w:val="0"/>
          <w:color w:val="000000"/>
          <w:spacing w:val="0"/>
          <w:sz w:val="32"/>
          <w:szCs w:val="32"/>
          <w:lang w:eastAsia="zh-CN"/>
        </w:rPr>
        <w:t>。</w:t>
      </w:r>
      <w:r>
        <w:rPr>
          <w:rFonts w:hint="eastAsia" w:ascii="仿宋_GB2312" w:hAnsi="仿宋_GB2312" w:eastAsia="仿宋_GB2312" w:cs="仿宋_GB2312"/>
          <w:sz w:val="32"/>
          <w:szCs w:val="32"/>
          <w:lang w:eastAsia="zh-CN"/>
        </w:rPr>
        <w:t>组建</w:t>
      </w:r>
      <w:r>
        <w:rPr>
          <w:rFonts w:hint="eastAsia" w:ascii="仿宋_GB2312" w:hAnsi="仿宋_GB2312" w:eastAsia="仿宋_GB2312" w:cs="仿宋_GB2312"/>
          <w:sz w:val="32"/>
          <w:szCs w:val="32"/>
          <w:lang w:val="en-US" w:eastAsia="zh-CN"/>
        </w:rPr>
        <w:t>6个督导组，持续</w:t>
      </w:r>
      <w:r>
        <w:rPr>
          <w:rFonts w:hint="eastAsia" w:ascii="仿宋_GB2312" w:hAnsi="仿宋_GB2312" w:eastAsia="仿宋_GB2312" w:cs="仿宋_GB2312"/>
          <w:b w:val="0"/>
          <w:bCs w:val="0"/>
          <w:sz w:val="32"/>
          <w:szCs w:val="32"/>
          <w:lang w:eastAsia="zh-CN"/>
        </w:rPr>
        <w:t>开展</w:t>
      </w:r>
      <w:r>
        <w:rPr>
          <w:rFonts w:hint="eastAsia" w:ascii="仿宋_GB2312" w:hAnsi="仿宋_GB2312" w:eastAsia="仿宋_GB2312" w:cs="仿宋_GB2312"/>
          <w:b w:val="0"/>
          <w:bCs w:val="0"/>
          <w:color w:val="auto"/>
          <w:sz w:val="32"/>
          <w:szCs w:val="32"/>
          <w:lang w:eastAsia="zh-CN"/>
        </w:rPr>
        <w:t>核酸实验室督查，</w:t>
      </w:r>
      <w:r>
        <w:rPr>
          <w:rFonts w:hint="eastAsia" w:ascii="仿宋_GB2312" w:hAnsi="仿宋_GB2312" w:eastAsia="仿宋_GB2312" w:cs="仿宋_GB2312"/>
          <w:b w:val="0"/>
          <w:bCs w:val="0"/>
          <w:sz w:val="32"/>
          <w:szCs w:val="32"/>
          <w:lang w:val="en-US" w:eastAsia="zh-CN"/>
        </w:rPr>
        <w:t>查改问题200余项，</w:t>
      </w:r>
      <w:r>
        <w:rPr>
          <w:rFonts w:hint="eastAsia" w:ascii="仿宋_GB2312" w:hAnsi="仿宋_GB2312" w:eastAsia="仿宋_GB2312" w:cs="仿宋_GB2312"/>
          <w:color w:val="000000"/>
          <w:sz w:val="32"/>
          <w:szCs w:val="32"/>
          <w:lang w:eastAsia="zh-CN"/>
        </w:rPr>
        <w:t>确保检测</w:t>
      </w:r>
      <w:r>
        <w:rPr>
          <w:rFonts w:hint="eastAsia" w:ascii="仿宋_GB2312" w:hAnsi="仿宋_GB2312" w:eastAsia="仿宋_GB2312" w:cs="仿宋_GB2312"/>
          <w:sz w:val="32"/>
          <w:szCs w:val="32"/>
        </w:rPr>
        <w:t>结果稳定可靠、</w:t>
      </w:r>
      <w:r>
        <w:rPr>
          <w:rFonts w:hint="eastAsia" w:ascii="仿宋_GB2312" w:hAnsi="仿宋_GB2312" w:eastAsia="仿宋_GB2312" w:cs="仿宋_GB2312"/>
          <w:sz w:val="32"/>
          <w:szCs w:val="32"/>
          <w:lang w:eastAsia="zh-CN"/>
        </w:rPr>
        <w:t>准确无误。</w:t>
      </w:r>
    </w:p>
    <w:p>
      <w:pPr>
        <w:pageBreakBefore w:val="0"/>
        <w:numPr>
          <w:ilvl w:val="0"/>
          <w:numId w:val="0"/>
        </w:numPr>
        <w:kinsoku/>
        <w:wordWrap/>
        <w:overflowPunct/>
        <w:topLinePunct w:val="0"/>
        <w:autoSpaceDE/>
        <w:autoSpaceDN/>
        <w:bidi w:val="0"/>
        <w:spacing w:line="578" w:lineRule="exact"/>
        <w:ind w:firstLine="643" w:firstLineChars="200"/>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（2）提升全市公共服务能力</w:t>
      </w:r>
    </w:p>
    <w:p>
      <w:pPr>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推动医改争先进位，我市被省政府评为医改工作先进市。持续深化公立医院改革，市第二医院、市妇产医院、井陉县医院被评为“省级现代医院管理制度建设样板”，市第四医院、井陉县医院、新乐市中医院、正定县人民医院、藁城人民医院创建为市级样板，市第二医院、市妇产医院、井陉县医院确立为“公立医院高质量发展市级试点医院”，加快推动紧密型医共体建设，8个县（市、区）建成紧密型县域医共体，超额完成省定年度目标，扎实做好重大传染病防治，我市结核病实验室在国家考评中获得一线、二线抗结核药物测试结果“双优秀”。建成全市首家新冠病毒二代测序及分析能力实验室，具备新冠病毒、流感病毒、霍乱弧菌、炭疽杆菌等全基因测序能力。扎实做好精神疾病防治，全市在册严重精神障碍患者规范管理率达91.02%，服药率86.83%，全部高于国家标准。狠抓母婴安全，全年孕产妇死亡率控制在9/10万以内。</w:t>
      </w:r>
      <w:r>
        <w:rPr>
          <w:rFonts w:hint="eastAsia" w:ascii="仿宋_GB2312" w:hAnsi="仿宋_GB2312" w:eastAsia="仿宋_GB2312" w:cs="仿宋_GB2312"/>
          <w:b w:val="0"/>
          <w:bCs w:val="0"/>
          <w:color w:val="auto"/>
          <w:sz w:val="32"/>
          <w:szCs w:val="32"/>
          <w:lang w:val="zh-CN" w:eastAsia="zh-CN"/>
        </w:rPr>
        <w:t>扎实开展“健康企业”创建，</w:t>
      </w:r>
      <w:r>
        <w:rPr>
          <w:rFonts w:hint="eastAsia" w:ascii="仿宋_GB2312" w:hAnsi="仿宋_GB2312" w:eastAsia="仿宋_GB2312" w:cs="仿宋_GB2312"/>
          <w:b w:val="0"/>
          <w:bCs w:val="0"/>
          <w:color w:val="auto"/>
          <w:sz w:val="32"/>
          <w:szCs w:val="32"/>
          <w:lang w:val="en-US" w:eastAsia="zh-CN"/>
        </w:rPr>
        <w:t>我市11家企业命名河北省“健康企业”称号。加快推进市县续建项目建设。市人民医院重大疫情救治基地、市口腔医院、市第三医院创伤救治中心、市中医院中医药传承创新工程、市第八医院医技综合楼等市级重点项目，无极县医院整体迁建项目、正定县人民医院一期迁建、井陉县医院救治能力提升、井陉县中医院新建、晋州市妇幼保健院迁建、无极县妇幼保健院医疗综合楼6个县级重点建设项目完工投用。</w:t>
      </w:r>
    </w:p>
    <w:p>
      <w:pPr>
        <w:pageBreakBefore w:val="0"/>
        <w:numPr>
          <w:ilvl w:val="0"/>
          <w:numId w:val="0"/>
        </w:numPr>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着力树名医，市第二医院成立许樟荣专家工作室，市中医院刘真等4人和于慧卿等7人分别入选国家和省名老中医经验传承指导老师，各医院柔性引进学科带头人、专家24名，洽谈合作5个高水平团队。积极建名科，年内组织市级医院围绕神经内科、肿瘤内科等14个专业申报省级临床重点专科，推荐19个学科申报省级医学重点学科，力争创建4-6个省级医学重点学科。</w:t>
      </w:r>
    </w:p>
    <w:p>
      <w:pPr>
        <w:pageBreakBefore w:val="0"/>
        <w:numPr>
          <w:ilvl w:val="0"/>
          <w:numId w:val="0"/>
        </w:numPr>
        <w:kinsoku/>
        <w:wordWrap/>
        <w:overflowPunct/>
        <w:topLinePunct w:val="0"/>
        <w:autoSpaceDE/>
        <w:autoSpaceDN/>
        <w:bidi w:val="0"/>
        <w:spacing w:line="578" w:lineRule="exact"/>
        <w:ind w:firstLine="643" w:firstLineChars="200"/>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（3）深化医药体制改革</w:t>
      </w:r>
    </w:p>
    <w:p>
      <w:pPr>
        <w:pageBreakBefore w:val="0"/>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深入推进乡村卫生健康服务一体化改革，全市195所乡镇卫生院、3967个标准化村卫生室、7223名乡村医生全部实现“十统一”管理，全力推进优质服务基层行活动和社区医院建设，建成推荐标准机构27所，社区医院15所，综合打造能力提升示范单位10家。建成首席专家工作室109个、名首席专家工作室10个，累计为群众提供专家诊疗服务2.6万余人次，加强基层医疗卫生专业队伍建设，年内完成全科医生转岗培训357人，培训基层卫生专业技术骨干600人，实施农村订单定向免费医学生培养本科生33名、专科生25名，基层医疗卫生机构健康“守门人”作用进一步增强。巩固国家卫生城市创建成果，各区和新乐市、正定县、高邑县全面做好了国家卫生城市复审准备工作。晋州市、井陉县、元氏县、无极县、赵县已申请创建国家卫生县。行唐县、灵寿县、赞皇县创建成为省级卫生县城，全市32个乡镇、424个村创建成省级卫生乡镇、村。</w:t>
      </w:r>
    </w:p>
    <w:p>
      <w:pPr>
        <w:pageBreakBefore w:val="0"/>
        <w:kinsoku/>
        <w:wordWrap/>
        <w:overflowPunct/>
        <w:topLinePunct w:val="0"/>
        <w:autoSpaceDE/>
        <w:autoSpaceDN/>
        <w:bidi w:val="0"/>
        <w:spacing w:line="578" w:lineRule="exact"/>
        <w:ind w:firstLine="643" w:firstLineChars="200"/>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bCs/>
          <w:color w:val="auto"/>
          <w:sz w:val="32"/>
          <w:szCs w:val="32"/>
          <w:lang w:val="en-US" w:eastAsia="zh-CN"/>
        </w:rPr>
        <w:t>（4）提升重点人群卫生健康服务</w:t>
      </w:r>
    </w:p>
    <w:p>
      <w:pPr>
        <w:pageBreakBefore w:val="0"/>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大力实施民生工程和惠民实事，推动21家康复中心实现服务能力和服务水平双提升，完成孕妇产前免费基因筛查12.5万例，全市备案婴幼儿照护服务机构达到325个，最大托位数32028个，每千人口托位数达到3.0个。</w:t>
      </w:r>
    </w:p>
    <w:p>
      <w:pPr>
        <w:pageBreakBefore w:val="0"/>
        <w:kinsoku/>
        <w:wordWrap/>
        <w:overflowPunct/>
        <w:topLinePunct w:val="0"/>
        <w:autoSpaceDE/>
        <w:autoSpaceDN/>
        <w:bidi w:val="0"/>
        <w:spacing w:line="578" w:lineRule="exact"/>
        <w:ind w:firstLine="640" w:firstLineChars="200"/>
        <w:rPr>
          <w:rFonts w:hint="eastAsia" w:ascii="仿宋_GB2312" w:hAnsi="仿宋_GB2312" w:eastAsia="仿宋_GB2312" w:cs="仿宋_GB2312"/>
          <w:b w:val="0"/>
          <w:bCs w:val="0"/>
          <w:color w:val="auto"/>
          <w:sz w:val="32"/>
          <w:szCs w:val="32"/>
          <w:lang w:val="en-US" w:eastAsia="zh-CN"/>
        </w:rPr>
      </w:pPr>
      <w:r>
        <w:rPr>
          <w:rFonts w:hint="eastAsia" w:ascii="仿宋_GB2312" w:hAnsi="仿宋_GB2312" w:eastAsia="仿宋_GB2312" w:cs="仿宋_GB2312"/>
          <w:b w:val="0"/>
          <w:bCs w:val="0"/>
          <w:color w:val="auto"/>
          <w:sz w:val="32"/>
          <w:szCs w:val="32"/>
          <w:lang w:val="en-US" w:eastAsia="zh-CN"/>
        </w:rPr>
        <w:t>率先在全省为14周岁女孩免费接种HPV疫苗，55916名符合第二剂次接种条件的已全部完成接种，做到了应接尽接，实现了各县（市、区）宫颈癌防治教育活动全覆盖，营造了全社会关心关爱女性健康的良好氛围，有效提升了全民健康素养，在全市初步构建起宫颈癌预防屏障，群众满意度达到100%。大力实施老年促进行动，6个社区（村）被确定为2022年度“全国示范性老年友好型社区”，创建社区医养结合服务中心8家，全市290家医疗机构创建为老年友善医疗机构，创建率达83%，老年人健康更有“医”靠。</w:t>
      </w:r>
    </w:p>
    <w:p>
      <w:pPr>
        <w:pageBreakBefore w:val="0"/>
        <w:numPr>
          <w:ilvl w:val="0"/>
          <w:numId w:val="3"/>
        </w:numPr>
        <w:kinsoku/>
        <w:wordWrap/>
        <w:overflowPunct/>
        <w:topLinePunct w:val="0"/>
        <w:autoSpaceDE/>
        <w:autoSpaceDN/>
        <w:bidi w:val="0"/>
        <w:spacing w:line="578" w:lineRule="exact"/>
        <w:ind w:firstLine="643" w:firstLineChars="200"/>
        <w:rPr>
          <w:rFonts w:hint="eastAsia" w:ascii="仿宋_GB2312" w:hAnsi="仿宋_GB2312" w:eastAsia="仿宋_GB2312" w:cs="仿宋_GB2312"/>
          <w:b/>
          <w:bCs/>
          <w:color w:val="auto"/>
          <w:sz w:val="32"/>
          <w:szCs w:val="32"/>
          <w:lang w:val="en-US" w:eastAsia="zh-CN"/>
        </w:rPr>
      </w:pPr>
      <w:r>
        <w:rPr>
          <w:rFonts w:hint="eastAsia" w:ascii="仿宋_GB2312" w:hAnsi="仿宋_GB2312" w:eastAsia="仿宋_GB2312" w:cs="仿宋_GB2312"/>
          <w:b/>
          <w:bCs/>
          <w:color w:val="auto"/>
          <w:sz w:val="32"/>
          <w:szCs w:val="32"/>
          <w:lang w:val="en-US" w:eastAsia="zh-CN"/>
        </w:rPr>
        <w:t>着力推进中医药发展</w:t>
      </w:r>
    </w:p>
    <w:p>
      <w:pPr>
        <w:pageBreakBefore w:val="0"/>
        <w:numPr>
          <w:ilvl w:val="0"/>
          <w:numId w:val="0"/>
        </w:numPr>
        <w:kinsoku/>
        <w:wordWrap/>
        <w:overflowPunct/>
        <w:topLinePunct w:val="0"/>
        <w:autoSpaceDE/>
        <w:autoSpaceDN/>
        <w:bidi w:val="0"/>
        <w:spacing w:line="578" w:lineRule="exact"/>
        <w:ind w:firstLine="640" w:firstLineChars="200"/>
        <w:rPr>
          <w:rFonts w:hint="eastAsia" w:ascii="仿宋_GB2312" w:eastAsia="仿宋_GB2312"/>
          <w:b w:val="0"/>
          <w:bCs w:val="0"/>
          <w:sz w:val="32"/>
          <w:szCs w:val="32"/>
          <w:lang w:val="en-US" w:eastAsia="zh-CN"/>
        </w:rPr>
      </w:pPr>
      <w:r>
        <w:rPr>
          <w:rFonts w:hint="eastAsia" w:ascii="仿宋_GB2312" w:hAnsi="仿宋_GB2312" w:eastAsia="仿宋_GB2312" w:cs="仿宋_GB2312"/>
          <w:b w:val="0"/>
          <w:bCs w:val="0"/>
          <w:color w:val="auto"/>
          <w:sz w:val="32"/>
          <w:szCs w:val="32"/>
          <w:lang w:val="en-US" w:eastAsia="zh-CN"/>
        </w:rPr>
        <w:t>持续开展高水平国医堂建设，建成50个高水平国医堂，形成了功能完善、全国领先的“一堂一馆”基层中医药综合服务模式，被国家中医药管理局树立为改革样板。培育壮大中医药人才队伍，组织84人参加省临床优才遴选，完成“西学中”2000人入学，人数在省内均名列第一，基层中医药服务能力大幅提升，群众中医药获得感持续增强。</w:t>
      </w:r>
      <w:bookmarkStart w:id="27" w:name="_Toc42610961"/>
      <w:bookmarkStart w:id="28" w:name="_Hlk41493160"/>
    </w:p>
    <w:bookmarkEnd w:id="27"/>
    <w:bookmarkEnd w:id="28"/>
    <w:p>
      <w:pPr>
        <w:keepNext w:val="0"/>
        <w:keepLines w:val="0"/>
        <w:pageBreakBefore w:val="0"/>
        <w:widowControl w:val="0"/>
        <w:kinsoku/>
        <w:wordWrap/>
        <w:overflowPunct/>
        <w:topLinePunct w:val="0"/>
        <w:autoSpaceDE/>
        <w:autoSpaceDN/>
        <w:bidi w:val="0"/>
        <w:adjustRightInd w:val="0"/>
        <w:snapToGrid w:val="0"/>
        <w:spacing w:line="578" w:lineRule="exact"/>
        <w:ind w:left="0" w:firstLine="640" w:firstLineChars="200"/>
        <w:textAlignment w:val="auto"/>
        <w:outlineLvl w:val="0"/>
        <w:rPr>
          <w:rFonts w:ascii="黑体" w:hAnsi="黑体" w:eastAsia="黑体"/>
          <w:sz w:val="32"/>
          <w:szCs w:val="32"/>
        </w:rPr>
      </w:pPr>
      <w:bookmarkStart w:id="29" w:name="_Toc12853"/>
      <w:bookmarkStart w:id="30" w:name="_Toc70582276"/>
      <w:r>
        <w:rPr>
          <w:rFonts w:hint="eastAsia" w:ascii="黑体" w:hAnsi="黑体" w:eastAsia="黑体"/>
          <w:sz w:val="32"/>
          <w:szCs w:val="32"/>
        </w:rPr>
        <w:t>四、评价结论和评价等级</w:t>
      </w:r>
      <w:bookmarkEnd w:id="29"/>
    </w:p>
    <w:p>
      <w:pPr>
        <w:keepNext w:val="0"/>
        <w:keepLines w:val="0"/>
        <w:pageBreakBefore w:val="0"/>
        <w:widowControl w:val="0"/>
        <w:kinsoku/>
        <w:wordWrap/>
        <w:overflowPunct/>
        <w:topLinePunct w:val="0"/>
        <w:autoSpaceDE/>
        <w:autoSpaceDN/>
        <w:bidi w:val="0"/>
        <w:adjustRightInd/>
        <w:spacing w:line="578" w:lineRule="exact"/>
        <w:ind w:left="0" w:leftChars="0" w:right="0" w:firstLine="640" w:firstLineChars="200"/>
        <w:textAlignment w:val="auto"/>
        <w:outlineLvl w:val="9"/>
        <w:rPr>
          <w:rFonts w:hint="eastAsia"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根据</w:t>
      </w:r>
      <w:r>
        <w:rPr>
          <w:rFonts w:hint="eastAsia" w:ascii="仿宋_GB2312" w:hAnsi="仿宋_GB2312" w:eastAsia="仿宋_GB2312" w:cs="仿宋_GB2312"/>
          <w:sz w:val="32"/>
          <w:szCs w:val="32"/>
          <w:highlight w:val="none"/>
          <w:lang w:eastAsia="zh-CN"/>
        </w:rPr>
        <w:t>部门职责定位和各项工作履职情况进行综合评价</w:t>
      </w:r>
      <w:r>
        <w:rPr>
          <w:rFonts w:hint="eastAsia" w:ascii="仿宋_GB2312" w:hAnsi="仿宋_GB2312" w:eastAsia="仿宋_GB2312" w:cs="仿宋_GB2312"/>
          <w:sz w:val="32"/>
          <w:szCs w:val="32"/>
          <w:highlight w:val="none"/>
        </w:rPr>
        <w:t>，给出总得分，满分100分，得出综合绩效评价等级。</w:t>
      </w:r>
      <w:r>
        <w:rPr>
          <w:rFonts w:hint="eastAsia" w:ascii="仿宋_GB2312" w:hAnsi="仿宋_GB2312" w:eastAsia="仿宋_GB2312" w:cs="仿宋_GB2312"/>
          <w:sz w:val="32"/>
          <w:szCs w:val="32"/>
          <w:highlight w:val="none"/>
          <w:lang w:eastAsia="zh-CN"/>
        </w:rPr>
        <w:t>部门整体支出</w:t>
      </w:r>
      <w:r>
        <w:rPr>
          <w:rFonts w:hint="eastAsia" w:ascii="仿宋_GB2312" w:hAnsi="仿宋_GB2312" w:eastAsia="仿宋_GB2312" w:cs="仿宋_GB2312"/>
          <w:sz w:val="32"/>
          <w:szCs w:val="32"/>
          <w:highlight w:val="none"/>
        </w:rPr>
        <w:t>综合绩效评价分为4个等级：得分≥85分为优秀；75≤得分＜85分为良好；60≤得分＜75分为一般；得分＜60分为较差。</w:t>
      </w:r>
    </w:p>
    <w:p>
      <w:pPr>
        <w:keepNext w:val="0"/>
        <w:keepLines w:val="0"/>
        <w:pageBreakBefore w:val="0"/>
        <w:widowControl w:val="0"/>
        <w:kinsoku/>
        <w:wordWrap/>
        <w:overflowPunct/>
        <w:topLinePunct w:val="0"/>
        <w:autoSpaceDE/>
        <w:autoSpaceDN/>
        <w:bidi w:val="0"/>
        <w:adjustRightInd/>
        <w:snapToGrid w:val="0"/>
        <w:spacing w:line="578" w:lineRule="exact"/>
        <w:ind w:left="0"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highlight w:val="none"/>
          <w:lang w:val="en-US" w:eastAsia="zh-CN"/>
        </w:rPr>
        <w:t>经过整体评价，</w:t>
      </w:r>
      <w:r>
        <w:rPr>
          <w:rFonts w:hint="eastAsia" w:ascii="仿宋_GB2312" w:hAnsi="仿宋_GB2312" w:eastAsia="仿宋_GB2312" w:cs="仿宋_GB2312"/>
          <w:sz w:val="32"/>
          <w:szCs w:val="32"/>
          <w:lang w:val="en-US" w:eastAsia="zh-CN"/>
        </w:rPr>
        <w:t>我委</w:t>
      </w:r>
      <w:r>
        <w:rPr>
          <w:rFonts w:hint="eastAsia" w:ascii="仿宋_GB2312" w:hAnsi="仿宋_GB2312" w:eastAsia="仿宋_GB2312" w:cs="仿宋_GB2312"/>
          <w:sz w:val="32"/>
          <w:szCs w:val="32"/>
        </w:rPr>
        <w:t>根据20</w:t>
      </w:r>
      <w:r>
        <w:rPr>
          <w:rFonts w:hint="eastAsia" w:ascii="仿宋_GB2312" w:hAnsi="仿宋_GB2312" w:eastAsia="仿宋_GB2312" w:cs="仿宋_GB2312"/>
          <w:sz w:val="32"/>
          <w:szCs w:val="32"/>
          <w:lang w:val="en-US" w:eastAsia="zh-CN"/>
        </w:rPr>
        <w:t>22</w:t>
      </w:r>
      <w:r>
        <w:rPr>
          <w:rFonts w:hint="eastAsia" w:ascii="仿宋_GB2312" w:hAnsi="仿宋_GB2312" w:eastAsia="仿宋_GB2312" w:cs="仿宋_GB2312"/>
          <w:sz w:val="32"/>
          <w:szCs w:val="32"/>
        </w:rPr>
        <w:t>年工作计划，</w:t>
      </w:r>
      <w:r>
        <w:rPr>
          <w:rFonts w:hint="eastAsia" w:ascii="仿宋_GB2312" w:hAnsi="仿宋_GB2312" w:eastAsia="仿宋_GB2312" w:cs="仿宋_GB2312"/>
          <w:spacing w:val="0"/>
          <w:w w:val="100"/>
          <w:sz w:val="32"/>
          <w:szCs w:val="32"/>
          <w:lang w:eastAsia="zh-CN"/>
        </w:rPr>
        <w:t>紧紧围绕</w:t>
      </w:r>
      <w:r>
        <w:rPr>
          <w:rFonts w:hint="eastAsia" w:ascii="仿宋_GB2312" w:hAnsi="仿宋_GB2312" w:eastAsia="仿宋_GB2312" w:cs="仿宋_GB2312"/>
          <w:color w:val="auto"/>
          <w:sz w:val="32"/>
          <w:szCs w:val="32"/>
          <w:lang w:eastAsia="zh-CN"/>
        </w:rPr>
        <w:t>国家、省市一系列会议精神和决策部署</w:t>
      </w:r>
      <w:r>
        <w:rPr>
          <w:rFonts w:hint="eastAsia" w:ascii="仿宋_GB2312" w:hAnsi="仿宋_GB2312" w:eastAsia="仿宋_GB2312" w:cs="仿宋_GB2312"/>
          <w:spacing w:val="0"/>
          <w:w w:val="100"/>
          <w:sz w:val="32"/>
          <w:szCs w:val="32"/>
          <w:lang w:eastAsia="zh-CN"/>
        </w:rPr>
        <w:t>，</w:t>
      </w:r>
      <w:r>
        <w:rPr>
          <w:rFonts w:hint="eastAsia" w:ascii="仿宋_GB2312" w:hAnsi="仿宋_GB2312" w:eastAsia="仿宋_GB2312" w:cs="仿宋_GB2312"/>
          <w:color w:val="auto"/>
          <w:sz w:val="32"/>
          <w:szCs w:val="32"/>
          <w:lang w:val="en-US" w:eastAsia="zh-CN"/>
        </w:rPr>
        <w:t>坚持党的全面领导，</w:t>
      </w:r>
      <w:r>
        <w:rPr>
          <w:rFonts w:hint="eastAsia" w:ascii="仿宋_GB2312" w:hAnsi="仿宋_GB2312" w:eastAsia="仿宋_GB2312" w:cs="仿宋_GB2312"/>
          <w:color w:val="auto"/>
          <w:sz w:val="32"/>
          <w:szCs w:val="32"/>
          <w:lang w:eastAsia="zh-CN"/>
        </w:rPr>
        <w:t>遵循</w:t>
      </w:r>
      <w:r>
        <w:rPr>
          <w:rFonts w:hint="eastAsia" w:ascii="仿宋_GB2312" w:hAnsi="仿宋_GB2312" w:eastAsia="仿宋_GB2312" w:cs="仿宋_GB2312"/>
          <w:color w:val="auto"/>
          <w:sz w:val="32"/>
          <w:szCs w:val="32"/>
        </w:rPr>
        <w:t>新时代卫生健康工作方针，</w:t>
      </w:r>
      <w:r>
        <w:rPr>
          <w:rFonts w:hint="eastAsia" w:ascii="仿宋_GB2312" w:hAnsi="仿宋_GB2312" w:eastAsia="仿宋_GB2312" w:cs="仿宋_GB2312"/>
          <w:color w:val="auto"/>
          <w:sz w:val="32"/>
          <w:szCs w:val="32"/>
          <w:lang w:val="en-US" w:eastAsia="zh-CN"/>
        </w:rPr>
        <w:t>树牢“大卫生、大健康”理念，以高质量发展为主题，</w:t>
      </w:r>
      <w:r>
        <w:rPr>
          <w:rFonts w:hint="eastAsia" w:ascii="仿宋_GB2312" w:hAnsi="仿宋_GB2312" w:eastAsia="仿宋_GB2312" w:cs="仿宋_GB2312"/>
          <w:color w:val="auto"/>
          <w:sz w:val="32"/>
          <w:szCs w:val="32"/>
        </w:rPr>
        <w:t>以</w:t>
      </w:r>
      <w:r>
        <w:rPr>
          <w:rFonts w:hint="eastAsia" w:ascii="仿宋_GB2312" w:hAnsi="仿宋_GB2312" w:eastAsia="仿宋_GB2312" w:cs="仿宋_GB2312"/>
          <w:color w:val="auto"/>
          <w:sz w:val="32"/>
          <w:szCs w:val="32"/>
          <w:lang w:eastAsia="zh-CN"/>
        </w:rPr>
        <w:t>推进</w:t>
      </w:r>
      <w:r>
        <w:rPr>
          <w:rFonts w:hint="eastAsia" w:ascii="仿宋_GB2312" w:hAnsi="仿宋_GB2312" w:eastAsia="仿宋_GB2312" w:cs="仿宋_GB2312"/>
          <w:color w:val="auto"/>
          <w:sz w:val="32"/>
          <w:szCs w:val="32"/>
        </w:rPr>
        <w:t>健康石家庄建设为主线，</w:t>
      </w:r>
      <w:r>
        <w:rPr>
          <w:rFonts w:hint="eastAsia" w:ascii="仿宋_GB2312" w:hAnsi="仿宋_GB2312" w:eastAsia="仿宋_GB2312" w:cs="仿宋_GB2312"/>
          <w:color w:val="auto"/>
          <w:sz w:val="32"/>
          <w:szCs w:val="32"/>
          <w:lang w:eastAsia="zh-CN"/>
        </w:rPr>
        <w:t>以深化医改为引领，</w:t>
      </w:r>
      <w:r>
        <w:rPr>
          <w:rFonts w:hint="eastAsia" w:ascii="仿宋_GB2312" w:hAnsi="仿宋_GB2312" w:eastAsia="仿宋_GB2312" w:cs="仿宋_GB2312"/>
          <w:color w:val="auto"/>
          <w:sz w:val="32"/>
          <w:szCs w:val="32"/>
          <w:lang w:val="en-US" w:eastAsia="zh-CN"/>
        </w:rPr>
        <w:t>努力全方位全周期保障人民健康，</w:t>
      </w:r>
      <w:r>
        <w:rPr>
          <w:rFonts w:hint="eastAsia" w:ascii="仿宋_GB2312" w:hAnsi="仿宋_GB2312" w:eastAsia="仿宋_GB2312" w:cs="仿宋_GB2312"/>
          <w:sz w:val="32"/>
          <w:szCs w:val="32"/>
        </w:rPr>
        <w:t>为加快建设</w:t>
      </w:r>
      <w:r>
        <w:rPr>
          <w:rFonts w:hint="eastAsia" w:ascii="仿宋_GB2312" w:hAnsi="仿宋_GB2312" w:eastAsia="仿宋_GB2312" w:cs="仿宋_GB2312"/>
          <w:sz w:val="32"/>
          <w:szCs w:val="32"/>
          <w:lang w:eastAsia="zh-CN"/>
        </w:rPr>
        <w:t>现代化、国际化美丽省会城市</w:t>
      </w:r>
      <w:r>
        <w:rPr>
          <w:rFonts w:hint="eastAsia" w:ascii="仿宋_GB2312" w:hAnsi="仿宋_GB2312" w:eastAsia="仿宋_GB2312" w:cs="仿宋_GB2312"/>
          <w:sz w:val="32"/>
          <w:szCs w:val="32"/>
        </w:rPr>
        <w:t>提供</w:t>
      </w:r>
      <w:r>
        <w:rPr>
          <w:rFonts w:hint="eastAsia" w:ascii="仿宋_GB2312" w:hAnsi="仿宋_GB2312" w:eastAsia="仿宋_GB2312" w:cs="仿宋_GB2312"/>
          <w:sz w:val="32"/>
          <w:szCs w:val="32"/>
          <w:lang w:val="en"/>
        </w:rPr>
        <w:t>了</w:t>
      </w:r>
      <w:r>
        <w:rPr>
          <w:rFonts w:hint="eastAsia" w:ascii="仿宋_GB2312" w:hAnsi="仿宋_GB2312" w:eastAsia="仿宋_GB2312" w:cs="仿宋_GB2312"/>
          <w:sz w:val="32"/>
          <w:szCs w:val="32"/>
        </w:rPr>
        <w:t>坚实健康保障。</w:t>
      </w:r>
    </w:p>
    <w:p>
      <w:pPr>
        <w:keepNext w:val="0"/>
        <w:keepLines w:val="0"/>
        <w:pageBreakBefore w:val="0"/>
        <w:widowControl w:val="0"/>
        <w:kinsoku/>
        <w:wordWrap/>
        <w:overflowPunct/>
        <w:topLinePunct w:val="0"/>
        <w:autoSpaceDE/>
        <w:autoSpaceDN/>
        <w:bidi w:val="0"/>
        <w:adjustRightInd/>
        <w:snapToGrid w:val="0"/>
        <w:spacing w:line="578" w:lineRule="exact"/>
        <w:ind w:left="0" w:firstLine="640" w:firstLineChars="200"/>
        <w:textAlignment w:val="auto"/>
        <w:rPr>
          <w:rFonts w:hint="eastAsia" w:ascii="仿宋_GB2312" w:hAnsi="仿宋_GB2312" w:eastAsia="仿宋_GB2312" w:cs="仿宋_GB2312"/>
          <w:b w:val="0"/>
          <w:bCs w:val="0"/>
          <w:kern w:val="2"/>
          <w:sz w:val="32"/>
          <w:szCs w:val="32"/>
          <w:highlight w:val="none"/>
          <w:lang w:val="en-US" w:eastAsia="zh-CN" w:bidi="ar-SA"/>
        </w:rPr>
      </w:pPr>
      <w:r>
        <w:rPr>
          <w:rFonts w:hint="eastAsia" w:ascii="仿宋_GB2312" w:hAnsi="仿宋_GB2312" w:eastAsia="仿宋_GB2312" w:cs="仿宋_GB2312"/>
          <w:b w:val="0"/>
          <w:bCs w:val="0"/>
          <w:kern w:val="2"/>
          <w:sz w:val="32"/>
          <w:szCs w:val="32"/>
          <w:highlight w:val="none"/>
          <w:lang w:val="en-US" w:eastAsia="zh-CN" w:bidi="ar-SA"/>
        </w:rPr>
        <w:t>我委2022年度部门整体绩效自评得分94.37分，评价等级为“优”。</w:t>
      </w:r>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0"/>
        <w:rPr>
          <w:rFonts w:hint="eastAsia" w:ascii="黑体" w:hAnsi="黑体" w:eastAsia="黑体" w:cs="黑体"/>
          <w:sz w:val="32"/>
          <w:szCs w:val="32"/>
          <w:lang w:val="en-US" w:eastAsia="zh-CN"/>
        </w:rPr>
      </w:pPr>
      <w:bookmarkStart w:id="31" w:name="_Toc15925"/>
      <w:r>
        <w:rPr>
          <w:rFonts w:hint="eastAsia" w:ascii="黑体" w:hAnsi="黑体" w:eastAsia="黑体" w:cs="黑体"/>
          <w:sz w:val="32"/>
          <w:szCs w:val="32"/>
          <w:lang w:val="en-US" w:eastAsia="zh-CN"/>
        </w:rPr>
        <w:t>五、存在的问题及改进措施</w:t>
      </w:r>
      <w:bookmarkEnd w:id="31"/>
    </w:p>
    <w:p>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1"/>
        <w:rPr>
          <w:rFonts w:hint="eastAsia" w:ascii="楷体" w:hAnsi="楷体" w:eastAsia="楷体" w:cs="楷体"/>
          <w:b w:val="0"/>
          <w:bCs w:val="0"/>
          <w:sz w:val="32"/>
          <w:szCs w:val="32"/>
          <w:lang w:val="en-US" w:eastAsia="zh-CN"/>
        </w:rPr>
      </w:pPr>
      <w:bookmarkStart w:id="32" w:name="_Toc24424"/>
      <w:r>
        <w:rPr>
          <w:rFonts w:hint="eastAsia" w:ascii="楷体" w:hAnsi="楷体" w:eastAsia="楷体" w:cs="楷体"/>
          <w:b w:val="0"/>
          <w:bCs w:val="0"/>
          <w:sz w:val="32"/>
          <w:szCs w:val="32"/>
        </w:rPr>
        <w:t>（</w:t>
      </w:r>
      <w:r>
        <w:rPr>
          <w:rFonts w:hint="eastAsia" w:ascii="楷体" w:hAnsi="楷体" w:eastAsia="楷体" w:cs="楷体"/>
          <w:b w:val="0"/>
          <w:bCs w:val="0"/>
          <w:sz w:val="32"/>
          <w:szCs w:val="32"/>
          <w:lang w:val="en-US" w:eastAsia="zh-CN"/>
        </w:rPr>
        <w:t>一</w:t>
      </w:r>
      <w:r>
        <w:rPr>
          <w:rFonts w:hint="eastAsia" w:ascii="楷体" w:hAnsi="楷体" w:eastAsia="楷体" w:cs="楷体"/>
          <w:b w:val="0"/>
          <w:bCs w:val="0"/>
          <w:sz w:val="32"/>
          <w:szCs w:val="32"/>
        </w:rPr>
        <w:t>）</w:t>
      </w:r>
      <w:r>
        <w:rPr>
          <w:rFonts w:hint="eastAsia" w:ascii="楷体" w:hAnsi="楷体" w:eastAsia="楷体" w:cs="楷体"/>
          <w:b w:val="0"/>
          <w:bCs w:val="0"/>
          <w:sz w:val="32"/>
          <w:szCs w:val="32"/>
          <w:lang w:val="en-US" w:eastAsia="zh-CN"/>
        </w:rPr>
        <w:t>存在的问题</w:t>
      </w:r>
      <w:bookmarkEnd w:id="32"/>
    </w:p>
    <w:p>
      <w:pPr>
        <w:pStyle w:val="6"/>
        <w:keepNext w:val="0"/>
        <w:keepLines w:val="0"/>
        <w:pageBreakBefore w:val="0"/>
        <w:widowControl w:val="0"/>
        <w:kinsoku/>
        <w:wordWrap/>
        <w:overflowPunct/>
        <w:topLinePunct w:val="0"/>
        <w:autoSpaceDE/>
        <w:autoSpaceDN/>
        <w:bidi w:val="0"/>
        <w:spacing w:line="578" w:lineRule="exact"/>
        <w:ind w:left="0" w:firstLine="643"/>
        <w:textAlignment w:val="auto"/>
        <w:outlineLvl w:val="2"/>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1.个别项目目标和指标设置简化</w:t>
      </w:r>
      <w:bookmarkEnd w:id="30"/>
    </w:p>
    <w:p>
      <w:pPr>
        <w:pStyle w:val="6"/>
        <w:keepNext w:val="0"/>
        <w:keepLines w:val="0"/>
        <w:pageBreakBefore w:val="0"/>
        <w:widowControl w:val="0"/>
        <w:kinsoku/>
        <w:wordWrap/>
        <w:overflowPunct/>
        <w:topLinePunct w:val="0"/>
        <w:autoSpaceDE/>
        <w:autoSpaceDN/>
        <w:bidi w:val="0"/>
        <w:spacing w:line="578" w:lineRule="exact"/>
        <w:ind w:left="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val="en-US" w:eastAsia="zh-CN"/>
        </w:rPr>
        <w:t>个别</w:t>
      </w:r>
      <w:r>
        <w:rPr>
          <w:rFonts w:hint="eastAsia" w:ascii="仿宋_GB2312" w:hAnsi="仿宋_GB2312" w:eastAsia="仿宋_GB2312" w:cs="仿宋_GB2312"/>
          <w:bCs/>
          <w:sz w:val="32"/>
          <w:szCs w:val="32"/>
        </w:rPr>
        <w:t>绩效目标不够完善，不能完整清晰体现工作活动的产出和效果，依据绩效目标所设置的绩效指标不够细化，不能完整清晰的反映活动目标完成情况。</w:t>
      </w:r>
    </w:p>
    <w:p>
      <w:pPr>
        <w:keepNext w:val="0"/>
        <w:keepLines w:val="0"/>
        <w:pageBreakBefore w:val="0"/>
        <w:widowControl w:val="0"/>
        <w:kinsoku/>
        <w:wordWrap/>
        <w:overflowPunct/>
        <w:topLinePunct w:val="0"/>
        <w:autoSpaceDE/>
        <w:autoSpaceDN/>
        <w:bidi w:val="0"/>
        <w:spacing w:line="578" w:lineRule="exact"/>
        <w:ind w:left="0" w:leftChars="0" w:right="0" w:firstLine="640" w:firstLineChars="200"/>
        <w:textAlignment w:val="auto"/>
        <w:outlineLvl w:val="1"/>
        <w:rPr>
          <w:rFonts w:hint="eastAsia" w:ascii="楷体" w:hAnsi="楷体" w:eastAsia="楷体" w:cs="楷体"/>
          <w:b w:val="0"/>
          <w:bCs w:val="0"/>
          <w:sz w:val="32"/>
          <w:szCs w:val="32"/>
        </w:rPr>
      </w:pPr>
      <w:bookmarkStart w:id="33" w:name="_Toc12390"/>
      <w:r>
        <w:rPr>
          <w:rFonts w:hint="eastAsia" w:ascii="楷体" w:hAnsi="楷体" w:eastAsia="楷体" w:cs="楷体"/>
          <w:b w:val="0"/>
          <w:bCs w:val="0"/>
          <w:sz w:val="32"/>
          <w:szCs w:val="32"/>
        </w:rPr>
        <w:t>（二）针对问题提出具体的改进措施或建议</w:t>
      </w:r>
      <w:bookmarkEnd w:id="33"/>
    </w:p>
    <w:p>
      <w:pPr>
        <w:pStyle w:val="6"/>
        <w:keepNext w:val="0"/>
        <w:keepLines w:val="0"/>
        <w:pageBreakBefore w:val="0"/>
        <w:widowControl w:val="0"/>
        <w:kinsoku/>
        <w:wordWrap/>
        <w:overflowPunct/>
        <w:topLinePunct w:val="0"/>
        <w:autoSpaceDE/>
        <w:autoSpaceDN/>
        <w:bidi w:val="0"/>
        <w:spacing w:line="578" w:lineRule="exact"/>
        <w:ind w:left="0" w:firstLine="643"/>
        <w:textAlignment w:val="auto"/>
        <w:outlineLvl w:val="2"/>
        <w:rPr>
          <w:rFonts w:hint="eastAsia" w:ascii="仿宋_GB2312" w:hAnsi="仿宋_GB2312" w:eastAsia="仿宋_GB2312" w:cs="仿宋_GB2312"/>
          <w:b/>
          <w:bCs/>
          <w:sz w:val="32"/>
          <w:szCs w:val="32"/>
        </w:rPr>
      </w:pPr>
      <w:bookmarkStart w:id="34" w:name="_Toc70582283"/>
      <w:r>
        <w:rPr>
          <w:rFonts w:hint="eastAsia" w:ascii="仿宋_GB2312" w:hAnsi="仿宋_GB2312" w:eastAsia="仿宋_GB2312" w:cs="仿宋_GB2312"/>
          <w:b/>
          <w:bCs/>
          <w:sz w:val="32"/>
          <w:szCs w:val="32"/>
        </w:rPr>
        <w:t>1.科学设定绩效目标和指标</w:t>
      </w:r>
      <w:bookmarkEnd w:id="34"/>
    </w:p>
    <w:p>
      <w:pPr>
        <w:pStyle w:val="6"/>
        <w:keepNext w:val="0"/>
        <w:keepLines w:val="0"/>
        <w:pageBreakBefore w:val="0"/>
        <w:widowControl w:val="0"/>
        <w:kinsoku/>
        <w:wordWrap/>
        <w:overflowPunct/>
        <w:topLinePunct w:val="0"/>
        <w:autoSpaceDE/>
        <w:autoSpaceDN/>
        <w:bidi w:val="0"/>
        <w:spacing w:line="578" w:lineRule="exact"/>
        <w:ind w:left="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预算部门应加强绩效目标的设定，将绩效目标做实，做到项目绩效目标全覆盖，最终实现部门整体绩效目标全覆盖，同时在设定绩效指标值注意细化量化，便于对项目进行监控和考核。在实际操作中，应建立全面规范的绩效指标体系，依据部门职责和年度工作重点，设定科学、合理、可行的年度绩效目标、绩效指标。</w:t>
      </w:r>
    </w:p>
    <w:p>
      <w:pPr>
        <w:pStyle w:val="6"/>
        <w:keepNext w:val="0"/>
        <w:keepLines w:val="0"/>
        <w:pageBreakBefore w:val="0"/>
        <w:widowControl w:val="0"/>
        <w:kinsoku/>
        <w:wordWrap/>
        <w:overflowPunct/>
        <w:topLinePunct w:val="0"/>
        <w:autoSpaceDE/>
        <w:autoSpaceDN/>
        <w:bidi w:val="0"/>
        <w:spacing w:line="578" w:lineRule="exact"/>
        <w:ind w:left="0" w:firstLine="643"/>
        <w:textAlignment w:val="auto"/>
        <w:outlineLvl w:val="2"/>
        <w:rPr>
          <w:rFonts w:hint="eastAsia" w:ascii="仿宋_GB2312" w:hAnsi="仿宋_GB2312" w:eastAsia="仿宋_GB2312" w:cs="仿宋_GB2312"/>
          <w:b/>
          <w:bCs/>
          <w:sz w:val="32"/>
          <w:szCs w:val="32"/>
        </w:rPr>
      </w:pPr>
      <w:bookmarkStart w:id="35" w:name="_Toc70582288"/>
      <w:r>
        <w:rPr>
          <w:rFonts w:hint="eastAsia" w:ascii="仿宋_GB2312" w:hAnsi="仿宋_GB2312" w:eastAsia="仿宋_GB2312" w:cs="仿宋_GB2312"/>
          <w:b/>
          <w:bCs/>
          <w:sz w:val="32"/>
          <w:szCs w:val="32"/>
          <w:lang w:val="en-US" w:eastAsia="zh-CN"/>
        </w:rPr>
        <w:t>2</w:t>
      </w:r>
      <w:r>
        <w:rPr>
          <w:rFonts w:hint="eastAsia" w:ascii="仿宋_GB2312" w:hAnsi="仿宋_GB2312" w:eastAsia="仿宋_GB2312" w:cs="仿宋_GB2312"/>
          <w:b/>
          <w:bCs/>
          <w:sz w:val="32"/>
          <w:szCs w:val="32"/>
        </w:rPr>
        <w:t>.提高部门绩效管理意识</w:t>
      </w:r>
      <w:bookmarkEnd w:id="35"/>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9"/>
        <w:rPr>
          <w:rFonts w:hint="eastAsia" w:ascii="仿宋_GB2312" w:hAnsi="仿宋_GB2312" w:eastAsia="仿宋_GB2312" w:cs="仿宋_GB2312"/>
          <w:sz w:val="32"/>
          <w:szCs w:val="32"/>
        </w:rPr>
      </w:pPr>
      <w:bookmarkStart w:id="36" w:name="_Toc17737"/>
      <w:bookmarkStart w:id="37" w:name="_Toc3280"/>
      <w:bookmarkStart w:id="38" w:name="_Toc1926"/>
      <w:r>
        <w:rPr>
          <w:rFonts w:hint="eastAsia" w:ascii="仿宋_GB2312" w:hAnsi="仿宋_GB2312" w:eastAsia="仿宋_GB2312" w:cs="仿宋_GB2312"/>
          <w:sz w:val="32"/>
          <w:szCs w:val="32"/>
          <w:lang w:val="en-US" w:eastAsia="zh-CN"/>
        </w:rPr>
        <w:t>部门</w:t>
      </w:r>
      <w:r>
        <w:rPr>
          <w:rFonts w:hint="eastAsia" w:ascii="仿宋_GB2312" w:hAnsi="仿宋_GB2312" w:eastAsia="仿宋_GB2312" w:cs="仿宋_GB2312"/>
          <w:sz w:val="32"/>
          <w:szCs w:val="32"/>
        </w:rPr>
        <w:t>在今后的工作中，应加强对预算绩效管理工作的重视，把绩效理念融入到预算编制、执行、监督管理的全过程，通过制定统一的工作规划、管理制度体系，加强对预算绩效管理的保障支撑性。通过组织培训，加强宣传等方式，加强部门工作人员对预算绩效管理的认识，充分理解财政绩效评价指标体系，强化全过程预算绩效管理理念，积极主动的开展绩效管理工作，以提高财政资金使用效益。</w:t>
      </w:r>
      <w:bookmarkEnd w:id="36"/>
      <w:bookmarkEnd w:id="37"/>
      <w:bookmarkEnd w:id="38"/>
    </w:p>
    <w:p>
      <w:pPr>
        <w:keepNext w:val="0"/>
        <w:keepLines w:val="0"/>
        <w:pageBreakBefore w:val="0"/>
        <w:widowControl w:val="0"/>
        <w:kinsoku/>
        <w:wordWrap/>
        <w:overflowPunct/>
        <w:topLinePunct w:val="0"/>
        <w:autoSpaceDE/>
        <w:autoSpaceDN/>
        <w:bidi w:val="0"/>
        <w:adjustRightInd w:val="0"/>
        <w:snapToGrid w:val="0"/>
        <w:spacing w:line="578" w:lineRule="exact"/>
        <w:ind w:left="0" w:leftChars="0" w:right="0" w:firstLine="640" w:firstLineChars="200"/>
        <w:textAlignment w:val="auto"/>
        <w:outlineLvl w:val="0"/>
        <w:rPr>
          <w:rFonts w:hint="eastAsia" w:ascii="黑体" w:hAnsi="黑体" w:eastAsia="黑体" w:cs="黑体"/>
          <w:sz w:val="32"/>
          <w:szCs w:val="32"/>
        </w:rPr>
      </w:pPr>
      <w:bookmarkStart w:id="39" w:name="_Toc21273"/>
      <w:r>
        <w:rPr>
          <w:rFonts w:hint="eastAsia" w:ascii="黑体" w:hAnsi="黑体" w:eastAsia="黑体" w:cs="黑体"/>
          <w:sz w:val="32"/>
          <w:szCs w:val="32"/>
          <w:lang w:val="en-US" w:eastAsia="zh-CN"/>
        </w:rPr>
        <w:t>六</w:t>
      </w:r>
      <w:r>
        <w:rPr>
          <w:rFonts w:hint="eastAsia" w:ascii="黑体" w:hAnsi="黑体" w:eastAsia="黑体" w:cs="黑体"/>
          <w:sz w:val="32"/>
          <w:szCs w:val="32"/>
        </w:rPr>
        <w:t>、</w:t>
      </w:r>
      <w:r>
        <w:rPr>
          <w:rFonts w:hint="eastAsia" w:ascii="黑体" w:hAnsi="黑体" w:eastAsia="黑体" w:cs="黑体"/>
          <w:sz w:val="32"/>
          <w:szCs w:val="32"/>
          <w:highlight w:val="none"/>
        </w:rPr>
        <w:t>评价工作组人员名单</w:t>
      </w:r>
      <w:r>
        <w:rPr>
          <w:rFonts w:hint="eastAsia" w:ascii="黑体" w:hAnsi="黑体" w:eastAsia="黑体" w:cs="黑体"/>
          <w:sz w:val="32"/>
          <w:szCs w:val="32"/>
        </w:rPr>
        <w:t>及签字</w:t>
      </w:r>
      <w:bookmarkEnd w:id="39"/>
    </w:p>
    <w:p>
      <w:pPr>
        <w:keepNext w:val="0"/>
        <w:keepLines w:val="0"/>
        <w:pageBreakBefore w:val="0"/>
        <w:widowControl w:val="0"/>
        <w:kinsoku/>
        <w:wordWrap/>
        <w:overflowPunct/>
        <w:topLinePunct w:val="0"/>
        <w:autoSpaceDE/>
        <w:autoSpaceDN/>
        <w:bidi w:val="0"/>
        <w:spacing w:line="578" w:lineRule="exact"/>
        <w:ind w:left="0" w:firstLine="640" w:firstLineChars="20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 长：</w:t>
      </w:r>
      <w:r>
        <w:rPr>
          <w:rFonts w:hint="eastAsia" w:ascii="仿宋_GB2312" w:hAnsi="仿宋_GB2312" w:eastAsia="仿宋_GB2312" w:cs="仿宋_GB2312"/>
          <w:sz w:val="32"/>
          <w:szCs w:val="32"/>
          <w:lang w:val="en-US" w:eastAsia="zh-CN"/>
        </w:rPr>
        <w:t>施文国 石家庄市卫健委 副主任</w:t>
      </w:r>
    </w:p>
    <w:p>
      <w:pPr>
        <w:keepNext w:val="0"/>
        <w:keepLines w:val="0"/>
        <w:pageBreakBefore w:val="0"/>
        <w:widowControl w:val="0"/>
        <w:kinsoku/>
        <w:wordWrap/>
        <w:overflowPunct/>
        <w:topLinePunct w:val="0"/>
        <w:autoSpaceDE/>
        <w:autoSpaceDN/>
        <w:bidi w:val="0"/>
        <w:spacing w:line="578" w:lineRule="exact"/>
        <w:ind w:left="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组 员：</w:t>
      </w:r>
      <w:r>
        <w:rPr>
          <w:rFonts w:hint="eastAsia" w:ascii="仿宋_GB2312" w:hAnsi="仿宋_GB2312" w:eastAsia="仿宋_GB2312" w:cs="仿宋_GB2312"/>
          <w:sz w:val="32"/>
          <w:szCs w:val="32"/>
          <w:lang w:val="en-US" w:eastAsia="zh-CN"/>
        </w:rPr>
        <w:t>胡金石 石家庄市卫健委 财务科科长</w:t>
      </w:r>
    </w:p>
    <w:p>
      <w:pPr>
        <w:keepNext w:val="0"/>
        <w:keepLines w:val="0"/>
        <w:pageBreakBefore w:val="0"/>
        <w:widowControl w:val="0"/>
        <w:kinsoku/>
        <w:wordWrap/>
        <w:overflowPunct/>
        <w:topLinePunct w:val="0"/>
        <w:autoSpaceDE/>
        <w:autoSpaceDN/>
        <w:bidi w:val="0"/>
        <w:spacing w:line="578" w:lineRule="exact"/>
        <w:ind w:left="0" w:firstLine="640"/>
        <w:jc w:val="left"/>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组 员：</w:t>
      </w:r>
      <w:r>
        <w:rPr>
          <w:rFonts w:hint="eastAsia" w:ascii="仿宋_GB2312" w:hAnsi="仿宋_GB2312" w:eastAsia="仿宋_GB2312" w:cs="仿宋_GB2312"/>
          <w:sz w:val="32"/>
          <w:szCs w:val="32"/>
          <w:lang w:val="en-US" w:eastAsia="zh-CN"/>
        </w:rPr>
        <w:t>王彦蕊 石家庄市卫健委 财务科 二级主任科员</w:t>
      </w:r>
    </w:p>
    <w:p>
      <w:pPr>
        <w:keepNext w:val="0"/>
        <w:keepLines w:val="0"/>
        <w:pageBreakBefore w:val="0"/>
        <w:widowControl w:val="0"/>
        <w:kinsoku/>
        <w:wordWrap/>
        <w:overflowPunct/>
        <w:topLinePunct w:val="0"/>
        <w:autoSpaceDE/>
        <w:autoSpaceDN/>
        <w:bidi w:val="0"/>
        <w:spacing w:line="578" w:lineRule="exact"/>
        <w:ind w:left="0" w:firstLine="64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组 员：</w:t>
      </w:r>
      <w:r>
        <w:rPr>
          <w:rFonts w:hint="eastAsia" w:ascii="仿宋_GB2312" w:hAnsi="仿宋_GB2312" w:eastAsia="仿宋_GB2312" w:cs="仿宋_GB2312"/>
          <w:sz w:val="32"/>
          <w:szCs w:val="32"/>
          <w:lang w:val="en-US" w:eastAsia="zh-CN"/>
        </w:rPr>
        <w:t>杨伟娟 石家庄市卫健委 财务科 副科长</w:t>
      </w:r>
    </w:p>
    <w:p>
      <w:pPr>
        <w:keepNext w:val="0"/>
        <w:keepLines w:val="0"/>
        <w:pageBreakBefore w:val="0"/>
        <w:widowControl w:val="0"/>
        <w:kinsoku/>
        <w:wordWrap/>
        <w:overflowPunct/>
        <w:topLinePunct w:val="0"/>
        <w:autoSpaceDE/>
        <w:autoSpaceDN/>
        <w:bidi w:val="0"/>
        <w:adjustRightInd/>
        <w:spacing w:line="578" w:lineRule="exact"/>
        <w:ind w:left="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 员：赵一丁 石家庄市卫健委 财务科 四级主任科员</w:t>
      </w:r>
    </w:p>
    <w:p>
      <w:pPr>
        <w:keepNext w:val="0"/>
        <w:keepLines w:val="0"/>
        <w:pageBreakBefore w:val="0"/>
        <w:widowControl w:val="0"/>
        <w:kinsoku/>
        <w:wordWrap/>
        <w:overflowPunct/>
        <w:topLinePunct w:val="0"/>
        <w:autoSpaceDE/>
        <w:autoSpaceDN/>
        <w:bidi w:val="0"/>
        <w:adjustRightInd/>
        <w:spacing w:line="578" w:lineRule="exact"/>
        <w:ind w:left="0" w:firstLine="640" w:firstLineChars="20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组 员：李广兴 石家庄市卫健委 财务科 一级科员</w:t>
      </w:r>
    </w:p>
    <w:p>
      <w:pPr>
        <w:pStyle w:val="7"/>
        <w:keepNext w:val="0"/>
        <w:keepLines w:val="0"/>
        <w:pageBreakBefore w:val="0"/>
        <w:widowControl w:val="0"/>
        <w:kinsoku/>
        <w:wordWrap/>
        <w:overflowPunct/>
        <w:topLinePunct w:val="0"/>
        <w:autoSpaceDE/>
        <w:autoSpaceDN/>
        <w:bidi w:val="0"/>
        <w:adjustRightInd/>
        <w:spacing w:line="578" w:lineRule="exact"/>
        <w:ind w:firstLine="640" w:firstLineChars="200"/>
        <w:textAlignment w:val="auto"/>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kern w:val="2"/>
          <w:sz w:val="32"/>
          <w:szCs w:val="32"/>
          <w:lang w:val="en-US" w:eastAsia="zh-CN" w:bidi="ar-SA"/>
        </w:rPr>
        <w:t>组 员：陈  瑜 石家庄市第四医院 财务专家</w:t>
      </w:r>
    </w:p>
    <w:p>
      <w:pPr>
        <w:pStyle w:val="5"/>
        <w:pageBreakBefore w:val="0"/>
        <w:widowControl w:val="0"/>
        <w:kinsoku/>
        <w:wordWrap/>
        <w:overflowPunct/>
        <w:topLinePunct w:val="0"/>
        <w:autoSpaceDE/>
        <w:autoSpaceDN/>
        <w:bidi w:val="0"/>
        <w:spacing w:before="0" w:after="0" w:line="578" w:lineRule="exact"/>
        <w:ind w:left="0"/>
        <w:textAlignment w:val="auto"/>
        <w:rPr>
          <w:rFonts w:hint="eastAsia" w:ascii="仿宋_GB2312" w:hAnsi="仿宋_GB2312" w:eastAsia="仿宋_GB2312" w:cs="仿宋_GB2312"/>
          <w:sz w:val="32"/>
          <w:szCs w:val="32"/>
          <w:lang w:val="en-US" w:eastAsia="zh-CN"/>
        </w:rPr>
      </w:pPr>
    </w:p>
    <w:p>
      <w:pPr>
        <w:pageBreakBefore w:val="0"/>
        <w:widowControl w:val="0"/>
        <w:kinsoku/>
        <w:wordWrap/>
        <w:overflowPunct/>
        <w:topLinePunct w:val="0"/>
        <w:autoSpaceDE/>
        <w:autoSpaceDN/>
        <w:bidi w:val="0"/>
        <w:spacing w:line="578" w:lineRule="exact"/>
        <w:ind w:left="0"/>
        <w:textAlignment w:val="auto"/>
        <w:rPr>
          <w:rFonts w:hint="eastAsia"/>
          <w:sz w:val="32"/>
          <w:szCs w:val="32"/>
          <w:lang w:val="en-US" w:eastAsia="zh-CN"/>
        </w:rPr>
      </w:pPr>
    </w:p>
    <w:p>
      <w:pPr>
        <w:pageBreakBefore w:val="0"/>
        <w:widowControl w:val="0"/>
        <w:kinsoku/>
        <w:wordWrap/>
        <w:overflowPunct/>
        <w:topLinePunct w:val="0"/>
        <w:autoSpaceDE/>
        <w:autoSpaceDN/>
        <w:bidi w:val="0"/>
        <w:spacing w:line="578" w:lineRule="exact"/>
        <w:ind w:left="0"/>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石家庄市卫生健康委员会</w:t>
      </w:r>
    </w:p>
    <w:p>
      <w:pPr>
        <w:pStyle w:val="5"/>
        <w:pageBreakBefore w:val="0"/>
        <w:widowControl w:val="0"/>
        <w:kinsoku/>
        <w:wordWrap/>
        <w:overflowPunct/>
        <w:topLinePunct w:val="0"/>
        <w:autoSpaceDE/>
        <w:autoSpaceDN/>
        <w:bidi w:val="0"/>
        <w:spacing w:before="0" w:after="0" w:line="578" w:lineRule="exact"/>
        <w:ind w:left="0"/>
        <w:jc w:val="center"/>
        <w:textAlignment w:val="auto"/>
        <w:rPr>
          <w:rFonts w:hint="default" w:ascii="仿宋_GB2312" w:hAnsi="仿宋_GB2312" w:eastAsia="仿宋_GB2312" w:cs="仿宋_GB2312"/>
          <w:b w:val="0"/>
          <w:bCs w:val="0"/>
          <w:kern w:val="2"/>
          <w:sz w:val="32"/>
          <w:szCs w:val="32"/>
          <w:lang w:val="en-US" w:eastAsia="zh-CN" w:bidi="ar-SA"/>
        </w:rPr>
      </w:pPr>
      <w:r>
        <w:rPr>
          <w:rFonts w:hint="eastAsia" w:ascii="仿宋_GB2312" w:hAnsi="仿宋_GB2312" w:eastAsia="仿宋_GB2312" w:cs="仿宋_GB2312"/>
          <w:b w:val="0"/>
          <w:bCs w:val="0"/>
          <w:kern w:val="2"/>
          <w:sz w:val="32"/>
          <w:szCs w:val="32"/>
          <w:lang w:val="en-US" w:eastAsia="zh-CN" w:bidi="ar-SA"/>
        </w:rPr>
        <w:t xml:space="preserve">                                         </w:t>
      </w:r>
      <w:r>
        <w:rPr>
          <w:rFonts w:hint="eastAsia" w:ascii="仿宋_GB2312" w:hAnsi="仿宋_GB2312" w:eastAsia="仿宋_GB2312" w:cs="仿宋_GB2312"/>
          <w:b w:val="0"/>
          <w:bCs w:val="0"/>
          <w:kern w:val="2"/>
          <w:sz w:val="32"/>
          <w:szCs w:val="32"/>
          <w:highlight w:val="none"/>
          <w:lang w:val="en-US" w:eastAsia="zh-CN" w:bidi="ar-SA"/>
        </w:rPr>
        <w:t xml:space="preserve">  2023年4月10日</w:t>
      </w:r>
    </w:p>
    <w:sectPr>
      <w:footerReference r:id="rId5" w:type="default"/>
      <w:pgSz w:w="11906" w:h="16838"/>
      <w:pgMar w:top="1440" w:right="1474" w:bottom="1440" w:left="1587" w:header="851" w:footer="992" w:gutter="0"/>
      <w:pgNumType w:fmt="numberInDash" w:start="1"/>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方正仿宋_GBK">
    <w:altName w:val="微软雅黑"/>
    <w:panose1 w:val="02000000000000000000"/>
    <w:charset w:val="86"/>
    <w:family w:val="auto"/>
    <w:pitch w:val="default"/>
    <w:sig w:usb0="00000000" w:usb1="0000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Ct1YkckBAACZAwAADgAAAGRycy9lMm9Eb2MueG1srVNLbtswEN0XyB0I&#10;7mPJWhSGYDlIYaQoEKQF0h6ApkiLAH/g0JZ8gfYGXXXTfc/lc3RISU6abrLIhhrODN+8NzNa3wxG&#10;k6MIoJxt6HJRUiIsd62y+4Z++3p3vaIEIrMt086Khp4E0JvN1bt172tRuc7pVgSCIBbq3je0i9HX&#10;RQG8E4bBwnlhMShdMCziNeyLNrAe0Y0uqrJ8X/QutD44LgDQux2DdEIMrwF0Uiouto4fjLBxRA1C&#10;s4iSoFMe6CazlVLw+FlKEJHohqLSmE8sgvYuncVmzep9YL5TfKLAXkPhhSbDlMWiF6gti4wcgvoP&#10;yigeHDgZF9yZYhSSO4IqluWL3jx2zIusBVsN/tJ0eDtY/nD8EohqG1pRYpnBgZ9//jj/+nP+/Z1U&#10;qT29hxqzHj3mxeGDG3BpZj+gM6keZDDpi3oIxrG5p0tzxRAJT49W1WpVYohjbL4gfvH03AeIH4Uz&#10;JBkNDTi93FR2vIc4ps4pqZp1d0rrPEFt/3EgZvIUifvIMVlx2A2ToJ1rT6inx8E31OKeU6I/Wexr&#10;2pHZCLOxm42DD2rfIbVl5gX+9hCRROaWKoywU2GcWFY3bVdaief3nPX0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K3ViRyQEAAJkDAAAOAAAAAAAAAAEAIAAAAB4BAABkcnMvZTJvRG9j&#10;LnhtbFBLBQYAAAAABgAGAFkBAABZ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DBF1BF2"/>
    <w:multiLevelType w:val="singleLevel"/>
    <w:tmpl w:val="8DBF1BF2"/>
    <w:lvl w:ilvl="0" w:tentative="0">
      <w:start w:val="2"/>
      <w:numFmt w:val="chineseCounting"/>
      <w:suff w:val="nothing"/>
      <w:lvlText w:val="%1、"/>
      <w:lvlJc w:val="left"/>
      <w:rPr>
        <w:rFonts w:hint="eastAsia"/>
      </w:rPr>
    </w:lvl>
  </w:abstractNum>
  <w:abstractNum w:abstractNumId="1">
    <w:nsid w:val="AC6A98C4"/>
    <w:multiLevelType w:val="singleLevel"/>
    <w:tmpl w:val="AC6A98C4"/>
    <w:lvl w:ilvl="0" w:tentative="0">
      <w:start w:val="5"/>
      <w:numFmt w:val="decimal"/>
      <w:suff w:val="nothing"/>
      <w:lvlText w:val="（%1）"/>
      <w:lvlJc w:val="left"/>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RjODI1NmQzZTY1OGI1ZDc3MDY3NjcyYzdlMWM4MTEifQ=="/>
  </w:docVars>
  <w:rsids>
    <w:rsidRoot w:val="02B751D2"/>
    <w:rsid w:val="00C11E01"/>
    <w:rsid w:val="019D6391"/>
    <w:rsid w:val="02B751D2"/>
    <w:rsid w:val="07A11279"/>
    <w:rsid w:val="07E860AB"/>
    <w:rsid w:val="0A9F23E7"/>
    <w:rsid w:val="0BAD28E2"/>
    <w:rsid w:val="0DF76096"/>
    <w:rsid w:val="0E8965E3"/>
    <w:rsid w:val="0EAB315E"/>
    <w:rsid w:val="122C70F7"/>
    <w:rsid w:val="12BD27A5"/>
    <w:rsid w:val="17A74689"/>
    <w:rsid w:val="18FC0A05"/>
    <w:rsid w:val="20E406FC"/>
    <w:rsid w:val="2346744C"/>
    <w:rsid w:val="239A6ADF"/>
    <w:rsid w:val="2A832351"/>
    <w:rsid w:val="2A894493"/>
    <w:rsid w:val="2B254A40"/>
    <w:rsid w:val="2BBE0234"/>
    <w:rsid w:val="2CF27CFD"/>
    <w:rsid w:val="2D1672DA"/>
    <w:rsid w:val="2DC21DC5"/>
    <w:rsid w:val="300761B5"/>
    <w:rsid w:val="318850D4"/>
    <w:rsid w:val="33B07D04"/>
    <w:rsid w:val="33D04F65"/>
    <w:rsid w:val="344165C4"/>
    <w:rsid w:val="34585CCF"/>
    <w:rsid w:val="360D753C"/>
    <w:rsid w:val="37E62B54"/>
    <w:rsid w:val="386258B8"/>
    <w:rsid w:val="39BD7EFD"/>
    <w:rsid w:val="3C8B7826"/>
    <w:rsid w:val="3CA31014"/>
    <w:rsid w:val="3E907F9B"/>
    <w:rsid w:val="41524DB6"/>
    <w:rsid w:val="46B07D57"/>
    <w:rsid w:val="47574CD1"/>
    <w:rsid w:val="4803505C"/>
    <w:rsid w:val="4C0F5D7E"/>
    <w:rsid w:val="523C1897"/>
    <w:rsid w:val="57680B68"/>
    <w:rsid w:val="57D63BF4"/>
    <w:rsid w:val="57D96A02"/>
    <w:rsid w:val="5B7C1B93"/>
    <w:rsid w:val="5F5C5326"/>
    <w:rsid w:val="60194385"/>
    <w:rsid w:val="613A51F3"/>
    <w:rsid w:val="62E93354"/>
    <w:rsid w:val="63EB0054"/>
    <w:rsid w:val="672C7CD4"/>
    <w:rsid w:val="6B36165F"/>
    <w:rsid w:val="6D85566E"/>
    <w:rsid w:val="6E570C95"/>
    <w:rsid w:val="6F835C05"/>
    <w:rsid w:val="71B903B6"/>
    <w:rsid w:val="74CF1C9F"/>
    <w:rsid w:val="78E201F2"/>
    <w:rsid w:val="78E66C78"/>
    <w:rsid w:val="79780B57"/>
    <w:rsid w:val="7C0B7A60"/>
    <w:rsid w:val="7D6A4031"/>
    <w:rsid w:val="7D7B250F"/>
    <w:rsid w:val="7E8D6E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semiHidden="0" w:name="heading 3"/>
    <w:lsdException w:qFormat="1" w:uiPriority="0" w:name="heading 4"/>
    <w:lsdException w:qFormat="1" w:uiPriority="0" w:name="heading 5"/>
    <w:lsdException w:qFormat="1" w:uiPriority="0" w:semiHidden="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paragraph" w:styleId="4">
    <w:name w:val="heading 3"/>
    <w:basedOn w:val="1"/>
    <w:next w:val="1"/>
    <w:unhideWhenUsed/>
    <w:qFormat/>
    <w:uiPriority w:val="0"/>
    <w:pPr>
      <w:keepNext/>
      <w:keepLines/>
      <w:spacing w:beforeLines="0" w:beforeAutospacing="0" w:afterLines="0" w:afterAutospacing="0" w:line="360" w:lineRule="auto"/>
      <w:ind w:firstLine="883" w:firstLineChars="200"/>
      <w:jc w:val="left"/>
      <w:outlineLvl w:val="2"/>
    </w:pPr>
    <w:rPr>
      <w:rFonts w:eastAsia="仿宋_GB2312"/>
      <w:sz w:val="32"/>
    </w:rPr>
  </w:style>
  <w:style w:type="paragraph" w:styleId="5">
    <w:name w:val="heading 6"/>
    <w:basedOn w:val="1"/>
    <w:next w:val="1"/>
    <w:unhideWhenUsed/>
    <w:qFormat/>
    <w:uiPriority w:val="0"/>
    <w:pPr>
      <w:keepNext/>
      <w:keepLines/>
      <w:tabs>
        <w:tab w:val="left" w:pos="1151"/>
      </w:tabs>
      <w:spacing w:before="240" w:after="64" w:line="320" w:lineRule="auto"/>
      <w:ind w:left="1151" w:hanging="1151"/>
      <w:outlineLvl w:val="5"/>
    </w:pPr>
    <w:rPr>
      <w:rFonts w:ascii="Cambria" w:hAnsi="Cambria"/>
      <w:b/>
      <w:bCs/>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Body Text First Indent"/>
    <w:basedOn w:val="3"/>
    <w:qFormat/>
    <w:uiPriority w:val="0"/>
    <w:pPr>
      <w:spacing w:after="120" w:line="240" w:lineRule="auto"/>
      <w:ind w:firstLine="240" w:firstLineChars="100"/>
    </w:pPr>
    <w:rPr>
      <w:rFonts w:ascii="楷体_GB2312" w:eastAsia="楷体_GB2312"/>
      <w:snapToGrid w:val="0"/>
      <w:kern w:val="0"/>
      <w:sz w:val="24"/>
      <w:lang w:val="zh-CN"/>
    </w:rPr>
  </w:style>
  <w:style w:type="paragraph" w:styleId="3">
    <w:name w:val="Body Text"/>
    <w:basedOn w:val="1"/>
    <w:qFormat/>
    <w:uiPriority w:val="0"/>
    <w:pPr>
      <w:spacing w:after="120"/>
    </w:pPr>
  </w:style>
  <w:style w:type="paragraph" w:styleId="6">
    <w:name w:val="Normal Indent"/>
    <w:basedOn w:val="1"/>
    <w:unhideWhenUsed/>
    <w:qFormat/>
    <w:uiPriority w:val="99"/>
    <w:pPr>
      <w:ind w:firstLine="420" w:firstLineChars="200"/>
    </w:p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toc 1"/>
    <w:basedOn w:val="1"/>
    <w:next w:val="1"/>
    <w:qFormat/>
    <w:uiPriority w:val="0"/>
  </w:style>
  <w:style w:type="paragraph" w:styleId="10">
    <w:name w:val="toc 2"/>
    <w:basedOn w:val="1"/>
    <w:next w:val="1"/>
    <w:qFormat/>
    <w:uiPriority w:val="0"/>
    <w:pPr>
      <w:ind w:left="420" w:leftChars="200"/>
    </w:pPr>
  </w:style>
  <w:style w:type="paragraph" w:customStyle="1" w:styleId="13">
    <w:name w:val="WPSOffice手动目录 1"/>
    <w:qFormat/>
    <w:uiPriority w:val="0"/>
    <w:pPr>
      <w:ind w:leftChars="0"/>
    </w:pPr>
    <w:rPr>
      <w:rFonts w:ascii="Times New Roman" w:hAnsi="Times New Roman" w:eastAsia="宋体" w:cs="Times New Roman"/>
      <w:sz w:val="20"/>
      <w:szCs w:val="20"/>
    </w:rPr>
  </w:style>
  <w:style w:type="paragraph" w:customStyle="1" w:styleId="14">
    <w:name w:val="WPSOffice手动目录 2"/>
    <w:qFormat/>
    <w:uiPriority w:val="0"/>
    <w:pPr>
      <w:ind w:leftChars="200"/>
    </w:pPr>
    <w:rPr>
      <w:rFonts w:ascii="Times New Roman" w:hAnsi="Times New Roman" w:eastAsia="宋体" w:cs="Times New Roman"/>
      <w:sz w:val="20"/>
      <w:szCs w:val="20"/>
    </w:rPr>
  </w:style>
  <w:style w:type="paragraph" w:customStyle="1" w:styleId="15">
    <w:name w:val="插入文本样式-插入职责分类绩效目标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8745</Words>
  <Characters>9557</Characters>
  <Lines>0</Lines>
  <Paragraphs>0</Paragraphs>
  <TotalTime>11</TotalTime>
  <ScaleCrop>false</ScaleCrop>
  <LinksUpToDate>false</LinksUpToDate>
  <CharactersWithSpaces>10293</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2022-03-11T05:06:00Z</dcterms:created>
  <dc:creator>你是我的神经病1417941470</dc:creator>
  <cp:lastModifiedBy>wyr</cp:lastModifiedBy>
  <cp:lastPrinted>2023-04-17T01:52:00Z</cp:lastPrinted>
  <dcterms:modified xsi:type="dcterms:W3CDTF">2023-04-18T02:29:41Z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99A2188003354BCE9EF5FD75885F3EE1</vt:lpwstr>
  </property>
</Properties>
</file>