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河北正定师范高等专科学校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2022年度整体支出绩效自评报告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河北正定师范高等专科学校</w:t>
      </w:r>
      <w:r>
        <w:rPr>
          <w:rFonts w:hint="eastAsia" w:ascii="仿宋" w:hAnsi="仿宋" w:eastAsia="仿宋"/>
          <w:sz w:val="32"/>
          <w:szCs w:val="32"/>
        </w:rPr>
        <w:t>2022年整体支出情况实施了财政支出绩效自评价，形成本评价报告。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1、部门职责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河北正定师范高等专科学校是经教育部批准，石家庄市政府主办的一所全日制国办普通高等职业院校，面向全国招生，主要实施专科层次的高等职业技术教育，培养专业技术人才。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2、机构设置及人员情况：</w:t>
      </w:r>
    </w:p>
    <w:tbl>
      <w:tblPr>
        <w:tblStyle w:val="4"/>
        <w:tblW w:w="1062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8"/>
        <w:gridCol w:w="843"/>
        <w:gridCol w:w="1160"/>
        <w:gridCol w:w="1752"/>
        <w:gridCol w:w="527"/>
        <w:gridCol w:w="533"/>
        <w:gridCol w:w="527"/>
        <w:gridCol w:w="527"/>
        <w:gridCol w:w="528"/>
        <w:gridCol w:w="527"/>
        <w:gridCol w:w="527"/>
        <w:gridCol w:w="5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7453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</w:p>
        </w:tc>
        <w:tc>
          <w:tcPr>
            <w:tcW w:w="3167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638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843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16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1752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527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05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1584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638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843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16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752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27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528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53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jc w:val="center"/>
        </w:trPr>
        <w:tc>
          <w:tcPr>
            <w:tcW w:w="2638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8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16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752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300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8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294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70</w:t>
            </w:r>
          </w:p>
        </w:tc>
        <w:tc>
          <w:tcPr>
            <w:tcW w:w="53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jc w:val="center"/>
        </w:trPr>
        <w:tc>
          <w:tcPr>
            <w:tcW w:w="2638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河北正定师范高等专科学校本级</w:t>
            </w:r>
          </w:p>
        </w:tc>
        <w:tc>
          <w:tcPr>
            <w:tcW w:w="8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16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副厅（地）级</w:t>
            </w:r>
          </w:p>
        </w:tc>
        <w:tc>
          <w:tcPr>
            <w:tcW w:w="1752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300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28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  <w:lang w:val="en-US" w:eastAsia="zh-CN"/>
              </w:rPr>
              <w:t>94</w:t>
            </w: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2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</w:t>
            </w:r>
          </w:p>
        </w:tc>
        <w:tc>
          <w:tcPr>
            <w:tcW w:w="53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adjustRightInd w:val="0"/>
        <w:snapToGrid w:val="0"/>
        <w:spacing w:line="360" w:lineRule="auto"/>
        <w:ind w:firstLine="643" w:firstLineChars="200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3、</w:t>
      </w:r>
      <w:bookmarkStart w:id="0" w:name="_Toc_3_3_0000000016"/>
      <w:r>
        <w:rPr>
          <w:rFonts w:hint="eastAsia" w:ascii="仿宋_GB2312" w:eastAsia="仿宋_GB2312"/>
          <w:b/>
          <w:bCs/>
          <w:sz w:val="32"/>
          <w:szCs w:val="32"/>
        </w:rPr>
        <w:t>资产信息</w:t>
      </w:r>
      <w:bookmarkEnd w:id="0"/>
    </w:p>
    <w:p>
      <w:pPr>
        <w:adjustRightInd w:val="0"/>
        <w:snapToGrid w:val="0"/>
        <w:spacing w:line="360" w:lineRule="auto"/>
        <w:ind w:firstLine="640" w:firstLineChars="200"/>
      </w:pPr>
      <w:r>
        <w:rPr>
          <w:rFonts w:ascii="仿宋_GB2312" w:eastAsia="仿宋_GB2312"/>
          <w:sz w:val="32"/>
          <w:szCs w:val="32"/>
        </w:rPr>
        <w:t>河北正定师范高等专科学校（含所属单位）年末</w:t>
      </w:r>
      <w:r>
        <w:rPr>
          <w:rFonts w:hint="eastAsia" w:ascii="仿宋_GB2312" w:eastAsia="仿宋_GB2312"/>
          <w:sz w:val="32"/>
          <w:szCs w:val="32"/>
        </w:rPr>
        <w:t>资产总额为14629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</w:rPr>
        <w:t>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万元，其中流动资产共计1326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</w:rPr>
        <w:t>09万元，非流动</w:t>
      </w:r>
      <w:r>
        <w:rPr>
          <w:rFonts w:ascii="仿宋_GB2312" w:eastAsia="仿宋_GB2312"/>
          <w:sz w:val="32"/>
          <w:szCs w:val="32"/>
        </w:rPr>
        <w:t>资产金额</w:t>
      </w:r>
      <w:r>
        <w:rPr>
          <w:rFonts w:hint="eastAsia" w:ascii="仿宋_GB2312" w:eastAsia="仿宋_GB2312"/>
          <w:sz w:val="32"/>
          <w:szCs w:val="32"/>
        </w:rPr>
        <w:t>共计13303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.90</w:t>
      </w:r>
      <w:r>
        <w:rPr>
          <w:rFonts w:ascii="仿宋_GB2312" w:eastAsia="仿宋_GB2312"/>
          <w:sz w:val="32"/>
          <w:szCs w:val="32"/>
        </w:rPr>
        <w:t>万元</w:t>
      </w:r>
      <w:r>
        <w:rPr>
          <w:rFonts w:hint="eastAsia" w:ascii="仿宋_GB2312" w:eastAsia="仿宋_GB2312"/>
          <w:sz w:val="32"/>
          <w:szCs w:val="32"/>
        </w:rPr>
        <w:t>，资产稳定性较强。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我校202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年收入调整预算数为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16835.7013</w:t>
      </w:r>
      <w:r>
        <w:rPr>
          <w:rFonts w:hint="eastAsia" w:ascii="仿宋_GB2312" w:eastAsia="仿宋_GB2312"/>
          <w:sz w:val="32"/>
          <w:szCs w:val="32"/>
        </w:rPr>
        <w:t>万元，收入决算数为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15948.117499</w:t>
      </w:r>
      <w:r>
        <w:rPr>
          <w:rFonts w:hint="eastAsia" w:ascii="仿宋_GB2312" w:eastAsia="仿宋_GB2312"/>
          <w:sz w:val="32"/>
          <w:szCs w:val="32"/>
        </w:rPr>
        <w:t>万元。20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年支出调整预算数为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16835.7013</w:t>
      </w:r>
      <w:r>
        <w:rPr>
          <w:rFonts w:hint="eastAsia" w:ascii="仿宋_GB2312" w:eastAsia="仿宋_GB2312"/>
          <w:sz w:val="32"/>
          <w:szCs w:val="32"/>
        </w:rPr>
        <w:t>万元，支出决算数是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15948.117499</w:t>
      </w:r>
      <w:r>
        <w:rPr>
          <w:rFonts w:hint="eastAsia" w:ascii="仿宋_GB2312" w:eastAsia="仿宋_GB2312"/>
          <w:sz w:val="32"/>
          <w:szCs w:val="32"/>
        </w:rPr>
        <w:t>万元。决算收入与决算支出</w:t>
      </w:r>
      <w:r>
        <w:rPr>
          <w:rFonts w:hint="eastAsia" w:ascii="仿宋_GB2312" w:eastAsia="仿宋_GB2312"/>
          <w:sz w:val="32"/>
          <w:szCs w:val="32"/>
          <w:lang w:eastAsia="zh-CN"/>
        </w:rPr>
        <w:t>平衡，无结转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其中，202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年项目支出预算收入是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7470.8550</w:t>
      </w:r>
      <w:r>
        <w:rPr>
          <w:rFonts w:hint="eastAsia" w:ascii="仿宋_GB2312" w:eastAsia="仿宋_GB2312"/>
          <w:sz w:val="32"/>
          <w:szCs w:val="32"/>
        </w:rPr>
        <w:t>万元，决算支出是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6851.544851</w:t>
      </w:r>
      <w:r>
        <w:rPr>
          <w:rFonts w:hint="eastAsia" w:ascii="仿宋_GB2312" w:eastAsia="仿宋_GB2312"/>
          <w:sz w:val="32"/>
          <w:szCs w:val="32"/>
        </w:rPr>
        <w:t>万元，原因是涉及</w:t>
      </w:r>
      <w:r>
        <w:rPr>
          <w:rFonts w:hint="eastAsia" w:ascii="仿宋_GB2312" w:eastAsia="仿宋_GB2312"/>
          <w:sz w:val="32"/>
          <w:szCs w:val="32"/>
          <w:lang w:eastAsia="zh-CN"/>
        </w:rPr>
        <w:t>部分</w:t>
      </w:r>
      <w:r>
        <w:rPr>
          <w:rFonts w:hint="eastAsia" w:ascii="仿宋_GB2312" w:eastAsia="仿宋_GB2312"/>
          <w:sz w:val="32"/>
          <w:szCs w:val="32"/>
        </w:rPr>
        <w:t>项目款未花完，年底收回部分款项。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学校坚持立德树人根本任务，立足服务区域基础教育和地方经济社会发展，以加强党的建设为保障，以师资队伍建设为关键，以提高人才培养质量为目标，秉持“换道超车、错位发展、顺势而为”的办学理念，推动学院实现转型跨越发展，目标是将学院建成全国知名、区域一流、具有鲜明师范特色的综合性高水平学校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2022年进一步提高录取率及生源质量，提升就业率和就业质量；推进课程建设，加强实践教学资源统筹使用，提高精品资源建设水平</w:t>
      </w: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搭建教学诊改数据监测与管理平台，与超星教学一体化平台合作，加强在线开放课程建设，争取完成5-10门院级在线开放课程在智慧职教或超星平台上线，并参加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2022年省级验收；凝练提升省级教育教学成果，完成2022年度“省级教学成果奖”评选，完成职业教育质量年度报告1份；积极搭建平台，做好教科研成果的选拔和培育；改善办学条件，逐步扩大培养规模；加强成人继续教育社会培训和工作, 提升社会服务能力。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360" w:lineRule="auto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按照市财政局工作通知要求，我</w:t>
      </w:r>
      <w:r>
        <w:rPr>
          <w:rFonts w:hint="eastAsia" w:ascii="仿宋_GB2312" w:eastAsia="仿宋_GB2312"/>
          <w:sz w:val="32"/>
          <w:szCs w:val="32"/>
          <w:lang w:eastAsia="zh-CN"/>
        </w:rPr>
        <w:t>校</w:t>
      </w:r>
      <w:r>
        <w:rPr>
          <w:rFonts w:hint="eastAsia" w:ascii="仿宋_GB2312" w:eastAsia="仿宋_GB2312"/>
          <w:sz w:val="32"/>
          <w:szCs w:val="32"/>
        </w:rPr>
        <w:t>及时成立了学校绩效自评工作组，制定工作方案、评价方法和步骤时限等内容。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学校自评工作组对照工作内容，分解各项目绩效自评工作至相关科室，明确各项目绩效自评牵头科室和负责人，及时收集、归纳、整理项目评价资料，认真梳理填报各项目《预算项目绩效自评表》，总结成绩和不足，为今后进一步提高预算项目资金使用效率提供经验。</w:t>
      </w:r>
    </w:p>
    <w:p>
      <w:pPr>
        <w:spacing w:line="360" w:lineRule="auto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我校严格按照部门预算安排及资金分配拨付情况，完成各项目资金支出。按期完成日常财务管理，顺利通过上级专项监督检查及审计部门审查。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本年度学校项目绩效目标完成情况良好，各项职能履行的很好，取得了预期的效果。教育教学、科学研究、学生培养、服务社会的能力均有所提高。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7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1、提高录取率及生源质量，提升就业率和就业质量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640" w:firstLineChars="200"/>
        <w:textAlignment w:val="auto"/>
        <w:rPr>
          <w:rFonts w:hint="default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2022年</w:t>
      </w: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完成了2500个招生计划，就业率达99.06%。统招新生历史组录取最低分383分，物理组录取最低分412分，生源质量稳步提升。</w:t>
      </w:r>
    </w:p>
    <w:p>
      <w:pPr>
        <w:pStyle w:val="7"/>
        <w:numPr>
          <w:ilvl w:val="0"/>
          <w:numId w:val="4"/>
        </w:numP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推进课程建设，加强实践教学资源统筹使用，提高精品资源建设水平</w:t>
      </w:r>
    </w:p>
    <w:p>
      <w:pPr>
        <w:spacing w:line="600" w:lineRule="exact"/>
        <w:ind w:firstLine="630"/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z w:val="32"/>
          <w:szCs w:val="32"/>
        </w:rPr>
        <w:t>进一步推进院级精品在线开放课程建设与应用；推进省级立项项目的建设。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640" w:firstLineChars="200"/>
        <w:textAlignment w:val="auto"/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本年度选派教师参加各种会议培训120人次，组织5个团队参加河北省教师教学能力大赛，外聘兼职兼课教师50人。支持教学单位印制各种教学相关文件、材料，组织专业年审活动，完成11门在线开放精品课程和6本校企双元开发教材的建设任务。</w:t>
      </w:r>
    </w:p>
    <w:p>
      <w:pPr>
        <w:pStyle w:val="7"/>
        <w:numPr>
          <w:ilvl w:val="0"/>
          <w:numId w:val="4"/>
        </w:numPr>
        <w:ind w:left="0" w:leftChars="0" w:firstLine="560" w:firstLineChars="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凝练提升省级教育教学成果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640" w:firstLineChars="200"/>
        <w:textAlignment w:val="auto"/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2022年完成省级课题立项5项，市级课题立项42项，均为校外课题。2022年教科研培训与学术交流12次，举办教学能力比赛、教科研成果奖评比5次。教科研项目培育与支持14项。</w:t>
      </w:r>
    </w:p>
    <w:p>
      <w:pPr>
        <w:pStyle w:val="7"/>
        <w:numPr>
          <w:ilvl w:val="0"/>
          <w:numId w:val="4"/>
        </w:numPr>
        <w:ind w:left="0" w:leftChars="0" w:firstLine="560" w:firstLineChars="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积极搭建平台，做好教科研成果的选拔和培育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640" w:firstLineChars="200"/>
        <w:textAlignment w:val="auto"/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2022年初步建成教师发展智慧中心，遵循协调学校相关优质资源，为教师的教学、学术研究、服务社会、通识教育、身心健康提供一个培训、研究、评估、咨询的平台，促进教师全面、协调发展。</w:t>
      </w:r>
    </w:p>
    <w:p>
      <w:pPr>
        <w:tabs>
          <w:tab w:val="left" w:pos="1752"/>
        </w:tabs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完成教学能力大赛的选拔和推荐工作。依据河北省教育厅《关于公布202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年河北省职业校校技能大赛教学能力比赛结果的通知》要求，组织参加202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年度省级教学能力比赛，共推荐6个作品且全部获奖。其中，二等奖一项，三等奖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项，优秀奖1项。我校“校级、省级、国家级”三级教学能力比赛机制已经形成。</w:t>
      </w:r>
    </w:p>
    <w:p>
      <w:pPr>
        <w:tabs>
          <w:tab w:val="left" w:pos="1752"/>
        </w:tabs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本年度我校教师申报省市级课题56项，立47项，结10项。课题质量和申报级别有明显提高。发布2022年度校级课题指南并完成校级课题的征集工作。</w:t>
      </w:r>
    </w:p>
    <w:p>
      <w:pPr>
        <w:tabs>
          <w:tab w:val="left" w:pos="1752"/>
        </w:tabs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修订了《名师工作室管理办法》，在学校官网为每位名师开辟了宣传专栏。申报并立项通过1个省级双师型名师工作室，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个市级双师型名师工作室。一年建设期间，名师工作室在深化学校教育教学研究、凝练标志性成果，以及对青年教师“传、帮、带”方面取得显著成效。</w:t>
      </w:r>
    </w:p>
    <w:p>
      <w:pPr>
        <w:pStyle w:val="7"/>
        <w:numPr>
          <w:ilvl w:val="0"/>
          <w:numId w:val="4"/>
        </w:numPr>
        <w:ind w:left="0" w:leftChars="0" w:firstLine="560" w:firstLineChars="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改善办学条件，逐步扩大培养规模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kern w:val="0"/>
          <w:sz w:val="32"/>
          <w:szCs w:val="32"/>
          <w:lang w:val="en-US" w:eastAsia="zh-CN"/>
        </w:rPr>
        <w:t>2022年建设智慧教室4间,在上年度智慧教室建设的成功经验基础上扩大智慧教室数量，满足各教学单位的使用需求；服务器虚拟化扩容，以超融合方式建设第二个服务器群，与原有的FC-SAN服务器群形成互补，满足各类软件系统的运行需求；教学机房发电机电力线，与UPS电源形成互补，保障服务器群的不间断供电需求；教学台式电脑100台、教学笔记本电脑50台，用于改善前端教学设备条件，满足信息化教学使用需求；综合教务系统、教学科研全量数据治理诊改平台三期、学生一站式服务平台，用于建设服务于教学、学生、诊改的3个软件平台，在满足学校信息化教学、管理、富、改进的顶层需求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0"/>
          <w:sz w:val="32"/>
          <w:szCs w:val="32"/>
          <w:lang w:val="en-US" w:eastAsia="zh-CN" w:bidi="ar-SA"/>
        </w:rPr>
        <w:t>2022年明显改善了办学条件。建设了酒店数字化运营综合实训室、客房及智慧服务实训室、标准考场监控、超星教学平台、课程资源录像室2个、财务会计技能赛训平台、通信仿真实训室、软件测试实训平台、图书馆管理系统软硬件、学前专用智慧教室二期设备、舞蹈教室提升改造、学前教育专业实训室、语音实训室、信息展示屏3块、更新教学电脑110台，云桌面207点位、视频会议设备。</w:t>
      </w:r>
    </w:p>
    <w:p>
      <w:pPr>
        <w:pStyle w:val="7"/>
        <w:numPr>
          <w:ilvl w:val="0"/>
          <w:numId w:val="4"/>
        </w:numPr>
        <w:ind w:left="0" w:leftChars="0" w:firstLine="560" w:firstLineChars="0"/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  <w:lang w:val="en-US" w:eastAsia="zh-CN" w:bidi="ar-SA"/>
        </w:rPr>
        <w:t>加强成人继续教育社会培训和工作, 提升社会服务能力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年我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校</w:t>
      </w:r>
      <w:r>
        <w:rPr>
          <w:rFonts w:hint="eastAsia" w:ascii="仿宋" w:hAnsi="仿宋" w:eastAsia="仿宋"/>
          <w:sz w:val="32"/>
          <w:szCs w:val="32"/>
        </w:rPr>
        <w:t>继续教育中心加大承接社会培训力度，尽最大努力为学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校</w:t>
      </w:r>
      <w:r>
        <w:rPr>
          <w:rFonts w:hint="eastAsia" w:ascii="仿宋" w:hAnsi="仿宋" w:eastAsia="仿宋"/>
          <w:sz w:val="32"/>
          <w:szCs w:val="32"/>
        </w:rPr>
        <w:t>创造经济效益和社会影响力及知名度；由于受疫情影响，</w:t>
      </w:r>
      <w:r>
        <w:rPr>
          <w:rFonts w:hint="eastAsia" w:ascii="仿宋" w:hAnsi="仿宋" w:eastAsia="仿宋"/>
          <w:sz w:val="32"/>
          <w:szCs w:val="32"/>
          <w:lang w:eastAsia="zh-CN"/>
        </w:rPr>
        <w:t>仅</w:t>
      </w:r>
      <w:r>
        <w:rPr>
          <w:rFonts w:hint="eastAsia" w:ascii="仿宋" w:hAnsi="仿宋" w:eastAsia="仿宋"/>
          <w:sz w:val="32"/>
          <w:szCs w:val="32"/>
        </w:rPr>
        <w:t>承接了“石家庄市农村干部</w:t>
      </w:r>
      <w:r>
        <w:rPr>
          <w:rFonts w:hint="eastAsia" w:ascii="仿宋" w:hAnsi="仿宋" w:eastAsia="仿宋"/>
          <w:sz w:val="32"/>
          <w:szCs w:val="32"/>
          <w:lang w:eastAsia="zh-CN"/>
        </w:rPr>
        <w:t>研修班</w:t>
      </w:r>
      <w:r>
        <w:rPr>
          <w:rFonts w:hint="eastAsia" w:ascii="仿宋" w:hAnsi="仿宋" w:eastAsia="仿宋"/>
          <w:sz w:val="32"/>
          <w:szCs w:val="32"/>
        </w:rPr>
        <w:t>”第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期，共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230</w:t>
      </w:r>
      <w:r>
        <w:rPr>
          <w:rFonts w:hint="eastAsia" w:ascii="仿宋" w:hAnsi="仿宋" w:eastAsia="仿宋"/>
          <w:sz w:val="32"/>
          <w:szCs w:val="32"/>
        </w:rPr>
        <w:t>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石家庄市农村干部研修班是市委组织部主办、我校承办的品牌培训项目，是我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校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"/>
          <w:sz w:val="32"/>
          <w:szCs w:val="32"/>
        </w:rPr>
        <w:t>承办此类项目，学员均为2021年新当选的农村基层组织“一肩挑”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在学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校</w:t>
      </w:r>
      <w:r>
        <w:rPr>
          <w:rFonts w:hint="eastAsia" w:ascii="仿宋" w:hAnsi="仿宋" w:eastAsia="仿宋"/>
          <w:sz w:val="32"/>
          <w:szCs w:val="32"/>
        </w:rPr>
        <w:t>实行半军事化全封闭管理，为期三个月；管理、教学、课程等一切与培训相关事宜由学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校</w:t>
      </w:r>
      <w:r>
        <w:rPr>
          <w:rFonts w:hint="eastAsia" w:ascii="仿宋" w:hAnsi="仿宋" w:eastAsia="仿宋"/>
          <w:sz w:val="32"/>
          <w:szCs w:val="32"/>
        </w:rPr>
        <w:t>安排完成后报市委组织部批准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后</w:t>
      </w:r>
      <w:r>
        <w:rPr>
          <w:rFonts w:hint="eastAsia" w:ascii="仿宋" w:hAnsi="仿宋" w:eastAsia="仿宋"/>
          <w:sz w:val="32"/>
          <w:szCs w:val="32"/>
        </w:rPr>
        <w:t>实施。学员回到当地后施展才华，涌现出了一大批卓有成效的合作社、特色种植、养殖村、电子商务村等，学员成为基层治理的排头兵、乡村振兴的领头雁！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根据部门职责定位和各项工作履职情况进行综合评价，我校预算项目综合绩效评价得分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93</w:t>
      </w:r>
      <w:r>
        <w:rPr>
          <w:rFonts w:hint="eastAsia" w:ascii="仿宋_GB2312" w:eastAsia="仿宋_GB2312"/>
          <w:sz w:val="32"/>
          <w:szCs w:val="32"/>
        </w:rPr>
        <w:t>分，等级为优秀。预算支出项目的预期绩效目标基本完成。</w:t>
      </w:r>
      <w:bookmarkStart w:id="2" w:name="_GoBack"/>
      <w:bookmarkEnd w:id="2"/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napToGrid w:val="0"/>
        <w:spacing w:line="360" w:lineRule="auto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我单位在</w:t>
      </w:r>
      <w:r>
        <w:rPr>
          <w:rFonts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年预算执行过程中有1个预算项目的预期绩效目标完成不理想，主要是由以下原因造成：由于疫情原因，国外疫情严重，无法开展对外交流活动，致使因公出国经费无法执行预算，资金无法支出。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通过对</w:t>
      </w:r>
      <w:r>
        <w:rPr>
          <w:rFonts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年度各预算项目绩效自评结果对比倒查年初绩效目标设定质量情况，</w:t>
      </w:r>
      <w:r>
        <w:rPr>
          <w:rFonts w:hint="eastAsia" w:ascii="仿宋_GB2312" w:eastAsia="仿宋_GB2312"/>
          <w:sz w:val="32"/>
          <w:szCs w:val="32"/>
          <w:lang w:eastAsia="zh-CN"/>
        </w:rPr>
        <w:t>学校</w:t>
      </w:r>
      <w:r>
        <w:rPr>
          <w:rFonts w:hint="eastAsia" w:ascii="仿宋_GB2312" w:eastAsia="仿宋_GB2312"/>
          <w:sz w:val="32"/>
          <w:szCs w:val="32"/>
        </w:rPr>
        <w:t>有些项目在设置绩效评价指标方面有欠缺，例如绩效目标设定方面目标指标填报方面，指标名称未使用指标化语言，缺少目标值设置等；绩效指标过于宽泛，界定过于模糊，指标目标值不清晰或不量化，今后在指标分解方面需要再细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学院通过开展预算项目绩效自评价工作，深刻认识到项目绩效评价工作的重要性、科学性和规范性。我们在今后工作中，要加强政策理论和业务理论学习，精准把握工作实质和内涵，在设置项目绩效评价指标时结合项目内容和实际工作，全面完整、科学合理地设置绩效评价目标和标准，按期完成各项目工作进度，进一步提高绩效目标设置质量，提高项目绩效评价效率，使财政资金使用更加高效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高巧玲 </w:t>
      </w:r>
      <w:r>
        <w:rPr>
          <w:rFonts w:ascii="仿宋_GB2312" w:eastAsia="仿宋_GB2312"/>
          <w:sz w:val="32"/>
          <w:szCs w:val="32"/>
        </w:rPr>
        <w:t xml:space="preserve"> </w:t>
      </w:r>
      <w:bookmarkStart w:id="1" w:name="_Hlk99211389"/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河北正定师范高等专科学校 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财务科科长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" w:hAnsi="仿宋" w:eastAsia="仿宋"/>
        </w:rPr>
      </w:pPr>
      <w:r>
        <w:rPr>
          <w:rFonts w:hint="eastAsia" w:ascii="仿宋_GB2312" w:eastAsia="仿宋_GB2312"/>
          <w:sz w:val="32"/>
          <w:szCs w:val="32"/>
        </w:rPr>
        <w:t xml:space="preserve">陈谦 </w:t>
      </w:r>
      <w:r>
        <w:rPr>
          <w:rFonts w:ascii="仿宋_GB2312" w:eastAsia="仿宋_GB2312"/>
          <w:sz w:val="32"/>
          <w:szCs w:val="32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河北正定师范高等专科学校 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会计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9D0CF0B"/>
    <w:multiLevelType w:val="singleLevel"/>
    <w:tmpl w:val="59D0CF0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7808D3DA"/>
    <w:multiLevelType w:val="singleLevel"/>
    <w:tmpl w:val="7808D3DA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jBlODAwMzlkOTBmNTY5ODA5Mjc3YWJlNjA0ZmYyMGYifQ=="/>
  </w:docVars>
  <w:rsids>
    <w:rsidRoot w:val="0EBD2122"/>
    <w:rsid w:val="000B0260"/>
    <w:rsid w:val="005574FC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6AB3F8A"/>
    <w:rsid w:val="07956271"/>
    <w:rsid w:val="0817224F"/>
    <w:rsid w:val="0900752E"/>
    <w:rsid w:val="09721397"/>
    <w:rsid w:val="09954E0D"/>
    <w:rsid w:val="0A256191"/>
    <w:rsid w:val="0BB63BED"/>
    <w:rsid w:val="0DEE2D3E"/>
    <w:rsid w:val="0EB97A43"/>
    <w:rsid w:val="0EBD2122"/>
    <w:rsid w:val="0F214EAE"/>
    <w:rsid w:val="11B71E6A"/>
    <w:rsid w:val="12486EC1"/>
    <w:rsid w:val="132F5608"/>
    <w:rsid w:val="13D529D6"/>
    <w:rsid w:val="145A112D"/>
    <w:rsid w:val="147C72F5"/>
    <w:rsid w:val="1A162614"/>
    <w:rsid w:val="1AAF0063"/>
    <w:rsid w:val="1BE140DE"/>
    <w:rsid w:val="216B6728"/>
    <w:rsid w:val="2234120F"/>
    <w:rsid w:val="248C197D"/>
    <w:rsid w:val="252959AF"/>
    <w:rsid w:val="277A6671"/>
    <w:rsid w:val="289C3E6E"/>
    <w:rsid w:val="292D35B7"/>
    <w:rsid w:val="299E4519"/>
    <w:rsid w:val="2E516CA5"/>
    <w:rsid w:val="31D56F89"/>
    <w:rsid w:val="33EB6CFF"/>
    <w:rsid w:val="35A12947"/>
    <w:rsid w:val="37387040"/>
    <w:rsid w:val="3971469F"/>
    <w:rsid w:val="3B625C0A"/>
    <w:rsid w:val="3CEE1963"/>
    <w:rsid w:val="3FFA719D"/>
    <w:rsid w:val="42255C34"/>
    <w:rsid w:val="459E3CDB"/>
    <w:rsid w:val="48233009"/>
    <w:rsid w:val="4C9C27FE"/>
    <w:rsid w:val="4E3E0BCD"/>
    <w:rsid w:val="4F886120"/>
    <w:rsid w:val="50E57CD8"/>
    <w:rsid w:val="512260B4"/>
    <w:rsid w:val="52BD6ACB"/>
    <w:rsid w:val="55537534"/>
    <w:rsid w:val="561A74F1"/>
    <w:rsid w:val="567F1D52"/>
    <w:rsid w:val="597244E8"/>
    <w:rsid w:val="5EB71C30"/>
    <w:rsid w:val="66AF0CE5"/>
    <w:rsid w:val="6736645D"/>
    <w:rsid w:val="68BF306D"/>
    <w:rsid w:val="6A0E546F"/>
    <w:rsid w:val="6AC537CF"/>
    <w:rsid w:val="6DD10C8D"/>
    <w:rsid w:val="6E5B14A6"/>
    <w:rsid w:val="705D08A7"/>
    <w:rsid w:val="711B255E"/>
    <w:rsid w:val="730438B3"/>
    <w:rsid w:val="763A3BE8"/>
    <w:rsid w:val="78B96EEE"/>
    <w:rsid w:val="799314ED"/>
    <w:rsid w:val="7AD149C3"/>
    <w:rsid w:val="7BB51E06"/>
    <w:rsid w:val="7C387F7C"/>
    <w:rsid w:val="7C635AEE"/>
    <w:rsid w:val="7CB65C1E"/>
    <w:rsid w:val="7D5E6375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 w:cs="Times New Roman"/>
      <w:sz w:val="28"/>
    </w:rPr>
  </w:style>
  <w:style w:type="paragraph" w:customStyle="1" w:styleId="7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3387</Words>
  <Characters>3583</Characters>
  <Lines>4</Lines>
  <Paragraphs>1</Paragraphs>
  <TotalTime>87</TotalTime>
  <ScaleCrop>false</ScaleCrop>
  <LinksUpToDate>false</LinksUpToDate>
  <CharactersWithSpaces>3625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2022-01-19T07:24:00Z</cp:lastPrinted>
  <dcterms:modified xsi:type="dcterms:W3CDTF">2023-04-17T02:07:25Z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6541B78890CF4B20A4B9D7EEB1BA2D83_12</vt:lpwstr>
  </property>
</Properties>
</file>