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cs="宋体"/>
          <w:b/>
          <w:bCs/>
          <w:sz w:val="44"/>
          <w:szCs w:val="44"/>
        </w:rPr>
      </w:pPr>
    </w:p>
    <w:p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cs="宋体"/>
          <w:b/>
          <w:bCs/>
          <w:sz w:val="44"/>
          <w:szCs w:val="44"/>
          <w:lang w:val="en-US" w:eastAsia="zh-CN"/>
        </w:rPr>
      </w:pP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石家庄日报社</w:t>
      </w:r>
    </w:p>
    <w:p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cs="宋体"/>
          <w:b/>
          <w:bCs/>
          <w:sz w:val="44"/>
          <w:szCs w:val="44"/>
          <w:lang w:val="en-US" w:eastAsia="zh-CN"/>
        </w:rPr>
      </w:pP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2022年度整体支出</w:t>
      </w:r>
    </w:p>
    <w:p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绩效</w:t>
      </w:r>
      <w:r>
        <w:rPr>
          <w:rFonts w:hint="eastAsia" w:ascii="宋体" w:hAnsi="宋体" w:cs="宋体"/>
          <w:b/>
          <w:bCs/>
          <w:sz w:val="44"/>
          <w:szCs w:val="44"/>
        </w:rPr>
        <w:t>自评报告</w:t>
      </w:r>
    </w:p>
    <w:p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ascii="华文楷体" w:eastAsia="华文楷体"/>
          <w:sz w:val="32"/>
          <w:szCs w:val="32"/>
        </w:rPr>
      </w:pP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</w:t>
      </w:r>
      <w:r>
        <w:rPr>
          <w:rFonts w:hint="eastAsia" w:ascii="仿宋" w:hAnsi="仿宋" w:eastAsia="仿宋"/>
          <w:sz w:val="32"/>
          <w:szCs w:val="32"/>
          <w:lang w:eastAsia="zh-CN"/>
        </w:rPr>
        <w:t>市委市政府《关于全面落实预算绩效管理的实施意见》（石发﹝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2019</w:t>
      </w:r>
      <w:r>
        <w:rPr>
          <w:rFonts w:hint="eastAsia" w:ascii="仿宋" w:hAnsi="仿宋" w:eastAsia="仿宋"/>
          <w:sz w:val="32"/>
          <w:szCs w:val="32"/>
          <w:lang w:eastAsia="zh-CN"/>
        </w:rPr>
        <w:t>﹞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8号</w:t>
      </w:r>
      <w:r>
        <w:rPr>
          <w:rFonts w:hint="eastAsia" w:ascii="仿宋" w:hAnsi="仿宋" w:eastAsia="仿宋"/>
          <w:sz w:val="32"/>
          <w:szCs w:val="32"/>
          <w:lang w:eastAsia="zh-CN"/>
        </w:rPr>
        <w:t>）</w:t>
      </w:r>
      <w:r>
        <w:rPr>
          <w:rFonts w:hint="eastAsia" w:ascii="仿宋" w:hAnsi="仿宋" w:eastAsia="仿宋"/>
          <w:sz w:val="32"/>
          <w:szCs w:val="32"/>
        </w:rPr>
        <w:t>文件精神，遵循“科学性、规范性、客观性和公正性”的原则，对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石家庄日报社2022年</w:t>
      </w:r>
      <w:r>
        <w:rPr>
          <w:rFonts w:hint="eastAsia" w:ascii="仿宋" w:hAnsi="仿宋" w:eastAsia="仿宋"/>
          <w:sz w:val="32"/>
          <w:szCs w:val="32"/>
          <w:lang w:eastAsia="zh-CN"/>
        </w:rPr>
        <w:t>整体支出情况</w:t>
      </w:r>
      <w:r>
        <w:rPr>
          <w:rFonts w:hint="eastAsia" w:ascii="仿宋" w:hAnsi="仿宋" w:eastAsia="仿宋"/>
          <w:sz w:val="32"/>
          <w:szCs w:val="32"/>
        </w:rPr>
        <w:t>实施了财政支出绩效自评价，形成本评价报告。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/>
        <w:textAlignment w:val="auto"/>
        <w:outlineLvl w:val="9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仿宋" w:hAnsi="仿宋" w:eastAsia="仿宋"/>
          <w:sz w:val="32"/>
          <w:szCs w:val="32"/>
        </w:rPr>
        <w:t xml:space="preserve">    </w:t>
      </w:r>
      <w:r>
        <w:rPr>
          <w:rFonts w:hint="eastAsia" w:ascii="黑体" w:hAnsi="黑体" w:eastAsia="黑体"/>
          <w:sz w:val="32"/>
          <w:szCs w:val="32"/>
        </w:rPr>
        <w:t>一、</w:t>
      </w:r>
      <w:r>
        <w:rPr>
          <w:rFonts w:hint="eastAsia" w:ascii="黑体" w:hAnsi="黑体" w:eastAsia="黑体"/>
          <w:sz w:val="32"/>
          <w:szCs w:val="32"/>
          <w:lang w:eastAsia="zh-CN"/>
        </w:rPr>
        <w:t>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楷体" w:hAnsi="楷体" w:eastAsia="楷体" w:cs="楷体"/>
          <w:b/>
          <w:bCs/>
          <w:sz w:val="32"/>
          <w:szCs w:val="32"/>
        </w:rPr>
      </w:pPr>
      <w:r>
        <w:rPr>
          <w:rFonts w:hint="eastAsia" w:ascii="楷体" w:hAnsi="楷体" w:eastAsia="楷体" w:cs="楷体"/>
          <w:b/>
          <w:bCs/>
          <w:sz w:val="32"/>
          <w:szCs w:val="32"/>
        </w:rPr>
        <w:t>（一）</w:t>
      </w:r>
      <w:r>
        <w:rPr>
          <w:rFonts w:hint="eastAsia" w:ascii="楷体" w:hAnsi="楷体" w:eastAsia="楷体" w:cs="楷体"/>
          <w:b/>
          <w:bCs/>
          <w:sz w:val="32"/>
          <w:szCs w:val="32"/>
          <w:lang w:eastAsia="zh-CN"/>
        </w:rPr>
        <w:t>部门</w:t>
      </w:r>
      <w:r>
        <w:rPr>
          <w:rFonts w:hint="eastAsia" w:ascii="楷体" w:hAnsi="楷体" w:eastAsia="楷体" w:cs="楷体"/>
          <w:b/>
          <w:bCs/>
          <w:sz w:val="32"/>
          <w:szCs w:val="32"/>
        </w:rPr>
        <w:t>概况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简述部门职能、组织机构及人员、资产</w:t>
      </w:r>
      <w:r>
        <w:rPr>
          <w:rFonts w:hint="eastAsia" w:ascii="仿宋" w:hAnsi="仿宋" w:eastAsia="仿宋"/>
          <w:sz w:val="32"/>
          <w:szCs w:val="32"/>
        </w:rPr>
        <w:t>等基本情况</w:t>
      </w:r>
      <w:r>
        <w:rPr>
          <w:rFonts w:hint="eastAsia" w:ascii="仿宋" w:hAnsi="仿宋" w:eastAsia="仿宋"/>
          <w:sz w:val="32"/>
          <w:szCs w:val="32"/>
          <w:lang w:eastAsia="zh-CN"/>
        </w:rPr>
        <w:t>。</w:t>
      </w:r>
    </w:p>
    <w:p>
      <w:pPr>
        <w:widowControl w:val="0"/>
        <w:numPr>
          <w:ilvl w:val="0"/>
          <w:numId w:val="1"/>
        </w:numPr>
        <w:wordWrap/>
        <w:adjustRightInd w:val="0"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Calibri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部门职能：石家庄</w:t>
      </w:r>
      <w:r>
        <w:rPr>
          <w:rFonts w:hint="eastAsia" w:ascii="仿宋_GB2312" w:hAnsi="Calibri" w:eastAsia="仿宋_GB2312"/>
          <w:sz w:val="32"/>
          <w:szCs w:val="32"/>
        </w:rPr>
        <w:t>日报社由市委主办，市委宣传部主管，为市委直属正县级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自收自支</w:t>
      </w:r>
      <w:r>
        <w:rPr>
          <w:rFonts w:hint="eastAsia" w:ascii="仿宋_GB2312" w:hAnsi="Calibri" w:eastAsia="仿宋_GB2312"/>
          <w:sz w:val="32"/>
          <w:szCs w:val="32"/>
        </w:rPr>
        <w:t>事业单位</w:t>
      </w:r>
      <w:r>
        <w:rPr>
          <w:rFonts w:hint="eastAsia" w:ascii="仿宋_GB2312" w:eastAsia="仿宋_GB2312"/>
          <w:sz w:val="32"/>
          <w:szCs w:val="32"/>
          <w:lang w:eastAsia="zh-CN"/>
        </w:rPr>
        <w:t>。</w:t>
      </w:r>
      <w:r>
        <w:rPr>
          <w:rFonts w:hint="eastAsia" w:ascii="仿宋_GB2312" w:hAnsi="Calibri" w:eastAsia="仿宋_GB2312"/>
          <w:sz w:val="32"/>
          <w:szCs w:val="32"/>
        </w:rPr>
        <w:t>2022年1月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25日</w:t>
      </w:r>
      <w:r>
        <w:rPr>
          <w:rFonts w:hint="eastAsia" w:ascii="仿宋_GB2312" w:hAnsi="Calibri" w:eastAsia="仿宋_GB2312"/>
          <w:sz w:val="32"/>
          <w:szCs w:val="32"/>
        </w:rPr>
        <w:t>，市委编办调整石家庄日报社为财政性资金定项或定额补助事业单位）。根据市委办《石家庄日报社体制改革实施方案》精神，日报社于2012年注册成立石家庄报业传媒集团有限公司，注册资本为5000万元。</w:t>
      </w:r>
    </w:p>
    <w:p>
      <w:pPr>
        <w:pStyle w:val="2"/>
        <w:numPr>
          <w:ilvl w:val="0"/>
          <w:numId w:val="0"/>
        </w:numPr>
        <w:rPr>
          <w:rFonts w:hint="eastAsia"/>
          <w:lang w:eastAsia="zh-CN"/>
        </w:rPr>
      </w:pPr>
      <w:r>
        <w:rPr>
          <w:rFonts w:hint="eastAsia"/>
          <w:lang w:val="en-US" w:eastAsia="zh-CN"/>
        </w:rPr>
        <w:t xml:space="preserve">     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2、组织机构：根据2010年《石家庄日报社体制改革实施方案》，日报社于2012年9月组建石家庄报业传媒集团有限公司，实行两块牌子，一套人马。报社负责组织领导整个集团的产业经营工作，董事长由社长兼任。集团设置7个内设机构(办公室、纪检监察部、人力资源部、财务管理部、经营管理部、技术管理部、新媒体运营部)，后经集团内部机构调整，设置73个中层机构，其中行管部门10个，采编部门63个(日报编辑部17个、晚报编辑部25个、石家庄新闻网1个、融媒体中心8个、老年报编辑部5个、精品导报编辑部7个）。拥有9个媒体平台：《石家庄日报》、《燕赵晚报》、《精品导报》、《燕赵老年报》、《老字号品牌营销》、石家庄日报APP、石家庄新闻网、《“石家庄日报”学习强国号》和“学习强国”石家庄学习平台；另有3个分公司、7个参股公司、16个子公司。</w:t>
      </w:r>
      <w:r>
        <w:rPr>
          <w:rFonts w:hint="eastAsia"/>
          <w:lang w:val="en-US" w:eastAsia="zh-CN"/>
        </w:rPr>
        <w:t xml:space="preserve"> </w:t>
      </w:r>
    </w:p>
    <w:p>
      <w:pPr>
        <w:widowControl w:val="0"/>
        <w:numPr>
          <w:ilvl w:val="0"/>
          <w:numId w:val="0"/>
        </w:numPr>
        <w:wordWrap/>
        <w:adjustRightInd w:val="0"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Calibri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3、</w:t>
      </w:r>
      <w:r>
        <w:rPr>
          <w:rFonts w:hint="eastAsia" w:ascii="仿宋_GB2312" w:hAnsi="Calibri" w:eastAsia="仿宋_GB2312"/>
          <w:sz w:val="32"/>
          <w:szCs w:val="32"/>
        </w:rPr>
        <w:t>人员情况</w:t>
      </w:r>
    </w:p>
    <w:p>
      <w:pPr>
        <w:widowControl w:val="0"/>
        <w:numPr>
          <w:ilvl w:val="0"/>
          <w:numId w:val="0"/>
        </w:numPr>
        <w:wordWrap/>
        <w:adjustRightInd w:val="0"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Calibri" w:eastAsia="仿宋_GB2312"/>
          <w:sz w:val="32"/>
          <w:szCs w:val="32"/>
        </w:rPr>
      </w:pPr>
      <w:r>
        <w:rPr>
          <w:rFonts w:hint="eastAsia" w:ascii="仿宋_GB2312" w:hAnsi="Calibri" w:eastAsia="仿宋_GB2312"/>
          <w:sz w:val="32"/>
          <w:szCs w:val="32"/>
        </w:rPr>
        <w:t>2022年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1月25日</w:t>
      </w:r>
      <w:r>
        <w:rPr>
          <w:rFonts w:hint="eastAsia" w:ascii="仿宋_GB2312" w:hAnsi="Calibri" w:eastAsia="仿宋_GB2312"/>
          <w:sz w:val="32"/>
          <w:szCs w:val="32"/>
        </w:rPr>
        <w:t>，石家庄市委机构编制委员会出台《关于调整石家庄日报社机构编制事项的批复》（石机编〔2022〕66号），核定日报社财政性资金定项或定额补助事业编制为246名，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现有合规编制290人。</w:t>
      </w:r>
      <w:r>
        <w:rPr>
          <w:rFonts w:hint="eastAsia" w:ascii="仿宋_GB2312" w:hAnsi="Calibri" w:eastAsia="仿宋_GB2312"/>
          <w:sz w:val="32"/>
          <w:szCs w:val="32"/>
        </w:rPr>
        <w:t>其中，日报社46名，日报编辑部200名。日报社现有人员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901</w:t>
      </w:r>
      <w:r>
        <w:rPr>
          <w:rFonts w:hint="eastAsia" w:ascii="仿宋_GB2312" w:hAnsi="Calibri" w:eastAsia="仿宋_GB2312"/>
          <w:sz w:val="32"/>
          <w:szCs w:val="32"/>
        </w:rPr>
        <w:t>人，其中事业在编人员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290</w:t>
      </w:r>
      <w:r>
        <w:rPr>
          <w:rFonts w:hint="eastAsia" w:ascii="仿宋_GB2312" w:hAnsi="Calibri" w:eastAsia="仿宋_GB2312"/>
          <w:sz w:val="32"/>
          <w:szCs w:val="32"/>
        </w:rPr>
        <w:t>人，编制外聘用人员6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11</w:t>
      </w:r>
      <w:r>
        <w:rPr>
          <w:rFonts w:hint="eastAsia" w:ascii="仿宋_GB2312" w:hAnsi="Calibri" w:eastAsia="仿宋_GB2312"/>
          <w:sz w:val="32"/>
          <w:szCs w:val="32"/>
        </w:rPr>
        <w:t>人，聘用人员占总人数67.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81</w:t>
      </w:r>
      <w:r>
        <w:rPr>
          <w:rFonts w:hint="eastAsia" w:ascii="仿宋_GB2312" w:hAnsi="Calibri" w:eastAsia="仿宋_GB2312"/>
          <w:sz w:val="32"/>
          <w:szCs w:val="32"/>
        </w:rPr>
        <w:t>%。在岗人员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833</w:t>
      </w:r>
      <w:r>
        <w:rPr>
          <w:rFonts w:hint="eastAsia" w:ascii="仿宋_GB2312" w:hAnsi="Calibri" w:eastAsia="仿宋_GB2312"/>
          <w:sz w:val="32"/>
          <w:szCs w:val="32"/>
        </w:rPr>
        <w:t>人，未在岗人员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68</w:t>
      </w:r>
      <w:r>
        <w:rPr>
          <w:rFonts w:hint="eastAsia" w:ascii="仿宋_GB2312" w:hAnsi="Calibri" w:eastAsia="仿宋_GB2312"/>
          <w:sz w:val="32"/>
          <w:szCs w:val="32"/>
        </w:rPr>
        <w:t>人。在岗人员中，报社领导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Calibri" w:eastAsia="仿宋_GB2312"/>
          <w:sz w:val="32"/>
          <w:szCs w:val="32"/>
        </w:rPr>
        <w:t>人，集团领导2人，日报编辑部12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</w:t>
      </w:r>
      <w:r>
        <w:rPr>
          <w:rFonts w:hint="eastAsia" w:ascii="仿宋_GB2312" w:hAnsi="Calibri" w:eastAsia="仿宋_GB2312"/>
          <w:sz w:val="32"/>
          <w:szCs w:val="32"/>
        </w:rPr>
        <w:t>人，集团内其他部门人员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667</w:t>
      </w:r>
      <w:r>
        <w:rPr>
          <w:rFonts w:hint="eastAsia" w:ascii="仿宋_GB2312" w:hAnsi="Calibri" w:eastAsia="仿宋_GB2312"/>
          <w:sz w:val="32"/>
          <w:szCs w:val="32"/>
        </w:rPr>
        <w:t>人，子公司32人，参股公司6人。</w:t>
      </w:r>
    </w:p>
    <w:p>
      <w:pPr>
        <w:widowControl w:val="0"/>
        <w:numPr>
          <w:ilvl w:val="0"/>
          <w:numId w:val="0"/>
        </w:numPr>
        <w:wordWrap/>
        <w:adjustRightInd w:val="0"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Calibri" w:eastAsia="仿宋_GB2312"/>
          <w:sz w:val="32"/>
          <w:szCs w:val="32"/>
        </w:rPr>
      </w:pPr>
      <w:r>
        <w:rPr>
          <w:rFonts w:hint="eastAsia" w:ascii="仿宋_GB2312" w:hAnsi="Calibri" w:eastAsia="仿宋_GB2312"/>
          <w:sz w:val="32"/>
          <w:szCs w:val="32"/>
        </w:rPr>
        <w:t>在岗人员平均年龄4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6</w:t>
      </w:r>
      <w:r>
        <w:rPr>
          <w:rFonts w:hint="eastAsia" w:ascii="仿宋_GB2312" w:hAnsi="Calibri" w:eastAsia="仿宋_GB2312"/>
          <w:sz w:val="32"/>
          <w:szCs w:val="32"/>
        </w:rPr>
        <w:t>.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Calibri" w:eastAsia="仿宋_GB2312"/>
          <w:sz w:val="32"/>
          <w:szCs w:val="32"/>
        </w:rPr>
        <w:t>岁。学历情况：研究生学历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17</w:t>
      </w:r>
      <w:r>
        <w:rPr>
          <w:rFonts w:hint="eastAsia" w:ascii="仿宋_GB2312" w:hAnsi="Calibri" w:eastAsia="仿宋_GB2312"/>
          <w:sz w:val="32"/>
          <w:szCs w:val="32"/>
        </w:rPr>
        <w:t>人，本科学历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384</w:t>
      </w:r>
      <w:r>
        <w:rPr>
          <w:rFonts w:hint="eastAsia" w:ascii="仿宋_GB2312" w:hAnsi="Calibri" w:eastAsia="仿宋_GB2312"/>
          <w:sz w:val="32"/>
          <w:szCs w:val="32"/>
        </w:rPr>
        <w:t>人、大专学历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208</w:t>
      </w:r>
      <w:r>
        <w:rPr>
          <w:rFonts w:hint="eastAsia" w:ascii="仿宋_GB2312" w:hAnsi="Calibri" w:eastAsia="仿宋_GB2312"/>
          <w:sz w:val="32"/>
          <w:szCs w:val="32"/>
        </w:rPr>
        <w:t>人。</w:t>
      </w:r>
    </w:p>
    <w:p>
      <w:pPr>
        <w:pStyle w:val="2"/>
        <w:rPr>
          <w:rFonts w:hint="eastAsia" w:eastAsia="仿宋_GB2312"/>
          <w:highlight w:val="none"/>
          <w:lang w:val="en-US" w:eastAsia="zh-CN"/>
        </w:rPr>
      </w:pPr>
      <w:r>
        <w:rPr>
          <w:rFonts w:hint="eastAsia" w:ascii="仿宋_GB2312" w:hAnsi="Calibri" w:eastAsia="仿宋_GB2312"/>
          <w:sz w:val="32"/>
          <w:szCs w:val="32"/>
          <w:lang w:val="en-US" w:eastAsia="zh-CN"/>
        </w:rPr>
        <w:t xml:space="preserve">   </w:t>
      </w:r>
      <w:r>
        <w:rPr>
          <w:rFonts w:hint="eastAsia" w:ascii="仿宋_GB2312" w:hAnsi="Calibri" w:eastAsia="仿宋_GB2312"/>
          <w:sz w:val="32"/>
          <w:szCs w:val="32"/>
          <w:highlight w:val="none"/>
          <w:lang w:val="en-US" w:eastAsia="zh-CN"/>
        </w:rPr>
        <w:t xml:space="preserve"> 4、资产情况：截止到2022年底，报社（集团）资产总额为47511万元，其中固定资产净值39539万元。</w:t>
      </w:r>
    </w:p>
    <w:p>
      <w:pPr>
        <w:widowControl w:val="0"/>
        <w:numPr>
          <w:ilvl w:val="0"/>
          <w:numId w:val="0"/>
        </w:numPr>
        <w:wordWrap/>
        <w:adjustRightInd w:val="0"/>
        <w:snapToGrid w:val="0"/>
        <w:spacing w:line="560" w:lineRule="exact"/>
        <w:ind w:right="0" w:rightChars="0" w:firstLine="643" w:firstLineChars="200"/>
        <w:textAlignment w:val="auto"/>
        <w:outlineLvl w:val="9"/>
        <w:rPr>
          <w:rFonts w:hint="eastAsia" w:ascii="楷体" w:hAnsi="楷体" w:eastAsia="楷体" w:cs="楷体"/>
          <w:b/>
          <w:bCs/>
          <w:sz w:val="32"/>
          <w:szCs w:val="32"/>
          <w:lang w:eastAsia="zh-CN"/>
        </w:rPr>
      </w:pPr>
      <w:r>
        <w:rPr>
          <w:rFonts w:hint="eastAsia" w:ascii="楷体" w:hAnsi="楷体" w:eastAsia="楷体" w:cs="楷体"/>
          <w:b/>
          <w:bCs/>
          <w:sz w:val="32"/>
          <w:szCs w:val="32"/>
          <w:lang w:eastAsia="zh-CN"/>
        </w:rPr>
        <w:t>（</w:t>
      </w:r>
      <w:r>
        <w:rPr>
          <w:rFonts w:hint="eastAsia" w:ascii="楷体" w:hAnsi="楷体" w:eastAsia="楷体" w:cs="楷体"/>
          <w:b/>
          <w:bCs/>
          <w:sz w:val="32"/>
          <w:szCs w:val="32"/>
          <w:lang w:val="en-US" w:eastAsia="zh-CN"/>
        </w:rPr>
        <w:t>二</w:t>
      </w:r>
      <w:r>
        <w:rPr>
          <w:rFonts w:hint="eastAsia" w:ascii="楷体" w:hAnsi="楷体" w:eastAsia="楷体" w:cs="楷体"/>
          <w:b/>
          <w:bCs/>
          <w:sz w:val="32"/>
          <w:szCs w:val="32"/>
          <w:lang w:eastAsia="zh-CN"/>
        </w:rPr>
        <w:t>）部门收支预决算情况</w:t>
      </w:r>
    </w:p>
    <w:p>
      <w:pPr>
        <w:widowControl w:val="0"/>
        <w:numPr>
          <w:ilvl w:val="0"/>
          <w:numId w:val="0"/>
        </w:numPr>
        <w:wordWrap/>
        <w:adjustRightInd w:val="0"/>
        <w:snapToGrid w:val="0"/>
        <w:spacing w:line="560" w:lineRule="exact"/>
        <w:ind w:leftChars="200" w:right="0" w:rightChars="0" w:firstLine="640" w:firstLineChars="200"/>
        <w:textAlignment w:val="auto"/>
        <w:outlineLvl w:val="9"/>
        <w:rPr>
          <w:rFonts w:hint="eastAsia" w:ascii="仿宋" w:hAnsi="仿宋" w:eastAsia="仿宋" w:cs="楷体_GB2312"/>
          <w:b/>
          <w:bCs/>
          <w:sz w:val="32"/>
          <w:szCs w:val="32"/>
          <w:highlight w:val="none"/>
          <w:lang w:eastAsia="zh-CN"/>
        </w:rPr>
      </w:pP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val="en-US" w:eastAsia="zh-CN"/>
        </w:rPr>
        <w:t>2022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  <w:highlight w:val="none"/>
          <w:lang w:val="en-US" w:eastAsia="zh-CN"/>
        </w:rPr>
        <w:t>年度决算总收入16552万元，其中，广告收入1165万元，报纸收入4838万元，房租收入1554万元。决算总支出16484万元。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（三）</w:t>
      </w:r>
      <w:r>
        <w:rPr>
          <w:rFonts w:hint="eastAsia" w:ascii="楷体" w:hAnsi="楷体" w:eastAsia="楷体" w:cs="楷体"/>
          <w:b/>
          <w:bCs/>
          <w:sz w:val="32"/>
          <w:szCs w:val="32"/>
          <w:lang w:eastAsia="zh-CN"/>
        </w:rPr>
        <w:t>部门整体支出绩效目标、指标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参见部门预算绩效文本</w:t>
      </w:r>
      <w:r>
        <w:rPr>
          <w:rFonts w:hint="eastAsia" w:ascii="仿宋" w:hAnsi="仿宋" w:eastAsia="仿宋"/>
          <w:sz w:val="32"/>
          <w:szCs w:val="32"/>
        </w:rPr>
        <w:t>绩效目标</w:t>
      </w:r>
      <w:r>
        <w:rPr>
          <w:rFonts w:hint="eastAsia" w:ascii="仿宋" w:hAnsi="仿宋" w:eastAsia="仿宋"/>
          <w:sz w:val="32"/>
          <w:szCs w:val="32"/>
          <w:lang w:eastAsia="zh-CN"/>
        </w:rPr>
        <w:t>、指标。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</w:t>
      </w:r>
      <w:r>
        <w:rPr>
          <w:rFonts w:hint="eastAsia" w:ascii="黑体" w:hAnsi="黑体" w:eastAsia="黑体"/>
          <w:sz w:val="32"/>
          <w:szCs w:val="32"/>
          <w:lang w:eastAsia="zh-CN"/>
        </w:rPr>
        <w:t>开展</w:t>
      </w:r>
      <w:r>
        <w:rPr>
          <w:rFonts w:hint="eastAsia" w:ascii="黑体" w:hAnsi="黑体" w:eastAsia="黑体"/>
          <w:sz w:val="32"/>
          <w:szCs w:val="32"/>
        </w:rPr>
        <w:t>情况</w:t>
      </w:r>
    </w:p>
    <w:p>
      <w:pPr>
        <w:widowControl w:val="0"/>
        <w:wordWrap/>
        <w:spacing w:line="560" w:lineRule="exact"/>
        <w:ind w:left="0" w:leftChars="0" w:right="0" w:firstLine="64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（一）</w:t>
      </w:r>
      <w:r>
        <w:rPr>
          <w:rFonts w:hint="eastAsia" w:ascii="楷体" w:hAnsi="楷体" w:eastAsia="楷体" w:cs="楷体"/>
          <w:b/>
          <w:bCs/>
          <w:sz w:val="32"/>
          <w:szCs w:val="32"/>
        </w:rPr>
        <w:t>自评的组织工作</w:t>
      </w:r>
    </w:p>
    <w:p>
      <w:pPr>
        <w:widowControl w:val="0"/>
        <w:wordWrap/>
        <w:spacing w:line="560" w:lineRule="exact"/>
        <w:ind w:left="0" w:leftChars="0" w:right="0" w:firstLine="640"/>
        <w:textAlignment w:val="auto"/>
        <w:outlineLvl w:val="9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报社根据财政预算绩效管理工作要求，专门成立由报社领导班子参加的预算绩效评价领导小组，对此项工作进行研究、指导。由计划财务部、纪检监察室、经管办部门负责人参加的预算绩效管理领导小组办公室，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val="en-US" w:eastAsia="zh-CN"/>
        </w:rPr>
        <w:t>严格按照之前设定的指标进行工作评价。</w:t>
      </w:r>
    </w:p>
    <w:p>
      <w:pPr>
        <w:widowControl w:val="0"/>
        <w:numPr>
          <w:ilvl w:val="0"/>
          <w:numId w:val="2"/>
        </w:numPr>
        <w:wordWrap/>
        <w:spacing w:line="560" w:lineRule="exact"/>
        <w:ind w:left="642" w:leftChars="0" w:right="0" w:firstLine="0" w:firstLineChars="0"/>
        <w:textAlignment w:val="auto"/>
        <w:outlineLvl w:val="9"/>
        <w:rPr>
          <w:rFonts w:hint="eastAsia" w:ascii="楷体" w:hAnsi="楷体" w:eastAsia="楷体" w:cs="楷体"/>
          <w:b/>
          <w:bCs/>
          <w:sz w:val="32"/>
          <w:szCs w:val="32"/>
        </w:rPr>
      </w:pPr>
      <w:r>
        <w:rPr>
          <w:rFonts w:hint="eastAsia" w:ascii="楷体" w:hAnsi="楷体" w:eastAsia="楷体" w:cs="楷体"/>
          <w:b/>
          <w:bCs/>
          <w:sz w:val="32"/>
          <w:szCs w:val="32"/>
        </w:rPr>
        <w:t>自评的方法和过程</w:t>
      </w:r>
    </w:p>
    <w:p>
      <w:pPr>
        <w:widowControl w:val="0"/>
        <w:numPr>
          <w:ilvl w:val="0"/>
          <w:numId w:val="0"/>
        </w:numPr>
        <w:wordWrap/>
        <w:spacing w:line="240" w:lineRule="auto"/>
        <w:ind w:left="0" w:leftChars="0" w:right="0" w:rightChars="0" w:firstLine="640" w:firstLineChars="200"/>
        <w:textAlignment w:val="auto"/>
        <w:outlineLvl w:val="9"/>
        <w:rPr>
          <w:rFonts w:hint="eastAsia"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val="en-US" w:eastAsia="zh-CN"/>
        </w:rPr>
        <w:t>严格按照之前设定的预期绩效目标进行评价，做到事中控 制、监督，发行问题及时调整，事后评价考核，出具评价报告。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年初，召开全社预算绩效管理工作部署会，组织预算绩效管理业务培训会，要求各部门根据重点工作认真申报预算项目，与计划财务部做好对接，协调做好项目预算审核及项目绩。年中，实时关注预算到达数，统筹安排预算工作，推进预算执行进度。年末，对预算项目整体情况作出评价，并编制评价报告。</w:t>
      </w:r>
    </w:p>
    <w:p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hint="eastAsia" w:ascii="黑体" w:hAnsi="黑体" w:eastAsia="黑体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仿宋" w:hAnsi="仿宋" w:eastAsia="仿宋"/>
          <w:b/>
          <w:bCs/>
          <w:sz w:val="32"/>
          <w:szCs w:val="32"/>
        </w:rPr>
        <w:t xml:space="preserve"> </w:t>
      </w:r>
      <w:r>
        <w:rPr>
          <w:rFonts w:hint="eastAsia" w:ascii="黑体" w:hAnsi="黑体" w:eastAsia="黑体"/>
          <w:sz w:val="32"/>
          <w:szCs w:val="32"/>
        </w:rPr>
        <w:t>三、</w:t>
      </w:r>
      <w:r>
        <w:rPr>
          <w:rFonts w:hint="eastAsia" w:ascii="黑体" w:hAnsi="黑体" w:eastAsia="黑体"/>
          <w:sz w:val="32"/>
          <w:szCs w:val="32"/>
          <w:lang w:eastAsia="zh-CN"/>
        </w:rPr>
        <w:t>部门整体支出</w:t>
      </w:r>
      <w:r>
        <w:rPr>
          <w:rFonts w:hint="eastAsia" w:ascii="黑体" w:hAnsi="黑体" w:eastAsia="黑体"/>
          <w:sz w:val="32"/>
          <w:szCs w:val="32"/>
        </w:rPr>
        <w:t>绩效</w:t>
      </w:r>
      <w:r>
        <w:rPr>
          <w:rFonts w:hint="eastAsia" w:ascii="黑体" w:hAnsi="黑体" w:eastAsia="黑体"/>
          <w:sz w:val="32"/>
          <w:szCs w:val="32"/>
          <w:lang w:eastAsia="zh-CN"/>
        </w:rPr>
        <w:t>目标实现情况及指标分析</w:t>
      </w:r>
    </w:p>
    <w:p>
      <w:pPr>
        <w:widowControl w:val="0"/>
        <w:numPr>
          <w:ilvl w:val="0"/>
          <w:numId w:val="3"/>
        </w:numPr>
        <w:wordWrap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楷体" w:hAnsi="楷体" w:eastAsia="楷体" w:cs="楷体"/>
          <w:b/>
          <w:bCs/>
          <w:sz w:val="32"/>
          <w:szCs w:val="32"/>
        </w:rPr>
      </w:pPr>
      <w:r>
        <w:rPr>
          <w:rFonts w:hint="eastAsia" w:ascii="楷体" w:hAnsi="楷体" w:eastAsia="楷体" w:cs="楷体"/>
          <w:b/>
          <w:bCs/>
          <w:sz w:val="32"/>
          <w:szCs w:val="32"/>
          <w:lang w:eastAsia="zh-CN"/>
        </w:rPr>
        <w:t>总体绩效目标实现情况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石家庄日报社2022年一共对19个项目向财政局提出了预算申请，该19个项目均得到了预算支持，按照预算金额均用在了预算科目，预期绩效目标实现率达到90%以上。</w:t>
      </w:r>
    </w:p>
    <w:p>
      <w:pPr>
        <w:widowControl w:val="0"/>
        <w:numPr>
          <w:ilvl w:val="0"/>
          <w:numId w:val="3"/>
        </w:numPr>
        <w:wordWrap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楷体" w:hAnsi="楷体" w:eastAsia="楷体" w:cs="楷体"/>
          <w:b/>
          <w:bCs/>
          <w:sz w:val="32"/>
          <w:szCs w:val="32"/>
          <w:lang w:eastAsia="zh-CN"/>
        </w:rPr>
      </w:pPr>
      <w:r>
        <w:rPr>
          <w:rFonts w:hint="eastAsia" w:ascii="楷体" w:hAnsi="楷体" w:eastAsia="楷体" w:cs="楷体"/>
          <w:b/>
          <w:bCs/>
          <w:sz w:val="32"/>
          <w:szCs w:val="32"/>
          <w:lang w:eastAsia="zh-CN"/>
        </w:rPr>
        <w:t>分项绩效目标实现情况及指标分析</w:t>
      </w:r>
    </w:p>
    <w:p>
      <w:pPr>
        <w:pStyle w:val="2"/>
        <w:numPr>
          <w:ilvl w:val="0"/>
          <w:numId w:val="0"/>
        </w:numPr>
        <w:ind w:leftChars="200"/>
        <w:rPr>
          <w:rFonts w:hint="eastAsia"/>
          <w:lang w:eastAsia="zh-CN"/>
        </w:rPr>
      </w:pPr>
    </w:p>
    <w:tbl>
      <w:tblPr>
        <w:tblStyle w:val="6"/>
        <w:tblW w:w="8789" w:type="dxa"/>
        <w:tblInd w:w="25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1"/>
        <w:gridCol w:w="1275"/>
        <w:gridCol w:w="5387"/>
        <w:gridCol w:w="127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</w:rPr>
              <w:t>一级指标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</w:rPr>
              <w:t>二级指标</w:t>
            </w:r>
          </w:p>
        </w:tc>
        <w:tc>
          <w:tcPr>
            <w:tcW w:w="538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绩效目标完成情况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评价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6" w:hRule="atLeast"/>
        </w:trPr>
        <w:tc>
          <w:tcPr>
            <w:tcW w:w="851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</w:rPr>
              <w:t>产出指标（4</w:t>
            </w:r>
            <w:r>
              <w:rPr>
                <w:rFonts w:ascii="仿宋" w:hAnsi="仿宋" w:eastAsia="仿宋" w:cs="宋体"/>
                <w:kern w:val="0"/>
                <w:sz w:val="20"/>
                <w:szCs w:val="20"/>
              </w:rPr>
              <w:t>0</w:t>
            </w:r>
            <w:r>
              <w:rPr>
                <w:rFonts w:hint="eastAsia" w:ascii="仿宋" w:hAnsi="仿宋" w:eastAsia="仿宋" w:cs="宋体"/>
                <w:kern w:val="0"/>
                <w:sz w:val="20"/>
                <w:szCs w:val="20"/>
              </w:rPr>
              <w:t>）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</w:rPr>
              <w:t>数量指标（1</w:t>
            </w:r>
            <w:r>
              <w:rPr>
                <w:rFonts w:ascii="仿宋" w:hAnsi="仿宋" w:eastAsia="仿宋" w:cs="宋体"/>
                <w:kern w:val="0"/>
                <w:sz w:val="20"/>
                <w:szCs w:val="20"/>
              </w:rPr>
              <w:t>0</w:t>
            </w:r>
            <w:r>
              <w:rPr>
                <w:rFonts w:hint="eastAsia" w:ascii="仿宋" w:hAnsi="仿宋" w:eastAsia="仿宋" w:cs="宋体"/>
                <w:kern w:val="0"/>
                <w:sz w:val="20"/>
                <w:szCs w:val="20"/>
              </w:rPr>
              <w:t>）</w:t>
            </w:r>
          </w:p>
        </w:tc>
        <w:tc>
          <w:tcPr>
            <w:tcW w:w="538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0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按照项目计划完成相应的次数，或者数量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9.26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54" w:hRule="atLeast"/>
        </w:trPr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</w:rPr>
              <w:t>质量指标（1</w:t>
            </w:r>
            <w:r>
              <w:rPr>
                <w:rFonts w:ascii="仿宋" w:hAnsi="仿宋" w:eastAsia="仿宋" w:cs="宋体"/>
                <w:kern w:val="0"/>
                <w:sz w:val="20"/>
                <w:szCs w:val="20"/>
              </w:rPr>
              <w:t>0</w:t>
            </w:r>
            <w:r>
              <w:rPr>
                <w:rFonts w:hint="eastAsia" w:ascii="仿宋" w:hAnsi="仿宋" w:eastAsia="仿宋" w:cs="宋体"/>
                <w:kern w:val="0"/>
                <w:sz w:val="20"/>
                <w:szCs w:val="20"/>
              </w:rPr>
              <w:t>）</w:t>
            </w:r>
          </w:p>
        </w:tc>
        <w:tc>
          <w:tcPr>
            <w:tcW w:w="538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0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按照项目计划预期完成所要求达到的水平、标准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9.37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1" w:hRule="atLeast"/>
        </w:trPr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</w:rPr>
              <w:t>时效指标（1</w:t>
            </w:r>
            <w:r>
              <w:rPr>
                <w:rFonts w:ascii="仿宋" w:hAnsi="仿宋" w:eastAsia="仿宋" w:cs="宋体"/>
                <w:kern w:val="0"/>
                <w:sz w:val="20"/>
                <w:szCs w:val="20"/>
              </w:rPr>
              <w:t>0</w:t>
            </w:r>
            <w:r>
              <w:rPr>
                <w:rFonts w:hint="eastAsia" w:ascii="仿宋" w:hAnsi="仿宋" w:eastAsia="仿宋" w:cs="宋体"/>
                <w:kern w:val="0"/>
                <w:sz w:val="20"/>
                <w:szCs w:val="20"/>
              </w:rPr>
              <w:t>）</w:t>
            </w:r>
          </w:p>
        </w:tc>
        <w:tc>
          <w:tcPr>
            <w:tcW w:w="538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0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</w:rPr>
              <w:t>按照既定时间完成了</w:t>
            </w: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相关工作</w:t>
            </w:r>
            <w:r>
              <w:rPr>
                <w:rFonts w:hint="eastAsia" w:ascii="仿宋" w:hAnsi="仿宋" w:eastAsia="仿宋" w:cs="宋体"/>
                <w:kern w:val="0"/>
                <w:sz w:val="20"/>
                <w:szCs w:val="20"/>
              </w:rPr>
              <w:t>。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hint="eastAsia" w:ascii="仿宋" w:hAnsi="仿宋" w:eastAsia="仿宋" w:cs="宋体"/>
                <w:kern w:val="0"/>
                <w:sz w:val="20"/>
                <w:szCs w:val="20"/>
              </w:rPr>
            </w:pPr>
            <w:r>
              <w:rPr>
                <w:rFonts w:ascii="仿宋" w:hAnsi="仿宋" w:eastAsia="仿宋" w:cs="宋体"/>
                <w:kern w:val="0"/>
                <w:sz w:val="20"/>
                <w:szCs w:val="20"/>
              </w:rPr>
              <w:t>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4" w:hRule="atLeast"/>
        </w:trPr>
        <w:tc>
          <w:tcPr>
            <w:tcW w:w="85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</w:rPr>
              <w:t>成本指标（1</w:t>
            </w:r>
            <w:r>
              <w:rPr>
                <w:rFonts w:ascii="仿宋" w:hAnsi="仿宋" w:eastAsia="仿宋" w:cs="宋体"/>
                <w:kern w:val="0"/>
                <w:sz w:val="20"/>
                <w:szCs w:val="20"/>
              </w:rPr>
              <w:t>0</w:t>
            </w:r>
            <w:r>
              <w:rPr>
                <w:rFonts w:hint="eastAsia" w:ascii="仿宋" w:hAnsi="仿宋" w:eastAsia="仿宋" w:cs="宋体"/>
                <w:kern w:val="0"/>
                <w:sz w:val="20"/>
                <w:szCs w:val="20"/>
              </w:rPr>
              <w:t>）</w:t>
            </w:r>
          </w:p>
        </w:tc>
        <w:tc>
          <w:tcPr>
            <w:tcW w:w="538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0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项目完成预期目标所发生的成本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9.42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5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</w:rPr>
              <w:t>预算执行率指标（1</w:t>
            </w:r>
            <w:r>
              <w:rPr>
                <w:rFonts w:ascii="仿宋" w:hAnsi="仿宋" w:eastAsia="仿宋" w:cs="宋体"/>
                <w:kern w:val="0"/>
                <w:sz w:val="20"/>
                <w:szCs w:val="20"/>
              </w:rPr>
              <w:t>0</w:t>
            </w:r>
            <w:r>
              <w:rPr>
                <w:rFonts w:hint="eastAsia" w:ascii="仿宋" w:hAnsi="仿宋" w:eastAsia="仿宋" w:cs="宋体"/>
                <w:kern w:val="0"/>
                <w:sz w:val="20"/>
                <w:szCs w:val="20"/>
              </w:rPr>
              <w:t>）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</w:rPr>
              <w:t>执行率指标（1</w:t>
            </w:r>
            <w:r>
              <w:rPr>
                <w:rFonts w:ascii="仿宋" w:hAnsi="仿宋" w:eastAsia="仿宋" w:cs="宋体"/>
                <w:kern w:val="0"/>
                <w:sz w:val="20"/>
                <w:szCs w:val="20"/>
              </w:rPr>
              <w:t>0</w:t>
            </w:r>
            <w:r>
              <w:rPr>
                <w:rFonts w:hint="eastAsia" w:ascii="仿宋" w:hAnsi="仿宋" w:eastAsia="仿宋" w:cs="宋体"/>
                <w:kern w:val="0"/>
                <w:sz w:val="20"/>
                <w:szCs w:val="20"/>
              </w:rPr>
              <w:t>）</w:t>
            </w:r>
          </w:p>
        </w:tc>
        <w:tc>
          <w:tcPr>
            <w:tcW w:w="538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0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</w:rPr>
              <w:t>围绕项目总体目标和阶段目标，按照各项费用支出及具体指标完成情况进行科学核算。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9.22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5" w:hRule="atLeast"/>
        </w:trPr>
        <w:tc>
          <w:tcPr>
            <w:tcW w:w="851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</w:rPr>
              <w:t>效益指标（4</w:t>
            </w:r>
            <w:r>
              <w:rPr>
                <w:rFonts w:ascii="仿宋" w:hAnsi="仿宋" w:eastAsia="仿宋" w:cs="宋体"/>
                <w:kern w:val="0"/>
                <w:sz w:val="20"/>
                <w:szCs w:val="20"/>
              </w:rPr>
              <w:t>0</w:t>
            </w:r>
            <w:r>
              <w:rPr>
                <w:rFonts w:hint="eastAsia" w:ascii="仿宋" w:hAnsi="仿宋" w:eastAsia="仿宋" w:cs="宋体"/>
                <w:kern w:val="0"/>
                <w:sz w:val="20"/>
                <w:szCs w:val="20"/>
              </w:rPr>
              <w:t>）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</w:rPr>
              <w:t>经济效益指标（1</w:t>
            </w:r>
            <w:r>
              <w:rPr>
                <w:rFonts w:ascii="仿宋" w:hAnsi="仿宋" w:eastAsia="仿宋" w:cs="宋体"/>
                <w:kern w:val="0"/>
                <w:sz w:val="20"/>
                <w:szCs w:val="20"/>
              </w:rPr>
              <w:t>0</w:t>
            </w:r>
            <w:r>
              <w:rPr>
                <w:rFonts w:hint="eastAsia" w:ascii="仿宋" w:hAnsi="仿宋" w:eastAsia="仿宋" w:cs="宋体"/>
                <w:kern w:val="0"/>
                <w:sz w:val="20"/>
                <w:szCs w:val="20"/>
              </w:rPr>
              <w:t>）</w:t>
            </w:r>
          </w:p>
        </w:tc>
        <w:tc>
          <w:tcPr>
            <w:tcW w:w="538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0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</w:rPr>
              <w:t>通过</w:t>
            </w: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预算项目相关产出</w:t>
            </w:r>
            <w:r>
              <w:rPr>
                <w:rFonts w:hint="eastAsia" w:ascii="仿宋" w:hAnsi="仿宋" w:eastAsia="仿宋" w:cs="宋体"/>
                <w:kern w:val="0"/>
                <w:sz w:val="20"/>
                <w:szCs w:val="20"/>
              </w:rPr>
              <w:t>，创造一定的经济效益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8.79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9" w:hRule="atLeast"/>
        </w:trPr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</w:rPr>
              <w:t>社会效益指标（1</w:t>
            </w:r>
            <w:r>
              <w:rPr>
                <w:rFonts w:ascii="仿宋" w:hAnsi="仿宋" w:eastAsia="仿宋" w:cs="宋体"/>
                <w:kern w:val="0"/>
                <w:sz w:val="20"/>
                <w:szCs w:val="20"/>
              </w:rPr>
              <w:t>0</w:t>
            </w:r>
            <w:r>
              <w:rPr>
                <w:rFonts w:hint="eastAsia" w:ascii="仿宋" w:hAnsi="仿宋" w:eastAsia="仿宋" w:cs="宋体"/>
                <w:kern w:val="0"/>
                <w:sz w:val="20"/>
                <w:szCs w:val="20"/>
              </w:rPr>
              <w:t>）</w:t>
            </w:r>
          </w:p>
        </w:tc>
        <w:tc>
          <w:tcPr>
            <w:tcW w:w="538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0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通过开展预算项目，创造一定的社会效益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5" w:hRule="atLeast"/>
        </w:trPr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</w:rPr>
              <w:t>生态效益指标（1</w:t>
            </w:r>
            <w:r>
              <w:rPr>
                <w:rFonts w:ascii="仿宋" w:hAnsi="仿宋" w:eastAsia="仿宋" w:cs="宋体"/>
                <w:kern w:val="0"/>
                <w:sz w:val="20"/>
                <w:szCs w:val="20"/>
              </w:rPr>
              <w:t>0</w:t>
            </w:r>
            <w:r>
              <w:rPr>
                <w:rFonts w:hint="eastAsia" w:ascii="仿宋" w:hAnsi="仿宋" w:eastAsia="仿宋" w:cs="宋体"/>
                <w:kern w:val="0"/>
                <w:sz w:val="20"/>
                <w:szCs w:val="20"/>
              </w:rPr>
              <w:t>）</w:t>
            </w:r>
          </w:p>
        </w:tc>
        <w:tc>
          <w:tcPr>
            <w:tcW w:w="538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0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通过预算项目相关产出，为自然环境带来积极影响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9.13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7" w:hRule="atLeast"/>
        </w:trPr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</w:rPr>
              <w:t>可持续影响指标（1</w:t>
            </w:r>
            <w:r>
              <w:rPr>
                <w:rFonts w:ascii="仿宋" w:hAnsi="仿宋" w:eastAsia="仿宋" w:cs="宋体"/>
                <w:kern w:val="0"/>
                <w:sz w:val="20"/>
                <w:szCs w:val="20"/>
              </w:rPr>
              <w:t>0</w:t>
            </w:r>
            <w:r>
              <w:rPr>
                <w:rFonts w:hint="eastAsia" w:ascii="仿宋" w:hAnsi="仿宋" w:eastAsia="仿宋" w:cs="宋体"/>
                <w:kern w:val="0"/>
                <w:sz w:val="20"/>
                <w:szCs w:val="20"/>
              </w:rPr>
              <w:t>）</w:t>
            </w:r>
          </w:p>
        </w:tc>
        <w:tc>
          <w:tcPr>
            <w:tcW w:w="538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0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通过开展预算项目，为相关项目带来可持续影响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9.47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7" w:hRule="atLeast"/>
        </w:trPr>
        <w:tc>
          <w:tcPr>
            <w:tcW w:w="8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</w:rPr>
              <w:t>满意度指标（1</w:t>
            </w:r>
            <w:r>
              <w:rPr>
                <w:rFonts w:ascii="仿宋" w:hAnsi="仿宋" w:eastAsia="仿宋" w:cs="宋体"/>
                <w:kern w:val="0"/>
                <w:sz w:val="20"/>
                <w:szCs w:val="20"/>
              </w:rPr>
              <w:t>0</w:t>
            </w:r>
            <w:r>
              <w:rPr>
                <w:rFonts w:hint="eastAsia" w:ascii="仿宋" w:hAnsi="仿宋" w:eastAsia="仿宋" w:cs="宋体"/>
                <w:kern w:val="0"/>
                <w:sz w:val="20"/>
                <w:szCs w:val="20"/>
              </w:rPr>
              <w:t>）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</w:rPr>
              <w:t>服务对象满意度指标（1</w:t>
            </w:r>
            <w:r>
              <w:rPr>
                <w:rFonts w:ascii="仿宋" w:hAnsi="仿宋" w:eastAsia="仿宋" w:cs="宋体"/>
                <w:kern w:val="0"/>
                <w:sz w:val="20"/>
                <w:szCs w:val="20"/>
              </w:rPr>
              <w:t>0</w:t>
            </w:r>
            <w:r>
              <w:rPr>
                <w:rFonts w:hint="eastAsia" w:ascii="仿宋" w:hAnsi="仿宋" w:eastAsia="仿宋" w:cs="宋体"/>
                <w:kern w:val="0"/>
                <w:sz w:val="20"/>
                <w:szCs w:val="20"/>
              </w:rPr>
              <w:t>）</w:t>
            </w:r>
          </w:p>
        </w:tc>
        <w:tc>
          <w:tcPr>
            <w:tcW w:w="538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0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通过预期项目产出，达到一定项目效果，是的项目受益人满意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9.37</w:t>
            </w:r>
          </w:p>
        </w:tc>
      </w:tr>
    </w:tbl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/>
          <w:sz w:val="32"/>
          <w:szCs w:val="32"/>
        </w:rPr>
      </w:pP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/>
          <w:sz w:val="32"/>
          <w:szCs w:val="32"/>
        </w:rPr>
      </w:pP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根据项目执行情况和项目绩效情况，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总体得分 93.03分，</w:t>
      </w:r>
      <w:r>
        <w:rPr>
          <w:rFonts w:hint="eastAsia" w:ascii="仿宋" w:hAnsi="仿宋" w:eastAsia="仿宋"/>
          <w:sz w:val="32"/>
          <w:szCs w:val="32"/>
        </w:rPr>
        <w:t>等级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为优秀</w:t>
      </w:r>
      <w:r>
        <w:rPr>
          <w:rFonts w:hint="eastAsia" w:ascii="仿宋" w:hAnsi="仿宋" w:eastAsia="仿宋"/>
          <w:sz w:val="32"/>
          <w:szCs w:val="32"/>
        </w:rPr>
        <w:t>。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>
      <w:pPr>
        <w:widowControl w:val="0"/>
        <w:wordWrap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楷体" w:hAnsi="楷体" w:eastAsia="楷体" w:cs="楷体"/>
          <w:b/>
          <w:bCs/>
          <w:sz w:val="32"/>
          <w:szCs w:val="32"/>
        </w:rPr>
      </w:pPr>
      <w:r>
        <w:rPr>
          <w:rFonts w:hint="eastAsia" w:ascii="楷体" w:hAnsi="楷体" w:eastAsia="楷体" w:cs="楷体"/>
          <w:b/>
          <w:bCs/>
          <w:sz w:val="32"/>
          <w:szCs w:val="32"/>
        </w:rPr>
        <w:t>（一）存在的主要问题</w:t>
      </w:r>
    </w:p>
    <w:p>
      <w:pPr>
        <w:pStyle w:val="2"/>
        <w:ind w:firstLine="640" w:firstLineChars="200"/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1、由于新冠疫情的影响，在一定程度上影响了个别项目的实施，导致极个别项目计划进度有延迟。</w:t>
      </w:r>
    </w:p>
    <w:p>
      <w:pPr>
        <w:rPr>
          <w:rFonts w:hint="eastAsia"/>
          <w:lang w:val="en-US" w:eastAsia="zh-CN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 xml:space="preserve">    2、由于部分项目资金拨付时间与实际项目进行时间有延迟，导致部分项目2022年底之前未支付完全部资金。</w:t>
      </w:r>
    </w:p>
    <w:p>
      <w:pPr>
        <w:widowControl w:val="0"/>
        <w:wordWrap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楷体" w:hAnsi="楷体" w:eastAsia="楷体" w:cs="楷体"/>
          <w:b/>
          <w:bCs/>
          <w:sz w:val="32"/>
          <w:szCs w:val="32"/>
        </w:rPr>
      </w:pPr>
      <w:r>
        <w:rPr>
          <w:rFonts w:hint="eastAsia" w:ascii="楷体" w:hAnsi="楷体" w:eastAsia="楷体" w:cs="楷体"/>
          <w:b/>
          <w:bCs/>
          <w:sz w:val="32"/>
          <w:szCs w:val="32"/>
        </w:rPr>
        <w:t>（二）针对问题提出具体的改进措施或建议</w:t>
      </w:r>
    </w:p>
    <w:p>
      <w:pPr>
        <w:pStyle w:val="2"/>
        <w:ind w:firstLine="640"/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lang w:val="en-US" w:eastAsia="zh-CN"/>
        </w:rPr>
        <w:t>1、疫情已经结束，新的一年预算项目会提前安排，预留充足时间保证项目正常运行。</w:t>
      </w:r>
    </w:p>
    <w:p>
      <w:pPr>
        <w:pStyle w:val="2"/>
        <w:ind w:firstLine="640"/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2、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对自评结果进行通报反馈，将相关情况反馈到项目执行部室，对项目进行总结回顾，查漏补缺，对需要改进的地方积极反思，创新工作方式方法，不断完善项目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，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优化部门支出结构。</w:t>
      </w:r>
    </w:p>
    <w:p>
      <w:pPr>
        <w:ind w:firstLine="640"/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lang w:val="en-US" w:eastAsia="zh-CN"/>
        </w:rPr>
        <w:t>3、及时申报预算资金，协调好项目进行与预算下达的时间，避免出现较大的时间冲突，影响项目进行。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120" w:afterAutospacing="0" w:line="480" w:lineRule="atLeast"/>
        <w:ind w:right="0" w:firstLine="640" w:firstLineChars="200"/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lang w:val="en-US" w:eastAsia="zh-CN"/>
        </w:rPr>
        <w:t>4、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进一步建立健全预算管理和专项资金管理制度，加强资金监管，明确工作责任，将项目预算执行情况与年终考核挂钩，提升工作积极性，从而促进项目预算的有序进行。</w:t>
      </w:r>
    </w:p>
    <w:p>
      <w:pPr>
        <w:pStyle w:val="2"/>
        <w:ind w:firstLine="480" w:firstLineChars="200"/>
      </w:pPr>
    </w:p>
    <w:p>
      <w:pPr>
        <w:widowControl w:val="0"/>
        <w:numPr>
          <w:ilvl w:val="0"/>
          <w:numId w:val="4"/>
        </w:numPr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评价工作组人员名单及签字（姓名、工作单位、职务、职称）</w:t>
      </w:r>
    </w:p>
    <w:p>
      <w:pPr>
        <w:pStyle w:val="2"/>
        <w:rPr>
          <w:rFonts w:hint="eastAsia" w:ascii="黑体" w:hAnsi="黑体" w:eastAsia="黑体" w:cs="黑体"/>
          <w:sz w:val="32"/>
          <w:szCs w:val="32"/>
        </w:rPr>
      </w:pPr>
    </w:p>
    <w:p>
      <w:pPr>
        <w:rPr>
          <w:rFonts w:hint="eastAsia"/>
        </w:rPr>
      </w:pPr>
    </w:p>
    <w:p>
      <w:pPr>
        <w:pStyle w:val="2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 xml:space="preserve"> </w:t>
      </w:r>
    </w:p>
    <w:tbl>
      <w:tblPr>
        <w:tblStyle w:val="6"/>
        <w:tblW w:w="8835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050"/>
        <w:gridCol w:w="2049"/>
        <w:gridCol w:w="2580"/>
        <w:gridCol w:w="1477"/>
        <w:gridCol w:w="1679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6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姓名</w:t>
            </w:r>
          </w:p>
        </w:tc>
        <w:tc>
          <w:tcPr>
            <w:tcW w:w="2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工作单位</w:t>
            </w:r>
          </w:p>
        </w:tc>
        <w:tc>
          <w:tcPr>
            <w:tcW w:w="2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职务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职称</w:t>
            </w:r>
          </w:p>
        </w:tc>
        <w:tc>
          <w:tcPr>
            <w:tcW w:w="1679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签字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auto"/>
                <w:sz w:val="28"/>
                <w:szCs w:val="28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auto"/>
                <w:sz w:val="28"/>
                <w:szCs w:val="28"/>
                <w:u w:val="none"/>
                <w:lang w:val="en-US" w:eastAsia="zh-CN"/>
              </w:rPr>
              <w:t>范文龙</w:t>
            </w:r>
          </w:p>
        </w:tc>
        <w:tc>
          <w:tcPr>
            <w:tcW w:w="2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lang w:val="en-US" w:eastAsia="zh-CN"/>
              </w:rPr>
              <w:t xml:space="preserve"> 石家庄日报社</w:t>
            </w:r>
          </w:p>
        </w:tc>
        <w:tc>
          <w:tcPr>
            <w:tcW w:w="2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auto"/>
                <w:sz w:val="28"/>
                <w:szCs w:val="28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auto"/>
                <w:sz w:val="28"/>
                <w:szCs w:val="28"/>
                <w:u w:val="none"/>
                <w:lang w:val="en-US" w:eastAsia="zh-CN"/>
              </w:rPr>
              <w:t>社长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auto"/>
                <w:sz w:val="28"/>
                <w:szCs w:val="2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auto"/>
                <w:sz w:val="28"/>
                <w:szCs w:val="28"/>
                <w:u w:val="none"/>
                <w:lang w:val="en-US" w:eastAsia="zh-CN"/>
              </w:rPr>
              <w:t>正高</w:t>
            </w:r>
          </w:p>
        </w:tc>
        <w:tc>
          <w:tcPr>
            <w:tcW w:w="1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auto"/>
                <w:sz w:val="28"/>
                <w:szCs w:val="2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auto"/>
                <w:sz w:val="28"/>
                <w:szCs w:val="28"/>
                <w:u w:val="none"/>
                <w:lang w:val="en-US" w:eastAsia="zh-CN"/>
              </w:rPr>
              <w:t>范文龙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auto"/>
                <w:sz w:val="28"/>
                <w:szCs w:val="2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auto"/>
                <w:sz w:val="28"/>
                <w:szCs w:val="28"/>
                <w:u w:val="none"/>
                <w:lang w:val="en-US" w:eastAsia="zh-CN"/>
              </w:rPr>
              <w:t>谷志伟</w:t>
            </w:r>
          </w:p>
        </w:tc>
        <w:tc>
          <w:tcPr>
            <w:tcW w:w="2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auto"/>
                <w:sz w:val="28"/>
                <w:szCs w:val="28"/>
                <w:u w:val="none"/>
              </w:rPr>
            </w:pPr>
            <w:sdt>
              <w:sdtPr>
                <w:rPr>
                  <w:rFonts w:hint="eastAsia" w:ascii="仿宋" w:hAnsi="仿宋" w:eastAsia="仿宋" w:cs="仿宋"/>
                  <w:color w:val="auto"/>
                  <w:sz w:val="28"/>
                  <w:szCs w:val="28"/>
                </w:rPr>
                <w:alias w:val="敏感词检查"/>
                <w:id w:val="100840"/>
                <w:showingPlcHdr/>
              </w:sdtPr>
              <w:sdtEndPr>
                <w:rPr>
                  <w:rFonts w:hint="eastAsia" w:ascii="仿宋" w:hAnsi="仿宋" w:eastAsia="仿宋" w:cs="仿宋"/>
                  <w:color w:val="auto"/>
                  <w:sz w:val="28"/>
                  <w:szCs w:val="28"/>
                </w:rPr>
              </w:sdtEndPr>
              <w:sdtContent/>
            </w:sdt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lang w:val="en-US" w:eastAsia="zh-CN"/>
              </w:rPr>
              <w:t xml:space="preserve"> 石家庄日报社</w:t>
            </w:r>
          </w:p>
        </w:tc>
        <w:tc>
          <w:tcPr>
            <w:tcW w:w="2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auto"/>
                <w:sz w:val="28"/>
                <w:szCs w:val="28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auto"/>
                <w:sz w:val="28"/>
                <w:szCs w:val="28"/>
                <w:u w:val="none"/>
                <w:lang w:val="en-US" w:eastAsia="zh-CN"/>
              </w:rPr>
              <w:t>总会计师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auto"/>
                <w:sz w:val="28"/>
                <w:szCs w:val="2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auto"/>
                <w:sz w:val="28"/>
                <w:szCs w:val="28"/>
                <w:u w:val="none"/>
                <w:lang w:val="en-US" w:eastAsia="zh-CN"/>
              </w:rPr>
              <w:t>副高</w:t>
            </w:r>
          </w:p>
        </w:tc>
        <w:tc>
          <w:tcPr>
            <w:tcW w:w="1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auto"/>
                <w:sz w:val="28"/>
                <w:szCs w:val="2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auto"/>
                <w:sz w:val="28"/>
                <w:szCs w:val="28"/>
                <w:u w:val="none"/>
                <w:lang w:val="en-US" w:eastAsia="zh-CN"/>
              </w:rPr>
              <w:t>谷志伟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auto"/>
                <w:sz w:val="28"/>
                <w:szCs w:val="2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auto"/>
                <w:sz w:val="28"/>
                <w:szCs w:val="28"/>
                <w:u w:val="none"/>
                <w:lang w:val="en-US" w:eastAsia="zh-CN"/>
              </w:rPr>
              <w:t>胡晓蕾</w:t>
            </w:r>
          </w:p>
        </w:tc>
        <w:tc>
          <w:tcPr>
            <w:tcW w:w="2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auto"/>
                <w:sz w:val="28"/>
                <w:szCs w:val="28"/>
                <w:u w:val="none"/>
              </w:rPr>
            </w:pPr>
            <w:sdt>
              <w:sdtPr>
                <w:rPr>
                  <w:rFonts w:hint="eastAsia" w:ascii="仿宋" w:hAnsi="仿宋" w:eastAsia="仿宋" w:cs="仿宋"/>
                  <w:color w:val="auto"/>
                  <w:sz w:val="28"/>
                  <w:szCs w:val="28"/>
                </w:rPr>
                <w:alias w:val="敏感词检查"/>
                <w:id w:val="2012241"/>
                <w:showingPlcHdr/>
              </w:sdtPr>
              <w:sdtEndPr>
                <w:rPr>
                  <w:rFonts w:hint="eastAsia" w:ascii="仿宋" w:hAnsi="仿宋" w:eastAsia="仿宋" w:cs="仿宋"/>
                  <w:color w:val="auto"/>
                  <w:sz w:val="28"/>
                  <w:szCs w:val="28"/>
                </w:rPr>
              </w:sdtEndPr>
              <w:sdtContent/>
            </w:sdt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lang w:val="en-US" w:eastAsia="zh-CN"/>
              </w:rPr>
              <w:t xml:space="preserve"> 石家庄日报社</w:t>
            </w:r>
          </w:p>
        </w:tc>
        <w:tc>
          <w:tcPr>
            <w:tcW w:w="2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auto"/>
                <w:sz w:val="28"/>
                <w:szCs w:val="28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auto"/>
                <w:sz w:val="28"/>
                <w:szCs w:val="28"/>
                <w:u w:val="none"/>
                <w:lang w:val="en-US" w:eastAsia="zh-CN"/>
              </w:rPr>
              <w:t>计划财务部主任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auto"/>
                <w:sz w:val="28"/>
                <w:szCs w:val="2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auto"/>
                <w:sz w:val="28"/>
                <w:szCs w:val="28"/>
                <w:u w:val="none"/>
                <w:lang w:val="en-US" w:eastAsia="zh-CN"/>
              </w:rPr>
              <w:t>中级经济师</w:t>
            </w:r>
          </w:p>
        </w:tc>
        <w:tc>
          <w:tcPr>
            <w:tcW w:w="1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auto"/>
                <w:sz w:val="28"/>
                <w:szCs w:val="2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auto"/>
                <w:sz w:val="28"/>
                <w:szCs w:val="28"/>
                <w:u w:val="none"/>
                <w:lang w:val="en-US" w:eastAsia="zh-CN"/>
              </w:rPr>
              <w:t>胡晓蕾</w:t>
            </w:r>
            <w:bookmarkStart w:id="0" w:name="_GoBack"/>
            <w:bookmarkEnd w:id="0"/>
          </w:p>
        </w:tc>
      </w:tr>
    </w:tbl>
    <w:p>
      <w:pPr>
        <w:pStyle w:val="2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 xml:space="preserve">   </w:t>
      </w:r>
    </w:p>
    <w:p>
      <w:pPr>
        <w:pStyle w:val="2"/>
        <w:rPr>
          <w:rFonts w:hint="eastAsia" w:ascii="仿宋" w:hAnsi="仿宋" w:eastAsia="仿宋" w:cs="仿宋"/>
          <w:sz w:val="30"/>
          <w:szCs w:val="30"/>
          <w:lang w:val="en-US" w:eastAsia="zh-CN"/>
        </w:rPr>
      </w:pPr>
    </w:p>
    <w:p>
      <w:pPr>
        <w:ind w:firstLine="6900" w:firstLineChars="2300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石家庄日报社</w:t>
      </w:r>
    </w:p>
    <w:p>
      <w:pPr>
        <w:pStyle w:val="2"/>
        <w:ind w:firstLine="6600" w:firstLineChars="2200"/>
        <w:rPr>
          <w:rFonts w:hint="eastAsia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2023年4月18号</w:t>
      </w: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rFonts w:ascii="Calibri" w:hAnsi="Calibri" w:eastAsia="宋体" w:cs="黑体"/>
        <w:kern w:val="2"/>
        <w:sz w:val="18"/>
        <w:szCs w:val="22"/>
        <w:lang w:val="en-US" w:eastAsia="zh-CN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Quad Arrow 3073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leftChars="0" w:firstLine="0" w:firstLineChars="0"/>
      </w:pPr>
      <w:rPr>
        <w:rFonts w:hint="eastAsia"/>
      </w:rPr>
    </w:lvl>
  </w:abstractNum>
  <w:abstractNum w:abstractNumId="1">
    <w:nsid w:val="15120C12"/>
    <w:multiLevelType w:val="singleLevel"/>
    <w:tmpl w:val="15120C12"/>
    <w:lvl w:ilvl="0" w:tentative="0">
      <w:start w:val="1"/>
      <w:numFmt w:val="decimal"/>
      <w:suff w:val="nothing"/>
      <w:lvlText w:val="%1、"/>
      <w:lvlJc w:val="left"/>
    </w:lvl>
  </w:abstractNum>
  <w:abstractNum w:abstractNumId="2">
    <w:nsid w:val="590EBB47"/>
    <w:multiLevelType w:val="singleLevel"/>
    <w:tmpl w:val="590EBB47"/>
    <w:lvl w:ilvl="0" w:tentative="0">
      <w:start w:val="6"/>
      <w:numFmt w:val="chineseCounting"/>
      <w:suff w:val="nothing"/>
      <w:lvlText w:val="%1、"/>
      <w:lvlJc w:val="left"/>
      <w:rPr>
        <w:rFonts w:hint="eastAsia"/>
      </w:rPr>
    </w:lvl>
  </w:abstractNum>
  <w:abstractNum w:abstractNumId="3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Y5NzI4OGIwMGJjMDJlYjhhOWE1NzFhMjNkMmQ1OWYifQ=="/>
  </w:docVars>
  <w:rsids>
    <w:rsidRoot w:val="0EBD2122"/>
    <w:rsid w:val="007E6C1F"/>
    <w:rsid w:val="00AF566A"/>
    <w:rsid w:val="00B6553A"/>
    <w:rsid w:val="01B104CA"/>
    <w:rsid w:val="02106AB0"/>
    <w:rsid w:val="02B43A28"/>
    <w:rsid w:val="02D532E6"/>
    <w:rsid w:val="04100C6F"/>
    <w:rsid w:val="046F331E"/>
    <w:rsid w:val="051B3E59"/>
    <w:rsid w:val="05895460"/>
    <w:rsid w:val="07956271"/>
    <w:rsid w:val="086F6A76"/>
    <w:rsid w:val="093500AE"/>
    <w:rsid w:val="09670A9C"/>
    <w:rsid w:val="09721397"/>
    <w:rsid w:val="0A3C0970"/>
    <w:rsid w:val="0B1D5FBC"/>
    <w:rsid w:val="0BB63BED"/>
    <w:rsid w:val="0C6957F4"/>
    <w:rsid w:val="0CDA115D"/>
    <w:rsid w:val="0EB97A43"/>
    <w:rsid w:val="0EBD2122"/>
    <w:rsid w:val="0F214EAE"/>
    <w:rsid w:val="10244E9E"/>
    <w:rsid w:val="10DF4E54"/>
    <w:rsid w:val="112D155D"/>
    <w:rsid w:val="11B13BB0"/>
    <w:rsid w:val="11B71E6A"/>
    <w:rsid w:val="11FB3EB3"/>
    <w:rsid w:val="13B04AB8"/>
    <w:rsid w:val="15987545"/>
    <w:rsid w:val="15B1253E"/>
    <w:rsid w:val="16444F74"/>
    <w:rsid w:val="17AF51A5"/>
    <w:rsid w:val="17C96935"/>
    <w:rsid w:val="18801544"/>
    <w:rsid w:val="1881382C"/>
    <w:rsid w:val="18CE5ABA"/>
    <w:rsid w:val="18E3653C"/>
    <w:rsid w:val="18EE4D73"/>
    <w:rsid w:val="1A303FDF"/>
    <w:rsid w:val="1A5448F8"/>
    <w:rsid w:val="1AAF0063"/>
    <w:rsid w:val="1BE140DE"/>
    <w:rsid w:val="1D111B5B"/>
    <w:rsid w:val="1E503331"/>
    <w:rsid w:val="1F580400"/>
    <w:rsid w:val="1FC91190"/>
    <w:rsid w:val="23087025"/>
    <w:rsid w:val="232A0CD1"/>
    <w:rsid w:val="24376D95"/>
    <w:rsid w:val="248C197D"/>
    <w:rsid w:val="24D5412D"/>
    <w:rsid w:val="252959AF"/>
    <w:rsid w:val="254314F4"/>
    <w:rsid w:val="277A6671"/>
    <w:rsid w:val="282662BB"/>
    <w:rsid w:val="28DC6626"/>
    <w:rsid w:val="28F06189"/>
    <w:rsid w:val="292D35B7"/>
    <w:rsid w:val="2BD67F16"/>
    <w:rsid w:val="2D524219"/>
    <w:rsid w:val="2D635F2C"/>
    <w:rsid w:val="2F9C49E3"/>
    <w:rsid w:val="30666A13"/>
    <w:rsid w:val="3216769E"/>
    <w:rsid w:val="3329018A"/>
    <w:rsid w:val="338F118E"/>
    <w:rsid w:val="33EB6CFF"/>
    <w:rsid w:val="353016FF"/>
    <w:rsid w:val="35A12947"/>
    <w:rsid w:val="37387040"/>
    <w:rsid w:val="3B625C0A"/>
    <w:rsid w:val="3B716BD9"/>
    <w:rsid w:val="3C2D0D52"/>
    <w:rsid w:val="3CEE1963"/>
    <w:rsid w:val="3F557C37"/>
    <w:rsid w:val="41C15A00"/>
    <w:rsid w:val="450617EE"/>
    <w:rsid w:val="48CB47F6"/>
    <w:rsid w:val="4A1452FF"/>
    <w:rsid w:val="4B047121"/>
    <w:rsid w:val="4C9C27FE"/>
    <w:rsid w:val="505C7C3B"/>
    <w:rsid w:val="512260B4"/>
    <w:rsid w:val="52BD6ACB"/>
    <w:rsid w:val="54427E9B"/>
    <w:rsid w:val="54E73DDC"/>
    <w:rsid w:val="54ED2F3C"/>
    <w:rsid w:val="55000C8A"/>
    <w:rsid w:val="55537534"/>
    <w:rsid w:val="561A74F1"/>
    <w:rsid w:val="56A10075"/>
    <w:rsid w:val="56EA2885"/>
    <w:rsid w:val="5763354D"/>
    <w:rsid w:val="5763657F"/>
    <w:rsid w:val="57B7626F"/>
    <w:rsid w:val="58CD149A"/>
    <w:rsid w:val="5969781B"/>
    <w:rsid w:val="597244E8"/>
    <w:rsid w:val="5B155711"/>
    <w:rsid w:val="5C32162B"/>
    <w:rsid w:val="5C7C7306"/>
    <w:rsid w:val="5E700488"/>
    <w:rsid w:val="5EB71C30"/>
    <w:rsid w:val="6315288F"/>
    <w:rsid w:val="63C756BC"/>
    <w:rsid w:val="6568097C"/>
    <w:rsid w:val="66AF0CE5"/>
    <w:rsid w:val="67A7076D"/>
    <w:rsid w:val="6AC537CF"/>
    <w:rsid w:val="6B8A2E9F"/>
    <w:rsid w:val="6D394B50"/>
    <w:rsid w:val="6D5E553E"/>
    <w:rsid w:val="6DEB29F7"/>
    <w:rsid w:val="6E032029"/>
    <w:rsid w:val="6E5B14A6"/>
    <w:rsid w:val="6E62503B"/>
    <w:rsid w:val="6F172E54"/>
    <w:rsid w:val="711B255E"/>
    <w:rsid w:val="712F447F"/>
    <w:rsid w:val="72451155"/>
    <w:rsid w:val="72C65C4D"/>
    <w:rsid w:val="775B4D65"/>
    <w:rsid w:val="783E0497"/>
    <w:rsid w:val="7BB51E06"/>
    <w:rsid w:val="7C387F7C"/>
    <w:rsid w:val="7D73234A"/>
    <w:rsid w:val="7FD30895"/>
    <w:rsid w:val="7FE8342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iPriority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unhideWhenUsed/>
    <w:qFormat/>
    <w:uiPriority w:val="1"/>
  </w:style>
  <w:style w:type="table" w:default="1" w:styleId="6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toa heading1"/>
    <w:basedOn w:val="1"/>
    <w:next w:val="1"/>
    <w:qFormat/>
    <w:uiPriority w:val="0"/>
    <w:rPr>
      <w:rFonts w:ascii="Arial" w:hAnsi="Arial"/>
      <w:sz w:val="24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styleId="5">
    <w:name w:val="Normal (Web)"/>
    <w:basedOn w:val="1"/>
    <w:semiHidden/>
    <w:unhideWhenUsed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6</Pages>
  <Words>2351</Words>
  <Characters>2514</Characters>
  <Lines>7</Lines>
  <Paragraphs>2</Paragraphs>
  <TotalTime>14</TotalTime>
  <ScaleCrop>false</ScaleCrop>
  <LinksUpToDate>false</LinksUpToDate>
  <CharactersWithSpaces>2546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章鱼壶中梦黄粱</cp:lastModifiedBy>
  <cp:lastPrinted>2022-04-13T03:01:00Z</cp:lastPrinted>
  <dcterms:modified xsi:type="dcterms:W3CDTF">2023-06-19T01:34:22Z</dcterms:modified>
  <dc:title>附件3：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975076AF68AA456AB50BCAA60B7003C8</vt:lpwstr>
  </property>
</Properties>
</file>