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val="0"/>
        <w:snapToGrid w:val="0"/>
        <w:spacing w:line="560" w:lineRule="exact"/>
        <w:ind w:left="0" w:leftChars="0" w:right="0"/>
        <w:textAlignment w:val="auto"/>
        <w:outlineLvl w:val="9"/>
        <w:rPr>
          <w:rFonts w:ascii="仿宋_GB2312" w:eastAsia="仿宋_GB2312"/>
          <w:sz w:val="32"/>
          <w:szCs w:val="32"/>
        </w:rPr>
      </w:pPr>
      <w:r>
        <w:rPr>
          <w:rFonts w:hint="eastAsia" w:ascii="仿宋_GB2312" w:eastAsia="仿宋_GB2312"/>
          <w:sz w:val="32"/>
          <w:szCs w:val="32"/>
        </w:rPr>
        <w:t>附件</w:t>
      </w:r>
      <w:r>
        <w:rPr>
          <w:rFonts w:hint="eastAsia" w:ascii="仿宋_GB2312" w:eastAsia="仿宋_GB2312"/>
          <w:sz w:val="32"/>
          <w:szCs w:val="32"/>
          <w:lang w:val="en-US" w:eastAsia="zh-CN"/>
        </w:rPr>
        <w:t>4</w:t>
      </w:r>
    </w:p>
    <w:p>
      <w:pPr>
        <w:widowControl w:val="0"/>
        <w:wordWrap/>
        <w:spacing w:line="560" w:lineRule="exact"/>
        <w:ind w:left="0" w:leftChars="0" w:right="0"/>
        <w:jc w:val="center"/>
        <w:textAlignment w:val="auto"/>
        <w:outlineLvl w:val="9"/>
        <w:rPr>
          <w:rFonts w:hint="eastAsia" w:ascii="宋体" w:hAnsi="宋体" w:cs="宋体"/>
          <w:b/>
          <w:bCs/>
          <w:sz w:val="44"/>
          <w:szCs w:val="44"/>
        </w:rPr>
      </w:pPr>
    </w:p>
    <w:p>
      <w:pPr>
        <w:keepNext w:val="0"/>
        <w:keepLines w:val="0"/>
        <w:pageBreakBefore w:val="0"/>
        <w:widowControl w:val="0"/>
        <w:kinsoku/>
        <w:wordWrap/>
        <w:overflowPunct/>
        <w:topLinePunct w:val="0"/>
        <w:autoSpaceDE/>
        <w:autoSpaceDN/>
        <w:bidi w:val="0"/>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eastAsia="zh-CN"/>
        </w:rPr>
        <w:t>石家庄市文化广电和旅游局部门</w:t>
      </w:r>
      <w:r>
        <w:rPr>
          <w:rFonts w:hint="eastAsia" w:ascii="宋体" w:hAnsi="宋体" w:cs="宋体"/>
          <w:b/>
          <w:bCs/>
          <w:sz w:val="44"/>
          <w:szCs w:val="44"/>
          <w:lang w:val="en-US" w:eastAsia="zh-CN"/>
        </w:rPr>
        <w:t>2022年度整体支出绩效</w:t>
      </w:r>
      <w:r>
        <w:rPr>
          <w:rFonts w:hint="eastAsia" w:ascii="宋体" w:hAnsi="宋体" w:cs="宋体"/>
          <w:b/>
          <w:bCs/>
          <w:sz w:val="44"/>
          <w:szCs w:val="44"/>
        </w:rPr>
        <w:t>自评报告</w:t>
      </w:r>
    </w:p>
    <w:p>
      <w:pPr>
        <w:keepNext w:val="0"/>
        <w:keepLines w:val="0"/>
        <w:pageBreakBefore w:val="0"/>
        <w:widowControl w:val="0"/>
        <w:kinsoku/>
        <w:wordWrap/>
        <w:overflowPunct/>
        <w:topLinePunct w:val="0"/>
        <w:autoSpaceDE/>
        <w:autoSpaceDN/>
        <w:bidi w:val="0"/>
        <w:spacing w:line="560" w:lineRule="exact"/>
        <w:ind w:left="0" w:leftChars="0" w:right="0"/>
        <w:jc w:val="center"/>
        <w:textAlignment w:val="auto"/>
        <w:outlineLvl w:val="9"/>
        <w:rPr>
          <w:rFonts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贯彻落实</w:t>
      </w:r>
      <w:r>
        <w:rPr>
          <w:rFonts w:hint="eastAsia" w:ascii="仿宋" w:hAnsi="仿宋" w:eastAsia="仿宋" w:cs="仿宋"/>
          <w:sz w:val="32"/>
          <w:szCs w:val="32"/>
          <w:lang w:eastAsia="zh-CN"/>
        </w:rPr>
        <w:t>市委市政府《关于全面落实预算绩效管理的实施意见》（石发﹝</w:t>
      </w:r>
      <w:r>
        <w:rPr>
          <w:rFonts w:hint="eastAsia" w:ascii="仿宋" w:hAnsi="仿宋" w:eastAsia="仿宋" w:cs="仿宋"/>
          <w:sz w:val="32"/>
          <w:szCs w:val="32"/>
          <w:lang w:val="en-US" w:eastAsia="zh-CN"/>
        </w:rPr>
        <w:t>2019</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8号</w:t>
      </w:r>
      <w:r>
        <w:rPr>
          <w:rFonts w:hint="eastAsia" w:ascii="仿宋" w:hAnsi="仿宋" w:eastAsia="仿宋" w:cs="仿宋"/>
          <w:sz w:val="32"/>
          <w:szCs w:val="32"/>
          <w:lang w:eastAsia="zh-CN"/>
        </w:rPr>
        <w:t>）</w:t>
      </w:r>
      <w:r>
        <w:rPr>
          <w:rFonts w:hint="eastAsia" w:ascii="仿宋" w:hAnsi="仿宋" w:eastAsia="仿宋" w:cs="仿宋"/>
          <w:sz w:val="32"/>
          <w:szCs w:val="32"/>
        </w:rPr>
        <w:t>文件精神，遵循“科学性、规范性、客观性和公正性”的原则，对</w:t>
      </w:r>
      <w:r>
        <w:rPr>
          <w:rFonts w:hint="eastAsia" w:ascii="仿宋" w:hAnsi="仿宋" w:eastAsia="仿宋" w:cs="仿宋"/>
          <w:sz w:val="32"/>
          <w:szCs w:val="32"/>
          <w:lang w:eastAsia="zh-CN"/>
        </w:rPr>
        <w:t>市文广旅部门</w:t>
      </w:r>
      <w:r>
        <w:rPr>
          <w:rFonts w:hint="eastAsia" w:ascii="仿宋" w:hAnsi="仿宋" w:eastAsia="仿宋" w:cs="仿宋"/>
          <w:sz w:val="32"/>
          <w:szCs w:val="32"/>
          <w:lang w:val="en-US" w:eastAsia="zh-CN"/>
        </w:rPr>
        <w:t>2022年</w:t>
      </w:r>
      <w:r>
        <w:rPr>
          <w:rFonts w:hint="eastAsia" w:ascii="仿宋" w:hAnsi="仿宋" w:eastAsia="仿宋" w:cs="仿宋"/>
          <w:sz w:val="32"/>
          <w:szCs w:val="32"/>
          <w:lang w:eastAsia="zh-CN"/>
        </w:rPr>
        <w:t>整体支出情况</w:t>
      </w:r>
      <w:r>
        <w:rPr>
          <w:rFonts w:hint="eastAsia" w:ascii="仿宋" w:hAnsi="仿宋" w:eastAsia="仿宋" w:cs="仿宋"/>
          <w:sz w:val="32"/>
          <w:szCs w:val="32"/>
        </w:rPr>
        <w:t>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textAlignment w:val="auto"/>
        <w:outlineLvl w:val="9"/>
        <w:rPr>
          <w:rFonts w:hint="eastAsia" w:ascii="仿宋" w:hAnsi="仿宋" w:eastAsia="仿宋" w:cs="仿宋"/>
          <w:b/>
          <w:bCs/>
          <w:sz w:val="32"/>
          <w:szCs w:val="36"/>
        </w:rPr>
      </w:pPr>
      <w:r>
        <w:rPr>
          <w:rFonts w:hint="eastAsia" w:ascii="仿宋" w:hAnsi="仿宋" w:eastAsia="仿宋" w:cs="仿宋"/>
          <w:sz w:val="32"/>
          <w:szCs w:val="32"/>
        </w:rPr>
        <w:t xml:space="preserve">    </w:t>
      </w:r>
      <w:r>
        <w:rPr>
          <w:rFonts w:hint="eastAsia" w:ascii="黑体" w:hAnsi="黑体" w:eastAsia="黑体" w:cs="黑体"/>
          <w:sz w:val="32"/>
          <w:szCs w:val="32"/>
        </w:rPr>
        <w:t>一、</w:t>
      </w:r>
      <w:r>
        <w:rPr>
          <w:rFonts w:hint="eastAsia" w:ascii="黑体" w:hAnsi="黑体" w:eastAsia="黑体" w:cs="黑体"/>
          <w:sz w:val="32"/>
          <w:szCs w:val="32"/>
          <w:lang w:eastAsia="zh-CN"/>
        </w:rPr>
        <w:t>部门</w:t>
      </w:r>
      <w:r>
        <w:rPr>
          <w:rFonts w:hint="eastAsia" w:ascii="黑体" w:hAnsi="黑体" w:eastAsia="黑体" w:cs="黑体"/>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rPr>
        <w:t>（一）</w:t>
      </w:r>
      <w:r>
        <w:rPr>
          <w:rFonts w:hint="eastAsia" w:ascii="仿宋" w:hAnsi="仿宋" w:eastAsia="仿宋" w:cs="仿宋"/>
          <w:b/>
          <w:bCs/>
          <w:sz w:val="32"/>
          <w:szCs w:val="32"/>
          <w:lang w:eastAsia="zh-CN"/>
        </w:rPr>
        <w:t>部门</w:t>
      </w:r>
      <w:r>
        <w:rPr>
          <w:rFonts w:hint="eastAsia" w:ascii="仿宋" w:hAnsi="仿宋" w:eastAsia="仿宋" w:cs="仿宋"/>
          <w:b/>
          <w:bCs/>
          <w:sz w:val="32"/>
          <w:szCs w:val="32"/>
        </w:rPr>
        <w:t>概况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cs="仿宋"/>
          <w:b/>
          <w:bCs/>
          <w:sz w:val="32"/>
          <w:szCs w:val="32"/>
          <w:lang w:eastAsia="zh-CN"/>
        </w:rPr>
      </w:pPr>
      <w:r>
        <w:rPr>
          <w:rFonts w:hint="eastAsia" w:ascii="仿宋" w:hAnsi="仿宋" w:eastAsia="仿宋" w:cs="仿宋"/>
          <w:b/>
          <w:bCs/>
          <w:sz w:val="32"/>
          <w:szCs w:val="32"/>
          <w:lang w:val="en-US" w:eastAsia="zh-CN"/>
        </w:rPr>
        <w:t>主要职责：</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一）贯彻执行党和国家文化、广播电视、网络视听节目服务管理和旅游工作方针政策和法律法规。研究拟订全市文化、广播电视和旅游政策措施，起草全市文化、广播电视、网络视听节目和旅游地方性法规、政府规章草案。</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（二）拟订全市文化事业、文化产业、广播电视领域和旅游业发展规划并组织实施，推进文化、广播电视和旅游融合发展，推进文化、广播电视和旅游体制机制改革。</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三）管理和组织全市性重大文化和旅游活动，组织实施全市广播电视公共服务重大公益工程和公益活动。监管全市重点文化和旅游设施建设，组织石家庄文化和旅游整体形象推广，促进文化产业和旅游业对外合作和国际市场推广；负责组织推进全域旅游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（四）指导、管理全市文艺事业。指导艺术创作生产，推动全市各门类艺术、各艺术品种发展。指导全市电视剧行业发展和电视剧创作生产。</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（五）负责全市文化和旅游事业发展。推动全市文化、广播电视和旅游公共服务体系建设，深入实施文化惠民工程，统筹推进全市文化、广播电视和旅游服务标准化、均等化。</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六）推进全市文化、广播电视和旅游科技创新发展，推进文化和旅游行业信息化、标准化建设；负责对广播电视节目传输覆盖、监听、监看、监测的监管，会同有关部门做好对网络视听节目和公共视听载体播放的视听节目的监管工作，指导、监管全市广播电视广告播放。推进全市应急广播体系建设，监管协调调度全市广播电视安全播出。</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（七）负责对全市各类广播电视机构进行业务指导和监管，会同有关部门对全市网络视听节目服务机构进行管理，推进广播电视与新媒体新技术新业态融合发展，推进广电网与电信网、互联网三网融合。</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（八）负责全市非物质文化遗产保护，推动非物质文化遗产的保护、传承、普及、弘扬和振兴。</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（九）统筹规划全市文化产业、广播电视产业和旅游产业。组织实施文化和旅游资源普查、挖掘、保护和开发利用工作，促进文化产业、广播电视产业和旅游产业发展。</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（十）指导全市文化、广播电视和旅游市场发展。对文化、广播电视和旅游市场经营进行行业监管，推进全市文化、广播电视和旅游行业信用体系建设，依法规范文化、广播电视和旅游市场。</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（十一）负责文化、文物、新闻出版（版权）、广播电视、电影、旅游等市场综合执法；负责督查督办全市性、跨区域性大案要案，维护市场秩序。</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（十二）负责文化遗产的管理和保护，指导和管理文物、博物馆事业，组织指导文物的保护抢救、考古发掘和开发利用工作。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（十三）承担全市文化、广播电视和旅游行业安全综合协调和监督管理工作，负责全市文化、广播电视和旅游行业突发应急事件的处理工作。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（十四）指导、管理全市文化、广播电视和旅游对外及对港澳台交流、合作和宣传、推广工作，组织大型文化、广播电视和旅游对外及对港澳台交流活动。</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（十五）完成市委、市政府交办的其他任务。</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lang w:eastAsia="zh-CN"/>
        </w:rPr>
        <w:t>组织机构及人员情况：</w:t>
      </w:r>
    </w:p>
    <w:tbl>
      <w:tblPr>
        <w:tblStyle w:val="7"/>
        <w:tblW w:w="5350" w:type="pct"/>
        <w:tblInd w:w="-311" w:type="dxa"/>
        <w:tblLayout w:type="autofit"/>
        <w:tblCellMar>
          <w:top w:w="0" w:type="dxa"/>
          <w:left w:w="108" w:type="dxa"/>
          <w:bottom w:w="112" w:type="dxa"/>
          <w:right w:w="213" w:type="dxa"/>
        </w:tblCellMar>
      </w:tblPr>
      <w:tblGrid>
        <w:gridCol w:w="942"/>
        <w:gridCol w:w="2898"/>
        <w:gridCol w:w="2206"/>
        <w:gridCol w:w="2235"/>
        <w:gridCol w:w="1527"/>
      </w:tblGrid>
      <w:tr>
        <w:tblPrEx>
          <w:tblCellMar>
            <w:top w:w="0" w:type="dxa"/>
            <w:left w:w="108" w:type="dxa"/>
            <w:bottom w:w="112" w:type="dxa"/>
            <w:right w:w="213" w:type="dxa"/>
          </w:tblCellMar>
        </w:tblPrEx>
        <w:trPr>
          <w:trHeight w:val="821" w:hRule="atLeast"/>
        </w:trPr>
        <w:tc>
          <w:tcPr>
            <w:tcW w:w="480" w:type="pct"/>
            <w:tcBorders>
              <w:top w:val="single" w:color="000000" w:sz="4" w:space="0"/>
              <w:left w:val="single" w:color="000000" w:sz="4" w:space="0"/>
              <w:bottom w:val="single" w:color="000000" w:sz="4" w:space="0"/>
              <w:right w:val="single" w:color="000000" w:sz="4" w:space="0"/>
            </w:tcBorders>
            <w:noWrap w:val="0"/>
            <w:vAlign w:val="bottom"/>
          </w:tcPr>
          <w:p>
            <w:pPr>
              <w:keepNext w:val="0"/>
              <w:keepLines w:val="0"/>
              <w:pageBreakBefore w:val="0"/>
              <w:kinsoku/>
              <w:wordWrap/>
              <w:overflowPunct/>
              <w:topLinePunct w:val="0"/>
              <w:autoSpaceDE/>
              <w:autoSpaceDN/>
              <w:bidi w:val="0"/>
              <w:spacing w:line="560" w:lineRule="exact"/>
              <w:ind w:left="102"/>
              <w:jc w:val="center"/>
              <w:textAlignment w:val="auto"/>
              <w:rPr>
                <w:rFonts w:hint="eastAsia" w:ascii="仿宋" w:hAnsi="仿宋" w:eastAsia="仿宋" w:cs="仿宋"/>
                <w:sz w:val="24"/>
                <w:szCs w:val="24"/>
              </w:rPr>
            </w:pPr>
            <w:r>
              <w:rPr>
                <w:rFonts w:hint="eastAsia" w:ascii="仿宋" w:hAnsi="仿宋" w:eastAsia="仿宋" w:cs="仿宋"/>
                <w:sz w:val="24"/>
                <w:szCs w:val="24"/>
              </w:rPr>
              <w:t>序号</w:t>
            </w:r>
          </w:p>
        </w:tc>
        <w:tc>
          <w:tcPr>
            <w:tcW w:w="1477" w:type="pct"/>
            <w:tcBorders>
              <w:top w:val="single" w:color="000000" w:sz="4" w:space="0"/>
              <w:left w:val="single" w:color="000000" w:sz="4" w:space="0"/>
              <w:bottom w:val="single" w:color="000000" w:sz="4" w:space="0"/>
              <w:right w:val="single" w:color="000000" w:sz="4" w:space="0"/>
            </w:tcBorders>
            <w:noWrap w:val="0"/>
            <w:vAlign w:val="bottom"/>
          </w:tcPr>
          <w:p>
            <w:pPr>
              <w:keepNext w:val="0"/>
              <w:keepLines w:val="0"/>
              <w:pageBreakBefore w:val="0"/>
              <w:kinsoku/>
              <w:wordWrap/>
              <w:overflowPunct/>
              <w:topLinePunct w:val="0"/>
              <w:autoSpaceDE/>
              <w:autoSpaceDN/>
              <w:bidi w:val="0"/>
              <w:spacing w:line="560" w:lineRule="exact"/>
              <w:ind w:left="105"/>
              <w:jc w:val="center"/>
              <w:textAlignment w:val="auto"/>
              <w:rPr>
                <w:rFonts w:hint="eastAsia" w:ascii="仿宋" w:hAnsi="仿宋" w:eastAsia="仿宋" w:cs="仿宋"/>
                <w:sz w:val="24"/>
                <w:szCs w:val="24"/>
              </w:rPr>
            </w:pPr>
            <w:r>
              <w:rPr>
                <w:rFonts w:hint="eastAsia" w:ascii="仿宋" w:hAnsi="仿宋" w:eastAsia="仿宋" w:cs="仿宋"/>
                <w:sz w:val="24"/>
                <w:szCs w:val="24"/>
              </w:rPr>
              <w:t>单位名称</w:t>
            </w:r>
          </w:p>
        </w:tc>
        <w:tc>
          <w:tcPr>
            <w:tcW w:w="1124" w:type="pct"/>
            <w:tcBorders>
              <w:top w:val="single" w:color="000000" w:sz="4" w:space="0"/>
              <w:left w:val="single" w:color="000000" w:sz="4" w:space="0"/>
              <w:bottom w:val="single" w:color="000000" w:sz="4" w:space="0"/>
              <w:right w:val="single" w:color="000000" w:sz="4" w:space="0"/>
            </w:tcBorders>
            <w:noWrap w:val="0"/>
            <w:vAlign w:val="bottom"/>
          </w:tcPr>
          <w:p>
            <w:pPr>
              <w:keepNext w:val="0"/>
              <w:keepLines w:val="0"/>
              <w:pageBreakBefore w:val="0"/>
              <w:kinsoku/>
              <w:wordWrap/>
              <w:overflowPunct/>
              <w:topLinePunct w:val="0"/>
              <w:autoSpaceDE/>
              <w:autoSpaceDN/>
              <w:bidi w:val="0"/>
              <w:spacing w:line="560" w:lineRule="exact"/>
              <w:ind w:left="271"/>
              <w:jc w:val="center"/>
              <w:textAlignment w:val="auto"/>
              <w:rPr>
                <w:rFonts w:hint="eastAsia" w:ascii="仿宋" w:hAnsi="仿宋" w:eastAsia="仿宋" w:cs="仿宋"/>
                <w:sz w:val="24"/>
                <w:szCs w:val="24"/>
              </w:rPr>
            </w:pPr>
            <w:r>
              <w:rPr>
                <w:rFonts w:hint="eastAsia" w:ascii="仿宋" w:hAnsi="仿宋" w:eastAsia="仿宋" w:cs="仿宋"/>
                <w:sz w:val="24"/>
                <w:szCs w:val="24"/>
              </w:rPr>
              <w:t>单位基本性质</w:t>
            </w:r>
          </w:p>
        </w:tc>
        <w:tc>
          <w:tcPr>
            <w:tcW w:w="1139" w:type="pct"/>
            <w:tcBorders>
              <w:top w:val="single" w:color="000000" w:sz="4" w:space="0"/>
              <w:left w:val="single" w:color="000000" w:sz="4" w:space="0"/>
              <w:bottom w:val="single" w:color="000000" w:sz="4" w:space="0"/>
              <w:right w:val="single" w:color="000000" w:sz="4" w:space="0"/>
            </w:tcBorders>
            <w:noWrap w:val="0"/>
            <w:vAlign w:val="bottom"/>
          </w:tcPr>
          <w:p>
            <w:pPr>
              <w:keepNext w:val="0"/>
              <w:keepLines w:val="0"/>
              <w:pageBreakBefore w:val="0"/>
              <w:kinsoku/>
              <w:wordWrap/>
              <w:overflowPunct/>
              <w:topLinePunct w:val="0"/>
              <w:autoSpaceDE/>
              <w:autoSpaceDN/>
              <w:bidi w:val="0"/>
              <w:spacing w:line="560" w:lineRule="exact"/>
              <w:ind w:left="105"/>
              <w:jc w:val="center"/>
              <w:textAlignment w:val="auto"/>
              <w:rPr>
                <w:rFonts w:hint="eastAsia" w:ascii="仿宋" w:hAnsi="仿宋" w:eastAsia="仿宋" w:cs="仿宋"/>
                <w:sz w:val="24"/>
                <w:szCs w:val="24"/>
              </w:rPr>
            </w:pPr>
            <w:r>
              <w:rPr>
                <w:rFonts w:hint="eastAsia" w:ascii="仿宋" w:hAnsi="仿宋" w:eastAsia="仿宋" w:cs="仿宋"/>
                <w:sz w:val="24"/>
                <w:szCs w:val="24"/>
              </w:rPr>
              <w:t>经费形式</w:t>
            </w:r>
          </w:p>
        </w:tc>
        <w:tc>
          <w:tcPr>
            <w:tcW w:w="778" w:type="pct"/>
            <w:tcBorders>
              <w:top w:val="single" w:color="000000" w:sz="4" w:space="0"/>
              <w:left w:val="single" w:color="000000" w:sz="4" w:space="0"/>
              <w:bottom w:val="single" w:color="000000" w:sz="4" w:space="0"/>
              <w:right w:val="single" w:color="000000" w:sz="4" w:space="0"/>
            </w:tcBorders>
            <w:noWrap w:val="0"/>
            <w:vAlign w:val="bottom"/>
          </w:tcPr>
          <w:p>
            <w:pPr>
              <w:keepNext w:val="0"/>
              <w:keepLines w:val="0"/>
              <w:pageBreakBefore w:val="0"/>
              <w:kinsoku/>
              <w:wordWrap/>
              <w:overflowPunct/>
              <w:topLinePunct w:val="0"/>
              <w:autoSpaceDE/>
              <w:autoSpaceDN/>
              <w:bidi w:val="0"/>
              <w:spacing w:line="560" w:lineRule="exact"/>
              <w:ind w:left="105"/>
              <w:jc w:val="center"/>
              <w:textAlignment w:val="auto"/>
              <w:rPr>
                <w:rFonts w:hint="eastAsia" w:ascii="仿宋" w:hAnsi="仿宋" w:eastAsia="仿宋" w:cs="仿宋"/>
                <w:sz w:val="24"/>
                <w:szCs w:val="24"/>
                <w:lang w:eastAsia="zh-CN"/>
              </w:rPr>
            </w:pPr>
            <w:r>
              <w:rPr>
                <w:rFonts w:hint="eastAsia" w:ascii="仿宋" w:hAnsi="仿宋" w:eastAsia="仿宋" w:cs="仿宋"/>
                <w:sz w:val="24"/>
                <w:szCs w:val="24"/>
                <w:lang w:eastAsia="zh-CN"/>
              </w:rPr>
              <w:t>人员（含离退）数量</w:t>
            </w:r>
          </w:p>
        </w:tc>
      </w:tr>
      <w:tr>
        <w:tblPrEx>
          <w:tblCellMar>
            <w:top w:w="0" w:type="dxa"/>
            <w:left w:w="108" w:type="dxa"/>
            <w:bottom w:w="112" w:type="dxa"/>
            <w:right w:w="213" w:type="dxa"/>
          </w:tblCellMar>
        </w:tblPrEx>
        <w:trPr>
          <w:trHeight w:val="570" w:hRule="atLeast"/>
        </w:trPr>
        <w:tc>
          <w:tcPr>
            <w:tcW w:w="4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103"/>
              <w:jc w:val="center"/>
              <w:textAlignment w:val="auto"/>
              <w:rPr>
                <w:rFonts w:hint="eastAsia" w:ascii="仿宋" w:hAnsi="仿宋" w:eastAsia="仿宋" w:cs="仿宋"/>
                <w:sz w:val="21"/>
                <w:szCs w:val="21"/>
              </w:rPr>
            </w:pPr>
            <w:r>
              <w:rPr>
                <w:rFonts w:hint="eastAsia" w:ascii="仿宋" w:hAnsi="仿宋" w:eastAsia="仿宋" w:cs="仿宋"/>
                <w:sz w:val="21"/>
                <w:szCs w:val="21"/>
              </w:rPr>
              <w:t>1</w:t>
            </w:r>
          </w:p>
        </w:tc>
        <w:tc>
          <w:tcPr>
            <w:tcW w:w="147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石家庄市文化广电和旅游局</w:t>
            </w:r>
          </w:p>
        </w:tc>
        <w:tc>
          <w:tcPr>
            <w:tcW w:w="112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106"/>
              <w:jc w:val="center"/>
              <w:textAlignment w:val="auto"/>
              <w:rPr>
                <w:rFonts w:hint="eastAsia" w:ascii="仿宋" w:hAnsi="仿宋" w:eastAsia="仿宋" w:cs="仿宋"/>
                <w:sz w:val="21"/>
                <w:szCs w:val="21"/>
              </w:rPr>
            </w:pPr>
            <w:r>
              <w:rPr>
                <w:rFonts w:hint="eastAsia" w:ascii="仿宋" w:hAnsi="仿宋" w:eastAsia="仿宋" w:cs="仿宋"/>
                <w:sz w:val="21"/>
                <w:szCs w:val="21"/>
              </w:rPr>
              <w:t>行政单位</w:t>
            </w:r>
          </w:p>
        </w:tc>
        <w:tc>
          <w:tcPr>
            <w:tcW w:w="11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103"/>
              <w:jc w:val="center"/>
              <w:textAlignment w:val="auto"/>
              <w:rPr>
                <w:rFonts w:hint="eastAsia" w:ascii="仿宋" w:hAnsi="仿宋" w:eastAsia="仿宋" w:cs="仿宋"/>
                <w:sz w:val="21"/>
                <w:szCs w:val="21"/>
              </w:rPr>
            </w:pPr>
            <w:r>
              <w:rPr>
                <w:rFonts w:hint="eastAsia" w:ascii="仿宋" w:hAnsi="仿宋" w:eastAsia="仿宋" w:cs="仿宋"/>
                <w:sz w:val="21"/>
                <w:szCs w:val="21"/>
              </w:rPr>
              <w:t>财政拨款</w:t>
            </w:r>
          </w:p>
        </w:tc>
        <w:tc>
          <w:tcPr>
            <w:tcW w:w="77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103"/>
              <w:jc w:val="center"/>
              <w:textAlignment w:val="auto"/>
              <w:rPr>
                <w:rFonts w:hint="default" w:ascii="仿宋" w:hAnsi="仿宋" w:eastAsia="仿宋" w:cs="仿宋"/>
                <w:sz w:val="22"/>
                <w:lang w:val="en-US" w:eastAsia="zh-CN"/>
              </w:rPr>
            </w:pPr>
            <w:r>
              <w:rPr>
                <w:rFonts w:hint="eastAsia" w:ascii="仿宋" w:hAnsi="仿宋" w:eastAsia="仿宋" w:cs="仿宋"/>
                <w:sz w:val="22"/>
                <w:lang w:val="en-US" w:eastAsia="zh-CN"/>
              </w:rPr>
              <w:t>207</w:t>
            </w:r>
          </w:p>
        </w:tc>
      </w:tr>
      <w:tr>
        <w:tblPrEx>
          <w:tblCellMar>
            <w:top w:w="0" w:type="dxa"/>
            <w:left w:w="108" w:type="dxa"/>
            <w:bottom w:w="112" w:type="dxa"/>
            <w:right w:w="213" w:type="dxa"/>
          </w:tblCellMar>
        </w:tblPrEx>
        <w:trPr>
          <w:trHeight w:val="584" w:hRule="atLeast"/>
        </w:trPr>
        <w:tc>
          <w:tcPr>
            <w:tcW w:w="4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103"/>
              <w:jc w:val="center"/>
              <w:textAlignment w:val="auto"/>
              <w:rPr>
                <w:rFonts w:hint="eastAsia" w:ascii="仿宋" w:hAnsi="仿宋" w:eastAsia="仿宋" w:cs="仿宋"/>
                <w:sz w:val="21"/>
                <w:szCs w:val="21"/>
              </w:rPr>
            </w:pPr>
            <w:r>
              <w:rPr>
                <w:rFonts w:hint="eastAsia" w:ascii="仿宋" w:hAnsi="仿宋" w:eastAsia="仿宋" w:cs="仿宋"/>
                <w:sz w:val="21"/>
                <w:szCs w:val="21"/>
              </w:rPr>
              <w:t>2</w:t>
            </w:r>
          </w:p>
        </w:tc>
        <w:tc>
          <w:tcPr>
            <w:tcW w:w="147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石家庄市图书馆</w:t>
            </w:r>
          </w:p>
        </w:tc>
        <w:tc>
          <w:tcPr>
            <w:tcW w:w="112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jc w:val="both"/>
              <w:textAlignment w:val="auto"/>
              <w:rPr>
                <w:rFonts w:hint="eastAsia" w:ascii="仿宋" w:hAnsi="仿宋" w:eastAsia="仿宋" w:cs="仿宋"/>
                <w:sz w:val="21"/>
                <w:szCs w:val="21"/>
              </w:rPr>
            </w:pPr>
            <w:r>
              <w:rPr>
                <w:rFonts w:hint="eastAsia" w:ascii="仿宋" w:hAnsi="仿宋" w:eastAsia="仿宋" w:cs="仿宋"/>
                <w:sz w:val="21"/>
                <w:szCs w:val="21"/>
              </w:rPr>
              <w:t>财政补助事业单位</w:t>
            </w:r>
          </w:p>
        </w:tc>
        <w:tc>
          <w:tcPr>
            <w:tcW w:w="11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财政性资金基本保证</w:t>
            </w:r>
          </w:p>
        </w:tc>
        <w:tc>
          <w:tcPr>
            <w:tcW w:w="77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233"/>
              <w:jc w:val="center"/>
              <w:textAlignment w:val="auto"/>
              <w:rPr>
                <w:rFonts w:hint="eastAsia" w:ascii="仿宋" w:hAnsi="仿宋" w:eastAsia="仿宋" w:cs="仿宋"/>
                <w:sz w:val="22"/>
                <w:lang w:val="en-US" w:eastAsia="zh-CN"/>
              </w:rPr>
            </w:pPr>
            <w:r>
              <w:rPr>
                <w:rFonts w:hint="eastAsia" w:ascii="仿宋" w:hAnsi="仿宋" w:eastAsia="仿宋" w:cs="仿宋"/>
                <w:sz w:val="22"/>
                <w:lang w:val="en-US" w:eastAsia="zh-CN"/>
              </w:rPr>
              <w:t>110</w:t>
            </w:r>
          </w:p>
        </w:tc>
      </w:tr>
      <w:tr>
        <w:tblPrEx>
          <w:tblCellMar>
            <w:top w:w="0" w:type="dxa"/>
            <w:left w:w="108" w:type="dxa"/>
            <w:bottom w:w="112" w:type="dxa"/>
            <w:right w:w="213" w:type="dxa"/>
          </w:tblCellMar>
        </w:tblPrEx>
        <w:trPr>
          <w:trHeight w:val="557" w:hRule="atLeast"/>
        </w:trPr>
        <w:tc>
          <w:tcPr>
            <w:tcW w:w="480" w:type="pct"/>
            <w:tcBorders>
              <w:top w:val="single" w:color="000000" w:sz="4" w:space="0"/>
              <w:left w:val="single" w:color="000000" w:sz="4" w:space="0"/>
              <w:bottom w:val="single" w:color="000000" w:sz="4" w:space="0"/>
              <w:right w:val="single" w:color="000000" w:sz="4" w:space="0"/>
            </w:tcBorders>
            <w:noWrap w:val="0"/>
            <w:vAlign w:val="bottom"/>
          </w:tcPr>
          <w:p>
            <w:pPr>
              <w:keepNext w:val="0"/>
              <w:keepLines w:val="0"/>
              <w:pageBreakBefore w:val="0"/>
              <w:kinsoku/>
              <w:wordWrap/>
              <w:overflowPunct/>
              <w:topLinePunct w:val="0"/>
              <w:autoSpaceDE/>
              <w:autoSpaceDN/>
              <w:bidi w:val="0"/>
              <w:spacing w:line="560" w:lineRule="exact"/>
              <w:ind w:left="103"/>
              <w:jc w:val="center"/>
              <w:textAlignment w:val="auto"/>
              <w:rPr>
                <w:rFonts w:hint="eastAsia" w:ascii="仿宋" w:hAnsi="仿宋" w:eastAsia="仿宋" w:cs="仿宋"/>
                <w:sz w:val="21"/>
                <w:szCs w:val="21"/>
              </w:rPr>
            </w:pPr>
            <w:r>
              <w:rPr>
                <w:rFonts w:hint="eastAsia" w:ascii="仿宋" w:hAnsi="仿宋" w:eastAsia="仿宋" w:cs="仿宋"/>
                <w:sz w:val="21"/>
                <w:szCs w:val="21"/>
              </w:rPr>
              <w:t>3</w:t>
            </w:r>
          </w:p>
        </w:tc>
        <w:tc>
          <w:tcPr>
            <w:tcW w:w="147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石家庄市艺术中心</w:t>
            </w:r>
          </w:p>
        </w:tc>
        <w:tc>
          <w:tcPr>
            <w:tcW w:w="112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jc w:val="both"/>
              <w:textAlignment w:val="auto"/>
              <w:rPr>
                <w:rFonts w:hint="eastAsia" w:ascii="仿宋" w:hAnsi="仿宋" w:eastAsia="仿宋" w:cs="仿宋"/>
                <w:sz w:val="21"/>
                <w:szCs w:val="21"/>
              </w:rPr>
            </w:pPr>
            <w:r>
              <w:rPr>
                <w:rFonts w:hint="eastAsia" w:ascii="仿宋" w:hAnsi="仿宋" w:eastAsia="仿宋" w:cs="仿宋"/>
                <w:sz w:val="21"/>
                <w:szCs w:val="21"/>
              </w:rPr>
              <w:t>财政补助事业单位</w:t>
            </w:r>
          </w:p>
        </w:tc>
        <w:tc>
          <w:tcPr>
            <w:tcW w:w="11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财政性资金基本保证</w:t>
            </w:r>
          </w:p>
        </w:tc>
        <w:tc>
          <w:tcPr>
            <w:tcW w:w="77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233"/>
              <w:jc w:val="center"/>
              <w:textAlignment w:val="auto"/>
              <w:rPr>
                <w:rFonts w:hint="default" w:ascii="仿宋" w:hAnsi="仿宋" w:eastAsia="仿宋" w:cs="仿宋"/>
                <w:sz w:val="22"/>
                <w:lang w:val="en-US" w:eastAsia="zh-CN"/>
              </w:rPr>
            </w:pPr>
            <w:r>
              <w:rPr>
                <w:rFonts w:hint="eastAsia" w:ascii="仿宋" w:hAnsi="仿宋" w:eastAsia="仿宋" w:cs="仿宋"/>
                <w:sz w:val="22"/>
                <w:lang w:val="en-US" w:eastAsia="zh-CN"/>
              </w:rPr>
              <w:t>44</w:t>
            </w:r>
          </w:p>
        </w:tc>
      </w:tr>
      <w:tr>
        <w:tblPrEx>
          <w:tblCellMar>
            <w:top w:w="0" w:type="dxa"/>
            <w:left w:w="108" w:type="dxa"/>
            <w:bottom w:w="112" w:type="dxa"/>
            <w:right w:w="213" w:type="dxa"/>
          </w:tblCellMar>
        </w:tblPrEx>
        <w:trPr>
          <w:trHeight w:val="598" w:hRule="atLeast"/>
        </w:trPr>
        <w:tc>
          <w:tcPr>
            <w:tcW w:w="4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103"/>
              <w:jc w:val="center"/>
              <w:textAlignment w:val="auto"/>
              <w:rPr>
                <w:rFonts w:hint="eastAsia" w:ascii="仿宋" w:hAnsi="仿宋" w:eastAsia="仿宋" w:cs="仿宋"/>
                <w:sz w:val="21"/>
                <w:szCs w:val="21"/>
              </w:rPr>
            </w:pPr>
            <w:r>
              <w:rPr>
                <w:rFonts w:hint="eastAsia" w:ascii="仿宋" w:hAnsi="仿宋" w:eastAsia="仿宋" w:cs="仿宋"/>
                <w:sz w:val="21"/>
                <w:szCs w:val="21"/>
              </w:rPr>
              <w:t>4</w:t>
            </w:r>
          </w:p>
        </w:tc>
        <w:tc>
          <w:tcPr>
            <w:tcW w:w="147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default" w:ascii="仿宋" w:hAnsi="仿宋" w:eastAsia="仿宋" w:cs="仿宋"/>
                <w:sz w:val="21"/>
                <w:szCs w:val="21"/>
                <w:lang w:val="en-US" w:eastAsia="zh-CN"/>
              </w:rPr>
            </w:pPr>
            <w:r>
              <w:rPr>
                <w:rFonts w:hint="eastAsia" w:ascii="仿宋" w:hAnsi="仿宋" w:eastAsia="仿宋" w:cs="仿宋"/>
                <w:sz w:val="21"/>
                <w:szCs w:val="21"/>
              </w:rPr>
              <w:t>石家庄市美术馆</w:t>
            </w:r>
            <w:r>
              <w:rPr>
                <w:rFonts w:hint="eastAsia" w:ascii="仿宋" w:hAnsi="仿宋" w:eastAsia="仿宋" w:cs="仿宋"/>
                <w:sz w:val="21"/>
                <w:szCs w:val="21"/>
                <w:lang w:val="en-US" w:eastAsia="zh-CN"/>
              </w:rPr>
              <w:t>(市画院)</w:t>
            </w:r>
          </w:p>
        </w:tc>
        <w:tc>
          <w:tcPr>
            <w:tcW w:w="112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jc w:val="both"/>
              <w:textAlignment w:val="auto"/>
              <w:rPr>
                <w:rFonts w:hint="eastAsia" w:ascii="仿宋" w:hAnsi="仿宋" w:eastAsia="仿宋" w:cs="仿宋"/>
                <w:sz w:val="21"/>
                <w:szCs w:val="21"/>
              </w:rPr>
            </w:pPr>
            <w:r>
              <w:rPr>
                <w:rFonts w:hint="eastAsia" w:ascii="仿宋" w:hAnsi="仿宋" w:eastAsia="仿宋" w:cs="仿宋"/>
                <w:sz w:val="21"/>
                <w:szCs w:val="21"/>
              </w:rPr>
              <w:t>财政补助事业单位</w:t>
            </w:r>
          </w:p>
        </w:tc>
        <w:tc>
          <w:tcPr>
            <w:tcW w:w="11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财政性资金基本保证</w:t>
            </w:r>
          </w:p>
        </w:tc>
        <w:tc>
          <w:tcPr>
            <w:tcW w:w="77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233"/>
              <w:jc w:val="center"/>
              <w:textAlignment w:val="auto"/>
              <w:rPr>
                <w:rFonts w:hint="eastAsia" w:ascii="仿宋" w:hAnsi="仿宋" w:eastAsia="仿宋" w:cs="仿宋"/>
                <w:sz w:val="22"/>
                <w:lang w:val="en-US" w:eastAsia="zh-CN"/>
              </w:rPr>
            </w:pPr>
            <w:r>
              <w:rPr>
                <w:rFonts w:hint="eastAsia" w:ascii="仿宋" w:hAnsi="仿宋" w:eastAsia="仿宋" w:cs="仿宋"/>
                <w:sz w:val="22"/>
                <w:lang w:val="en-US" w:eastAsia="zh-CN"/>
              </w:rPr>
              <w:t>29</w:t>
            </w:r>
          </w:p>
        </w:tc>
      </w:tr>
      <w:tr>
        <w:tblPrEx>
          <w:tblCellMar>
            <w:top w:w="0" w:type="dxa"/>
            <w:left w:w="108" w:type="dxa"/>
            <w:bottom w:w="112" w:type="dxa"/>
            <w:right w:w="213" w:type="dxa"/>
          </w:tblCellMar>
        </w:tblPrEx>
        <w:trPr>
          <w:trHeight w:val="937" w:hRule="atLeast"/>
        </w:trPr>
        <w:tc>
          <w:tcPr>
            <w:tcW w:w="4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103"/>
              <w:jc w:val="center"/>
              <w:textAlignment w:val="auto"/>
              <w:rPr>
                <w:rFonts w:hint="eastAsia" w:ascii="仿宋" w:hAnsi="仿宋" w:eastAsia="仿宋" w:cs="仿宋"/>
                <w:sz w:val="21"/>
                <w:szCs w:val="21"/>
              </w:rPr>
            </w:pPr>
            <w:r>
              <w:rPr>
                <w:rFonts w:hint="eastAsia" w:ascii="仿宋" w:hAnsi="仿宋" w:eastAsia="仿宋" w:cs="仿宋"/>
                <w:sz w:val="21"/>
                <w:szCs w:val="21"/>
              </w:rPr>
              <w:t>5</w:t>
            </w:r>
          </w:p>
        </w:tc>
        <w:tc>
          <w:tcPr>
            <w:tcW w:w="147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lang w:eastAsia="zh-CN"/>
              </w:rPr>
            </w:pPr>
            <w:r>
              <w:rPr>
                <w:rFonts w:hint="eastAsia" w:ascii="仿宋" w:hAnsi="仿宋" w:eastAsia="仿宋" w:cs="仿宋"/>
                <w:sz w:val="21"/>
                <w:szCs w:val="21"/>
              </w:rPr>
              <w:t>石家庄市文化市场</w:t>
            </w:r>
            <w:r>
              <w:rPr>
                <w:rFonts w:hint="eastAsia" w:ascii="仿宋" w:hAnsi="仿宋" w:eastAsia="仿宋" w:cs="仿宋"/>
                <w:sz w:val="21"/>
                <w:szCs w:val="21"/>
                <w:lang w:eastAsia="zh-CN"/>
              </w:rPr>
              <w:t>综合行政执法局</w:t>
            </w:r>
          </w:p>
        </w:tc>
        <w:tc>
          <w:tcPr>
            <w:tcW w:w="112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jc w:val="left"/>
              <w:textAlignment w:val="auto"/>
              <w:rPr>
                <w:rFonts w:hint="eastAsia" w:ascii="仿宋" w:hAnsi="仿宋" w:eastAsia="仿宋" w:cs="仿宋"/>
                <w:sz w:val="21"/>
                <w:szCs w:val="21"/>
              </w:rPr>
            </w:pPr>
            <w:r>
              <w:rPr>
                <w:rFonts w:hint="eastAsia" w:ascii="仿宋" w:hAnsi="仿宋" w:eastAsia="仿宋" w:cs="仿宋"/>
                <w:sz w:val="21"/>
                <w:szCs w:val="21"/>
              </w:rPr>
              <w:t>财政补助事业单位</w:t>
            </w:r>
          </w:p>
        </w:tc>
        <w:tc>
          <w:tcPr>
            <w:tcW w:w="11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财政性资金基本保证</w:t>
            </w:r>
          </w:p>
        </w:tc>
        <w:tc>
          <w:tcPr>
            <w:tcW w:w="77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233"/>
              <w:jc w:val="center"/>
              <w:textAlignment w:val="auto"/>
              <w:rPr>
                <w:rFonts w:hint="default" w:ascii="仿宋" w:hAnsi="仿宋" w:eastAsia="仿宋" w:cs="仿宋"/>
                <w:sz w:val="22"/>
                <w:lang w:val="en-US" w:eastAsia="zh-CN"/>
              </w:rPr>
            </w:pPr>
            <w:r>
              <w:rPr>
                <w:rFonts w:hint="eastAsia" w:ascii="仿宋" w:hAnsi="仿宋" w:eastAsia="仿宋" w:cs="仿宋"/>
                <w:sz w:val="22"/>
                <w:lang w:val="en-US" w:eastAsia="zh-CN"/>
              </w:rPr>
              <w:t>75</w:t>
            </w:r>
          </w:p>
        </w:tc>
      </w:tr>
      <w:tr>
        <w:tblPrEx>
          <w:tblCellMar>
            <w:top w:w="0" w:type="dxa"/>
            <w:left w:w="108" w:type="dxa"/>
            <w:bottom w:w="112" w:type="dxa"/>
            <w:right w:w="213" w:type="dxa"/>
          </w:tblCellMar>
        </w:tblPrEx>
        <w:trPr>
          <w:trHeight w:val="658" w:hRule="atLeast"/>
        </w:trPr>
        <w:tc>
          <w:tcPr>
            <w:tcW w:w="4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103"/>
              <w:jc w:val="center"/>
              <w:textAlignment w:val="auto"/>
              <w:rPr>
                <w:rFonts w:hint="eastAsia" w:ascii="仿宋" w:hAnsi="仿宋" w:eastAsia="仿宋" w:cs="仿宋"/>
                <w:sz w:val="21"/>
                <w:szCs w:val="21"/>
              </w:rPr>
            </w:pPr>
            <w:r>
              <w:rPr>
                <w:rFonts w:hint="eastAsia" w:ascii="仿宋" w:hAnsi="仿宋" w:eastAsia="仿宋" w:cs="仿宋"/>
                <w:sz w:val="21"/>
                <w:szCs w:val="21"/>
              </w:rPr>
              <w:t>6</w:t>
            </w:r>
          </w:p>
        </w:tc>
        <w:tc>
          <w:tcPr>
            <w:tcW w:w="147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石家庄市群众艺术馆</w:t>
            </w:r>
          </w:p>
        </w:tc>
        <w:tc>
          <w:tcPr>
            <w:tcW w:w="112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jc w:val="both"/>
              <w:textAlignment w:val="auto"/>
              <w:rPr>
                <w:rFonts w:hint="eastAsia" w:ascii="仿宋" w:hAnsi="仿宋" w:eastAsia="仿宋" w:cs="仿宋"/>
                <w:sz w:val="21"/>
                <w:szCs w:val="21"/>
              </w:rPr>
            </w:pPr>
            <w:r>
              <w:rPr>
                <w:rFonts w:hint="eastAsia" w:ascii="仿宋" w:hAnsi="仿宋" w:eastAsia="仿宋" w:cs="仿宋"/>
                <w:sz w:val="21"/>
                <w:szCs w:val="21"/>
              </w:rPr>
              <w:t>财政补助事业单位</w:t>
            </w:r>
          </w:p>
        </w:tc>
        <w:tc>
          <w:tcPr>
            <w:tcW w:w="11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财政性资金基本保证</w:t>
            </w:r>
          </w:p>
        </w:tc>
        <w:tc>
          <w:tcPr>
            <w:tcW w:w="77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233"/>
              <w:jc w:val="center"/>
              <w:textAlignment w:val="auto"/>
              <w:rPr>
                <w:rFonts w:hint="default" w:ascii="仿宋" w:hAnsi="仿宋" w:eastAsia="仿宋" w:cs="仿宋"/>
                <w:sz w:val="22"/>
                <w:lang w:val="en-US" w:eastAsia="zh-CN"/>
              </w:rPr>
            </w:pPr>
            <w:r>
              <w:rPr>
                <w:rFonts w:hint="eastAsia" w:ascii="仿宋" w:hAnsi="仿宋" w:eastAsia="仿宋" w:cs="仿宋"/>
                <w:sz w:val="22"/>
                <w:lang w:val="en-US" w:eastAsia="zh-CN"/>
              </w:rPr>
              <w:t>121</w:t>
            </w:r>
          </w:p>
        </w:tc>
      </w:tr>
      <w:tr>
        <w:tblPrEx>
          <w:tblCellMar>
            <w:top w:w="0" w:type="dxa"/>
            <w:left w:w="108" w:type="dxa"/>
            <w:bottom w:w="112" w:type="dxa"/>
            <w:right w:w="213" w:type="dxa"/>
          </w:tblCellMar>
        </w:tblPrEx>
        <w:trPr>
          <w:trHeight w:val="565" w:hRule="atLeast"/>
        </w:trPr>
        <w:tc>
          <w:tcPr>
            <w:tcW w:w="4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103"/>
              <w:jc w:val="center"/>
              <w:textAlignment w:val="auto"/>
              <w:rPr>
                <w:rFonts w:hint="eastAsia" w:ascii="仿宋" w:hAnsi="仿宋" w:eastAsia="仿宋" w:cs="仿宋"/>
                <w:sz w:val="21"/>
                <w:szCs w:val="21"/>
              </w:rPr>
            </w:pPr>
            <w:r>
              <w:rPr>
                <w:rFonts w:hint="eastAsia" w:ascii="仿宋" w:hAnsi="仿宋" w:eastAsia="仿宋" w:cs="仿宋"/>
                <w:sz w:val="21"/>
                <w:szCs w:val="21"/>
              </w:rPr>
              <w:t>7</w:t>
            </w:r>
          </w:p>
        </w:tc>
        <w:tc>
          <w:tcPr>
            <w:tcW w:w="147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石家庄市文物保护研究所</w:t>
            </w:r>
          </w:p>
        </w:tc>
        <w:tc>
          <w:tcPr>
            <w:tcW w:w="112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财政补助事业单位</w:t>
            </w:r>
          </w:p>
        </w:tc>
        <w:tc>
          <w:tcPr>
            <w:tcW w:w="11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财政性资金基本保证</w:t>
            </w:r>
          </w:p>
        </w:tc>
        <w:tc>
          <w:tcPr>
            <w:tcW w:w="77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233"/>
              <w:jc w:val="center"/>
              <w:textAlignment w:val="auto"/>
              <w:rPr>
                <w:rFonts w:hint="default" w:ascii="仿宋" w:hAnsi="仿宋" w:eastAsia="仿宋" w:cs="仿宋"/>
                <w:sz w:val="22"/>
                <w:lang w:val="en-US" w:eastAsia="zh-CN"/>
              </w:rPr>
            </w:pPr>
            <w:r>
              <w:rPr>
                <w:rFonts w:hint="eastAsia" w:ascii="仿宋" w:hAnsi="仿宋" w:eastAsia="仿宋" w:cs="仿宋"/>
                <w:sz w:val="22"/>
                <w:lang w:val="en-US" w:eastAsia="zh-CN"/>
              </w:rPr>
              <w:t>17</w:t>
            </w:r>
          </w:p>
        </w:tc>
      </w:tr>
      <w:tr>
        <w:tblPrEx>
          <w:tblCellMar>
            <w:top w:w="0" w:type="dxa"/>
            <w:left w:w="108" w:type="dxa"/>
            <w:bottom w:w="112" w:type="dxa"/>
            <w:right w:w="213" w:type="dxa"/>
          </w:tblCellMar>
        </w:tblPrEx>
        <w:trPr>
          <w:trHeight w:val="557" w:hRule="atLeast"/>
        </w:trPr>
        <w:tc>
          <w:tcPr>
            <w:tcW w:w="4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103"/>
              <w:jc w:val="center"/>
              <w:textAlignment w:val="auto"/>
              <w:rPr>
                <w:rFonts w:hint="eastAsia" w:ascii="仿宋" w:hAnsi="仿宋" w:eastAsia="仿宋" w:cs="仿宋"/>
                <w:sz w:val="21"/>
                <w:szCs w:val="21"/>
              </w:rPr>
            </w:pPr>
            <w:r>
              <w:rPr>
                <w:rFonts w:hint="eastAsia" w:ascii="仿宋" w:hAnsi="仿宋" w:eastAsia="仿宋" w:cs="仿宋"/>
                <w:sz w:val="21"/>
                <w:szCs w:val="21"/>
              </w:rPr>
              <w:t>8</w:t>
            </w:r>
          </w:p>
        </w:tc>
        <w:tc>
          <w:tcPr>
            <w:tcW w:w="147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石家庄市博物馆</w:t>
            </w:r>
          </w:p>
        </w:tc>
        <w:tc>
          <w:tcPr>
            <w:tcW w:w="112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财政补助事业单位</w:t>
            </w:r>
          </w:p>
        </w:tc>
        <w:tc>
          <w:tcPr>
            <w:tcW w:w="11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财政性资金基本保证</w:t>
            </w:r>
          </w:p>
        </w:tc>
        <w:tc>
          <w:tcPr>
            <w:tcW w:w="77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233"/>
              <w:jc w:val="center"/>
              <w:textAlignment w:val="auto"/>
              <w:rPr>
                <w:rFonts w:hint="eastAsia" w:ascii="仿宋" w:hAnsi="仿宋" w:eastAsia="仿宋" w:cs="仿宋"/>
                <w:sz w:val="22"/>
                <w:lang w:val="en-US" w:eastAsia="zh-CN"/>
              </w:rPr>
            </w:pPr>
            <w:r>
              <w:rPr>
                <w:rFonts w:hint="eastAsia" w:ascii="仿宋" w:hAnsi="仿宋" w:eastAsia="仿宋" w:cs="仿宋"/>
                <w:sz w:val="22"/>
                <w:lang w:val="en-US" w:eastAsia="zh-CN"/>
              </w:rPr>
              <w:t>60</w:t>
            </w:r>
          </w:p>
        </w:tc>
      </w:tr>
      <w:tr>
        <w:tblPrEx>
          <w:tblCellMar>
            <w:top w:w="0" w:type="dxa"/>
            <w:left w:w="108" w:type="dxa"/>
            <w:bottom w:w="112" w:type="dxa"/>
            <w:right w:w="213" w:type="dxa"/>
          </w:tblCellMar>
        </w:tblPrEx>
        <w:trPr>
          <w:trHeight w:val="607" w:hRule="atLeast"/>
        </w:trPr>
        <w:tc>
          <w:tcPr>
            <w:tcW w:w="4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103"/>
              <w:jc w:val="center"/>
              <w:textAlignment w:val="auto"/>
              <w:rPr>
                <w:rFonts w:hint="eastAsia" w:ascii="仿宋" w:hAnsi="仿宋" w:eastAsia="仿宋" w:cs="仿宋"/>
                <w:sz w:val="21"/>
                <w:szCs w:val="21"/>
              </w:rPr>
            </w:pPr>
            <w:r>
              <w:rPr>
                <w:rFonts w:hint="eastAsia" w:ascii="仿宋" w:hAnsi="仿宋" w:eastAsia="仿宋" w:cs="仿宋"/>
                <w:sz w:val="21"/>
                <w:szCs w:val="21"/>
              </w:rPr>
              <w:t>9</w:t>
            </w:r>
          </w:p>
        </w:tc>
        <w:tc>
          <w:tcPr>
            <w:tcW w:w="147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石家庄市毗卢寺博物院</w:t>
            </w:r>
          </w:p>
        </w:tc>
        <w:tc>
          <w:tcPr>
            <w:tcW w:w="112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财政补助事业单位</w:t>
            </w:r>
          </w:p>
        </w:tc>
        <w:tc>
          <w:tcPr>
            <w:tcW w:w="11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财政性资金基本保证</w:t>
            </w:r>
          </w:p>
        </w:tc>
        <w:tc>
          <w:tcPr>
            <w:tcW w:w="77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233"/>
              <w:jc w:val="center"/>
              <w:textAlignment w:val="auto"/>
              <w:rPr>
                <w:rFonts w:hint="eastAsia" w:ascii="仿宋" w:hAnsi="仿宋" w:eastAsia="仿宋" w:cs="仿宋"/>
                <w:sz w:val="22"/>
                <w:lang w:val="en-US" w:eastAsia="zh-CN"/>
              </w:rPr>
            </w:pPr>
            <w:r>
              <w:rPr>
                <w:rFonts w:hint="eastAsia" w:ascii="仿宋" w:hAnsi="仿宋" w:eastAsia="仿宋" w:cs="仿宋"/>
                <w:b w:val="0"/>
                <w:bCs w:val="0"/>
                <w:color w:val="auto"/>
                <w:sz w:val="22"/>
                <w:lang w:val="en-US" w:eastAsia="zh-CN"/>
              </w:rPr>
              <w:t>9</w:t>
            </w:r>
          </w:p>
        </w:tc>
      </w:tr>
      <w:tr>
        <w:tblPrEx>
          <w:tblCellMar>
            <w:top w:w="0" w:type="dxa"/>
            <w:left w:w="108" w:type="dxa"/>
            <w:bottom w:w="112" w:type="dxa"/>
            <w:right w:w="213" w:type="dxa"/>
          </w:tblCellMar>
        </w:tblPrEx>
        <w:trPr>
          <w:trHeight w:val="565" w:hRule="atLeast"/>
        </w:trPr>
        <w:tc>
          <w:tcPr>
            <w:tcW w:w="4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103"/>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10</w:t>
            </w:r>
          </w:p>
        </w:tc>
        <w:tc>
          <w:tcPr>
            <w:tcW w:w="147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lang w:eastAsia="zh-CN"/>
              </w:rPr>
            </w:pPr>
            <w:r>
              <w:rPr>
                <w:rFonts w:hint="eastAsia" w:ascii="仿宋" w:hAnsi="仿宋" w:eastAsia="仿宋" w:cs="仿宋"/>
                <w:sz w:val="21"/>
                <w:szCs w:val="21"/>
                <w:lang w:eastAsia="zh-CN"/>
              </w:rPr>
              <w:t>石家庄市艺术学校</w:t>
            </w:r>
          </w:p>
        </w:tc>
        <w:tc>
          <w:tcPr>
            <w:tcW w:w="112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财政补助事业单位</w:t>
            </w:r>
          </w:p>
        </w:tc>
        <w:tc>
          <w:tcPr>
            <w:tcW w:w="11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21"/>
                <w:szCs w:val="21"/>
              </w:rPr>
            </w:pPr>
            <w:r>
              <w:rPr>
                <w:rFonts w:hint="eastAsia" w:ascii="仿宋" w:hAnsi="仿宋" w:eastAsia="仿宋" w:cs="仿宋"/>
                <w:sz w:val="21"/>
                <w:szCs w:val="21"/>
              </w:rPr>
              <w:t>财政性资金基本保证</w:t>
            </w:r>
          </w:p>
        </w:tc>
        <w:tc>
          <w:tcPr>
            <w:tcW w:w="77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pacing w:line="560" w:lineRule="exact"/>
              <w:ind w:left="233" w:leftChars="0"/>
              <w:jc w:val="center"/>
              <w:textAlignment w:val="auto"/>
              <w:rPr>
                <w:rFonts w:hint="default" w:ascii="仿宋" w:hAnsi="仿宋" w:eastAsia="仿宋" w:cs="仿宋"/>
                <w:sz w:val="22"/>
                <w:lang w:val="en-US" w:eastAsia="zh-CN"/>
              </w:rPr>
            </w:pPr>
            <w:r>
              <w:rPr>
                <w:rFonts w:hint="eastAsia" w:ascii="仿宋" w:hAnsi="仿宋" w:eastAsia="仿宋" w:cs="仿宋"/>
                <w:sz w:val="22"/>
                <w:lang w:val="en-US" w:eastAsia="zh-CN"/>
              </w:rPr>
              <w:t>203</w:t>
            </w:r>
          </w:p>
        </w:tc>
      </w:tr>
    </w:tbl>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cs="仿宋"/>
          <w:sz w:val="32"/>
          <w:szCs w:val="32"/>
          <w:lang w:eastAsia="zh-CN"/>
        </w:rPr>
        <w:t>市文广旅局人员不含市属院团及自收自支事业单位的人数。市本级预算中涵盖市属</w:t>
      </w:r>
      <w:r>
        <w:rPr>
          <w:rFonts w:hint="eastAsia" w:ascii="仿宋" w:hAnsi="仿宋" w:eastAsia="仿宋" w:cs="仿宋"/>
          <w:sz w:val="32"/>
          <w:szCs w:val="32"/>
          <w:lang w:val="en-US" w:eastAsia="zh-CN"/>
        </w:rPr>
        <w:t>6家院团以及自收自支事业单位部分预</w:t>
      </w:r>
      <w:bookmarkStart w:id="0" w:name="_GoBack"/>
      <w:bookmarkEnd w:id="0"/>
      <w:r>
        <w:rPr>
          <w:rFonts w:hint="eastAsia" w:ascii="仿宋" w:hAnsi="仿宋" w:eastAsia="仿宋" w:cs="仿宋"/>
          <w:sz w:val="32"/>
          <w:szCs w:val="32"/>
          <w:lang w:val="en-US" w:eastAsia="zh-CN"/>
        </w:rPr>
        <w:t>算。</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left"/>
        <w:textAlignment w:val="auto"/>
        <w:rPr>
          <w:rFonts w:hint="default" w:ascii="仿宋" w:hAnsi="仿宋" w:eastAsia="仿宋"/>
          <w:b/>
          <w:bCs/>
          <w:color w:val="FF0000"/>
          <w:sz w:val="32"/>
          <w:szCs w:val="32"/>
          <w:lang w:val="en-US" w:eastAsia="zh-CN"/>
        </w:rPr>
      </w:pPr>
      <w:r>
        <w:rPr>
          <w:rFonts w:hint="eastAsia" w:ascii="仿宋" w:hAnsi="仿宋" w:eastAsia="仿宋"/>
          <w:b/>
          <w:bCs/>
          <w:color w:val="auto"/>
          <w:sz w:val="32"/>
          <w:szCs w:val="32"/>
          <w:lang w:eastAsia="zh-CN"/>
        </w:rPr>
        <w:t>部门资产</w:t>
      </w:r>
      <w:r>
        <w:rPr>
          <w:rFonts w:hint="eastAsia" w:ascii="仿宋" w:hAnsi="仿宋" w:eastAsia="仿宋"/>
          <w:b/>
          <w:bCs/>
          <w:color w:val="auto"/>
          <w:sz w:val="32"/>
          <w:szCs w:val="32"/>
        </w:rPr>
        <w:t>情况</w:t>
      </w:r>
      <w:r>
        <w:rPr>
          <w:rFonts w:hint="eastAsia" w:ascii="仿宋" w:hAnsi="仿宋" w:eastAsia="仿宋"/>
          <w:b/>
          <w:bCs/>
          <w:color w:val="auto"/>
          <w:sz w:val="32"/>
          <w:szCs w:val="32"/>
          <w:lang w:eastAsia="zh-CN"/>
        </w:rPr>
        <w:t>。</w:t>
      </w:r>
      <w:r>
        <w:rPr>
          <w:rFonts w:hint="eastAsia" w:ascii="仿宋" w:hAnsi="仿宋" w:eastAsia="仿宋" w:cs="仿宋"/>
          <w:sz w:val="32"/>
          <w:szCs w:val="32"/>
          <w:lang w:val="en-US" w:eastAsia="zh-CN"/>
        </w:rPr>
        <w:t>2022年末，我部门资产总计245671926.37元。其中：流动资产合计14242937.33元；非流动资产合计221632199.65元（固定资产净值215096301.56元，无形资产净值6530831.52元，待处理财产损溢5066.57元）；受托代理资产9796789.39元。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部门收支预决算情况</w:t>
      </w:r>
    </w:p>
    <w:p>
      <w:pPr>
        <w:keepNext w:val="0"/>
        <w:keepLines w:val="0"/>
        <w:pageBreakBefore w:val="0"/>
        <w:kinsoku/>
        <w:wordWrap/>
        <w:overflowPunct/>
        <w:topLinePunct w:val="0"/>
        <w:autoSpaceDE/>
        <w:autoSpaceDN/>
        <w:bidi w:val="0"/>
        <w:snapToGrid w:val="0"/>
        <w:spacing w:line="560" w:lineRule="exact"/>
        <w:ind w:firstLine="420" w:firstLineChars="200"/>
        <w:textAlignment w:val="auto"/>
        <w:rPr>
          <w:rFonts w:hint="eastAsia" w:ascii="仿宋" w:hAnsi="仿宋" w:eastAsia="仿宋" w:cs="仿宋"/>
          <w:color w:val="4F81BD" w:themeColor="accent1"/>
          <w:sz w:val="32"/>
          <w:szCs w:val="32"/>
          <w:lang w:val="en-US" w:eastAsia="zh-CN"/>
        </w:rPr>
      </w:pPr>
      <w:r>
        <w:rPr>
          <w:rFonts w:hint="eastAsia"/>
          <w:lang w:val="en-US" w:eastAsia="zh-CN"/>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color w:val="auto"/>
          <w:sz w:val="32"/>
          <w:szCs w:val="32"/>
        </w:rPr>
        <w:t>20</w:t>
      </w:r>
      <w:r>
        <w:rPr>
          <w:rFonts w:hint="eastAsia" w:ascii="仿宋" w:hAnsi="仿宋" w:eastAsia="仿宋" w:cs="仿宋"/>
          <w:color w:val="auto"/>
          <w:sz w:val="32"/>
          <w:szCs w:val="32"/>
          <w:lang w:val="en-US" w:eastAsia="zh-CN"/>
        </w:rPr>
        <w:t>22</w:t>
      </w:r>
      <w:r>
        <w:rPr>
          <w:rFonts w:hint="eastAsia" w:ascii="仿宋" w:hAnsi="仿宋" w:eastAsia="仿宋" w:cs="仿宋"/>
          <w:color w:val="auto"/>
          <w:sz w:val="32"/>
          <w:szCs w:val="32"/>
        </w:rPr>
        <w:t>年</w:t>
      </w:r>
      <w:r>
        <w:rPr>
          <w:rFonts w:hint="eastAsia" w:ascii="仿宋" w:hAnsi="仿宋" w:eastAsia="仿宋" w:cs="仿宋"/>
          <w:color w:val="auto"/>
          <w:sz w:val="32"/>
          <w:szCs w:val="32"/>
          <w:lang w:eastAsia="zh-CN"/>
        </w:rPr>
        <w:t>部门</w:t>
      </w:r>
      <w:r>
        <w:rPr>
          <w:rFonts w:hint="eastAsia" w:ascii="仿宋" w:hAnsi="仿宋" w:eastAsia="仿宋" w:cs="仿宋"/>
          <w:color w:val="auto"/>
          <w:sz w:val="32"/>
          <w:szCs w:val="32"/>
        </w:rPr>
        <w:t>财政拨款收入</w:t>
      </w:r>
      <w:r>
        <w:rPr>
          <w:rFonts w:hint="eastAsia" w:ascii="仿宋" w:hAnsi="仿宋" w:eastAsia="仿宋" w:cs="仿宋"/>
          <w:color w:val="auto"/>
          <w:sz w:val="32"/>
          <w:szCs w:val="32"/>
          <w:lang w:val="en-US" w:eastAsia="zh-CN"/>
        </w:rPr>
        <w:t>341986231.15</w:t>
      </w:r>
      <w:r>
        <w:rPr>
          <w:rFonts w:hint="eastAsia" w:ascii="仿宋" w:hAnsi="仿宋" w:eastAsia="仿宋" w:cs="仿宋"/>
          <w:color w:val="auto"/>
          <w:sz w:val="32"/>
          <w:szCs w:val="32"/>
        </w:rPr>
        <w:t>元，支出总额</w:t>
      </w:r>
      <w:r>
        <w:rPr>
          <w:rFonts w:hint="eastAsia" w:ascii="仿宋" w:hAnsi="仿宋" w:eastAsia="仿宋" w:cs="仿宋"/>
          <w:color w:val="auto"/>
          <w:sz w:val="32"/>
          <w:szCs w:val="32"/>
          <w:lang w:val="en-US" w:eastAsia="zh-CN"/>
        </w:rPr>
        <w:t>341986231.15</w:t>
      </w:r>
      <w:r>
        <w:rPr>
          <w:rFonts w:hint="eastAsia" w:ascii="仿宋" w:hAnsi="仿宋" w:eastAsia="仿宋" w:cs="仿宋"/>
          <w:color w:val="auto"/>
          <w:sz w:val="32"/>
          <w:szCs w:val="32"/>
        </w:rPr>
        <w:t>元，其中基本支出</w:t>
      </w:r>
      <w:r>
        <w:rPr>
          <w:rFonts w:hint="eastAsia" w:ascii="仿宋" w:hAnsi="仿宋" w:eastAsia="仿宋" w:cs="仿宋"/>
          <w:color w:val="auto"/>
          <w:sz w:val="32"/>
          <w:szCs w:val="32"/>
          <w:lang w:val="en-US" w:eastAsia="zh-CN"/>
        </w:rPr>
        <w:t>188063129.7</w:t>
      </w:r>
      <w:r>
        <w:rPr>
          <w:rFonts w:hint="eastAsia" w:ascii="仿宋" w:hAnsi="仿宋" w:eastAsia="仿宋" w:cs="仿宋"/>
          <w:color w:val="auto"/>
          <w:sz w:val="32"/>
          <w:szCs w:val="32"/>
        </w:rPr>
        <w:t>元，项目支出</w:t>
      </w:r>
      <w:r>
        <w:rPr>
          <w:rFonts w:hint="eastAsia" w:ascii="仿宋" w:hAnsi="仿宋" w:eastAsia="仿宋" w:cs="仿宋"/>
          <w:color w:val="auto"/>
          <w:sz w:val="32"/>
          <w:szCs w:val="32"/>
          <w:lang w:val="en-US" w:eastAsia="zh-CN"/>
        </w:rPr>
        <w:t>153284640.59</w:t>
      </w:r>
      <w:r>
        <w:rPr>
          <w:rFonts w:hint="eastAsia" w:ascii="仿宋" w:hAnsi="仿宋" w:eastAsia="仿宋" w:cs="仿宋"/>
          <w:color w:val="auto"/>
          <w:sz w:val="32"/>
          <w:szCs w:val="32"/>
        </w:rPr>
        <w:t>元。20</w:t>
      </w:r>
      <w:r>
        <w:rPr>
          <w:rFonts w:hint="eastAsia" w:ascii="仿宋" w:hAnsi="仿宋" w:eastAsia="仿宋" w:cs="仿宋"/>
          <w:color w:val="auto"/>
          <w:sz w:val="32"/>
          <w:szCs w:val="32"/>
          <w:lang w:val="en-US" w:eastAsia="zh-CN"/>
        </w:rPr>
        <w:t>21</w:t>
      </w:r>
      <w:r>
        <w:rPr>
          <w:rFonts w:hint="eastAsia" w:ascii="仿宋" w:hAnsi="仿宋" w:eastAsia="仿宋" w:cs="仿宋"/>
          <w:color w:val="auto"/>
          <w:sz w:val="32"/>
          <w:szCs w:val="32"/>
        </w:rPr>
        <w:t>年</w:t>
      </w:r>
      <w:r>
        <w:rPr>
          <w:rFonts w:hint="eastAsia" w:ascii="仿宋" w:hAnsi="仿宋" w:eastAsia="仿宋" w:cs="仿宋"/>
          <w:color w:val="auto"/>
          <w:sz w:val="32"/>
          <w:szCs w:val="32"/>
          <w:lang w:eastAsia="zh-CN"/>
        </w:rPr>
        <w:t>部门</w:t>
      </w:r>
      <w:r>
        <w:rPr>
          <w:rFonts w:hint="eastAsia" w:ascii="仿宋" w:hAnsi="仿宋" w:eastAsia="仿宋" w:cs="仿宋"/>
          <w:color w:val="auto"/>
          <w:sz w:val="32"/>
          <w:szCs w:val="32"/>
        </w:rPr>
        <w:t>财政拨款收入</w:t>
      </w:r>
      <w:r>
        <w:rPr>
          <w:rFonts w:hint="eastAsia" w:ascii="仿宋" w:hAnsi="仿宋" w:eastAsia="仿宋" w:cs="仿宋"/>
          <w:color w:val="auto"/>
          <w:sz w:val="32"/>
          <w:szCs w:val="32"/>
          <w:lang w:val="en-US" w:eastAsia="zh-CN"/>
        </w:rPr>
        <w:t>265167891.41</w:t>
      </w:r>
      <w:r>
        <w:rPr>
          <w:rFonts w:hint="eastAsia" w:ascii="仿宋" w:hAnsi="仿宋" w:eastAsia="仿宋" w:cs="仿宋"/>
          <w:color w:val="auto"/>
          <w:sz w:val="32"/>
          <w:szCs w:val="32"/>
        </w:rPr>
        <w:t>元</w:t>
      </w:r>
      <w:r>
        <w:rPr>
          <w:rFonts w:hint="eastAsia" w:ascii="仿宋" w:hAnsi="仿宋" w:eastAsia="仿宋" w:cs="仿宋"/>
          <w:color w:val="auto"/>
          <w:sz w:val="32"/>
          <w:szCs w:val="32"/>
          <w:lang w:val="en-US" w:eastAsia="zh-CN"/>
        </w:rPr>
        <w:t>(含年初结转结余)</w:t>
      </w:r>
      <w:r>
        <w:rPr>
          <w:rFonts w:hint="eastAsia" w:ascii="仿宋" w:hAnsi="仿宋" w:eastAsia="仿宋" w:cs="仿宋"/>
          <w:color w:val="auto"/>
          <w:sz w:val="32"/>
          <w:szCs w:val="32"/>
        </w:rPr>
        <w:t>，支出总额</w:t>
      </w:r>
      <w:r>
        <w:rPr>
          <w:rFonts w:hint="eastAsia" w:ascii="仿宋" w:hAnsi="仿宋" w:eastAsia="仿宋" w:cs="仿宋"/>
          <w:color w:val="auto"/>
          <w:sz w:val="32"/>
          <w:szCs w:val="32"/>
          <w:lang w:val="en-US" w:eastAsia="zh-CN"/>
        </w:rPr>
        <w:t>265167891.41</w:t>
      </w:r>
      <w:r>
        <w:rPr>
          <w:rFonts w:hint="eastAsia" w:ascii="仿宋" w:hAnsi="仿宋" w:eastAsia="仿宋" w:cs="仿宋"/>
          <w:color w:val="auto"/>
          <w:sz w:val="32"/>
          <w:szCs w:val="32"/>
        </w:rPr>
        <w:t>元，其中基本支出</w:t>
      </w:r>
      <w:r>
        <w:rPr>
          <w:rFonts w:hint="eastAsia" w:ascii="仿宋" w:hAnsi="仿宋" w:eastAsia="仿宋" w:cs="仿宋"/>
          <w:color w:val="auto"/>
          <w:sz w:val="32"/>
          <w:szCs w:val="32"/>
          <w:lang w:val="en-US" w:eastAsia="zh-CN"/>
        </w:rPr>
        <w:t>89120285.10</w:t>
      </w:r>
      <w:r>
        <w:rPr>
          <w:rFonts w:hint="eastAsia" w:ascii="仿宋" w:hAnsi="仿宋" w:eastAsia="仿宋" w:cs="仿宋"/>
          <w:color w:val="auto"/>
          <w:sz w:val="32"/>
          <w:szCs w:val="32"/>
        </w:rPr>
        <w:t>元，项目支出</w:t>
      </w:r>
      <w:r>
        <w:rPr>
          <w:rFonts w:hint="eastAsia" w:ascii="仿宋" w:hAnsi="仿宋" w:eastAsia="仿宋" w:cs="仿宋"/>
          <w:color w:val="auto"/>
          <w:sz w:val="32"/>
          <w:szCs w:val="32"/>
          <w:lang w:val="en-US" w:eastAsia="zh-CN"/>
        </w:rPr>
        <w:t>131170759.29</w:t>
      </w:r>
      <w:r>
        <w:rPr>
          <w:rFonts w:hint="eastAsia" w:ascii="仿宋" w:hAnsi="仿宋" w:eastAsia="仿宋" w:cs="仿宋"/>
          <w:color w:val="auto"/>
          <w:sz w:val="32"/>
          <w:szCs w:val="32"/>
        </w:rPr>
        <w:t>元。上下年度收入相比</w:t>
      </w:r>
      <w:r>
        <w:rPr>
          <w:rFonts w:hint="eastAsia" w:ascii="仿宋" w:hAnsi="仿宋" w:eastAsia="仿宋" w:cs="仿宋"/>
          <w:color w:val="auto"/>
          <w:sz w:val="32"/>
          <w:szCs w:val="32"/>
          <w:lang w:eastAsia="zh-CN"/>
        </w:rPr>
        <w:t>增加</w:t>
      </w:r>
      <w:r>
        <w:rPr>
          <w:rFonts w:hint="eastAsia" w:ascii="仿宋" w:hAnsi="仿宋" w:eastAsia="仿宋" w:cs="仿宋"/>
          <w:color w:val="auto"/>
          <w:sz w:val="32"/>
          <w:szCs w:val="32"/>
          <w:lang w:val="en-US" w:eastAsia="zh-CN"/>
        </w:rPr>
        <w:t>76818339.74</w:t>
      </w:r>
      <w:r>
        <w:rPr>
          <w:rFonts w:hint="eastAsia" w:ascii="仿宋" w:hAnsi="仿宋" w:eastAsia="仿宋" w:cs="仿宋"/>
          <w:color w:val="auto"/>
          <w:sz w:val="32"/>
          <w:szCs w:val="32"/>
        </w:rPr>
        <w:t>元，支出</w:t>
      </w:r>
      <w:r>
        <w:rPr>
          <w:rFonts w:hint="eastAsia" w:ascii="仿宋" w:hAnsi="仿宋" w:eastAsia="仿宋" w:cs="仿宋"/>
          <w:color w:val="auto"/>
          <w:sz w:val="32"/>
          <w:szCs w:val="32"/>
          <w:lang w:eastAsia="zh-CN"/>
        </w:rPr>
        <w:t>增加</w:t>
      </w:r>
      <w:r>
        <w:rPr>
          <w:rFonts w:hint="eastAsia" w:ascii="仿宋" w:hAnsi="仿宋" w:eastAsia="仿宋" w:cs="仿宋"/>
          <w:color w:val="auto"/>
          <w:sz w:val="32"/>
          <w:szCs w:val="32"/>
          <w:lang w:val="en-US" w:eastAsia="zh-CN"/>
        </w:rPr>
        <w:t>76818339.74</w:t>
      </w:r>
      <w:r>
        <w:rPr>
          <w:rFonts w:hint="eastAsia" w:ascii="仿宋" w:hAnsi="仿宋" w:eastAsia="仿宋" w:cs="仿宋"/>
          <w:color w:val="auto"/>
          <w:sz w:val="32"/>
          <w:szCs w:val="32"/>
        </w:rPr>
        <w:t>元，其中基本支出</w:t>
      </w:r>
      <w:r>
        <w:rPr>
          <w:rFonts w:hint="eastAsia" w:ascii="仿宋" w:hAnsi="仿宋" w:eastAsia="仿宋" w:cs="仿宋"/>
          <w:color w:val="auto"/>
          <w:sz w:val="32"/>
          <w:szCs w:val="32"/>
          <w:lang w:eastAsia="zh-CN"/>
        </w:rPr>
        <w:t>增加</w:t>
      </w:r>
      <w:r>
        <w:rPr>
          <w:rFonts w:hint="eastAsia" w:ascii="仿宋" w:hAnsi="仿宋" w:eastAsia="仿宋" w:cs="仿宋"/>
          <w:color w:val="auto"/>
          <w:sz w:val="32"/>
          <w:szCs w:val="32"/>
          <w:lang w:val="en-US" w:eastAsia="zh-CN"/>
        </w:rPr>
        <w:t>98942844.6</w:t>
      </w:r>
      <w:r>
        <w:rPr>
          <w:rFonts w:hint="eastAsia" w:ascii="仿宋" w:hAnsi="仿宋" w:eastAsia="仿宋" w:cs="仿宋"/>
          <w:color w:val="auto"/>
          <w:sz w:val="32"/>
          <w:szCs w:val="32"/>
        </w:rPr>
        <w:t>元，项目支出</w:t>
      </w:r>
      <w:r>
        <w:rPr>
          <w:rFonts w:hint="eastAsia" w:ascii="仿宋" w:hAnsi="仿宋" w:eastAsia="仿宋" w:cs="仿宋"/>
          <w:color w:val="auto"/>
          <w:sz w:val="32"/>
          <w:szCs w:val="32"/>
          <w:lang w:eastAsia="zh-CN"/>
        </w:rPr>
        <w:t>增加</w:t>
      </w:r>
      <w:r>
        <w:rPr>
          <w:rFonts w:hint="eastAsia" w:ascii="仿宋" w:hAnsi="仿宋" w:eastAsia="仿宋" w:cs="仿宋"/>
          <w:color w:val="auto"/>
          <w:sz w:val="32"/>
          <w:szCs w:val="32"/>
          <w:lang w:val="en-US" w:eastAsia="zh-CN"/>
        </w:rPr>
        <w:t>22113881.3</w:t>
      </w:r>
      <w:r>
        <w:rPr>
          <w:rFonts w:hint="eastAsia" w:ascii="仿宋" w:hAnsi="仿宋" w:eastAsia="仿宋" w:cs="仿宋"/>
          <w:color w:val="auto"/>
          <w:sz w:val="32"/>
          <w:szCs w:val="32"/>
        </w:rPr>
        <w:t>元</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highlight w:val="none"/>
          <w:lang w:eastAsia="zh-CN"/>
        </w:rPr>
        <w:t>主要原因部分人员经费结转至</w:t>
      </w:r>
      <w:r>
        <w:rPr>
          <w:rFonts w:hint="eastAsia" w:ascii="仿宋" w:hAnsi="仿宋" w:eastAsia="仿宋" w:cs="仿宋"/>
          <w:color w:val="auto"/>
          <w:sz w:val="32"/>
          <w:szCs w:val="32"/>
          <w:highlight w:val="none"/>
          <w:lang w:val="en-US" w:eastAsia="zh-CN"/>
        </w:rPr>
        <w:t>2022年支出。2022年增加了东垣古城遗址公园</w:t>
      </w:r>
      <w:r>
        <w:rPr>
          <w:rFonts w:hint="eastAsia" w:ascii="仿宋" w:hAnsi="仿宋" w:eastAsia="仿宋" w:cs="仿宋"/>
          <w:color w:val="auto"/>
          <w:sz w:val="32"/>
          <w:szCs w:val="32"/>
          <w:lang w:eastAsia="zh-CN"/>
        </w:rPr>
        <w:t>项目、河北航空宣传、冬奥会和残奥会帮扶资金等项目。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总体绩效目标</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提升文旅公共服务功能。加强公共基础设施建设，推进公共文化领域重点改革任务，组织开展文化惠民活动</w:t>
      </w:r>
      <w:r>
        <w:rPr>
          <w:rFonts w:hint="eastAsia" w:ascii="仿宋" w:hAnsi="仿宋" w:eastAsia="仿宋" w:cs="仿宋"/>
          <w:sz w:val="32"/>
          <w:szCs w:val="32"/>
          <w:lang w:eastAsia="zh-CN"/>
        </w:rPr>
        <w:t>；</w:t>
      </w:r>
      <w:r>
        <w:rPr>
          <w:rFonts w:hint="eastAsia" w:ascii="仿宋" w:hAnsi="仿宋" w:eastAsia="仿宋" w:cs="仿宋"/>
          <w:sz w:val="32"/>
          <w:szCs w:val="32"/>
        </w:rPr>
        <w:t>加强文艺精品创作与生产。组织优秀剧目展演，继续打造演艺品牌，发行文化旅游惠民卡，拉动文化旅游消费</w:t>
      </w:r>
      <w:r>
        <w:rPr>
          <w:rFonts w:hint="eastAsia" w:ascii="仿宋" w:hAnsi="仿宋" w:eastAsia="仿宋" w:cs="仿宋"/>
          <w:sz w:val="32"/>
          <w:szCs w:val="32"/>
          <w:lang w:eastAsia="zh-CN"/>
        </w:rPr>
        <w:t>；</w:t>
      </w:r>
      <w:r>
        <w:rPr>
          <w:rFonts w:hint="eastAsia" w:ascii="仿宋" w:hAnsi="仿宋" w:eastAsia="仿宋" w:cs="仿宋"/>
          <w:sz w:val="32"/>
          <w:szCs w:val="32"/>
        </w:rPr>
        <w:t>做好文化遗产保护利用和传承。组织开展非遗等活动，提升文化传承影响力</w:t>
      </w:r>
      <w:r>
        <w:rPr>
          <w:rFonts w:hint="eastAsia" w:ascii="仿宋" w:hAnsi="仿宋" w:eastAsia="仿宋" w:cs="仿宋"/>
          <w:sz w:val="32"/>
          <w:szCs w:val="32"/>
          <w:lang w:eastAsia="zh-CN"/>
        </w:rPr>
        <w:t>；</w:t>
      </w:r>
      <w:r>
        <w:rPr>
          <w:rFonts w:hint="eastAsia" w:ascii="仿宋" w:hAnsi="仿宋" w:eastAsia="仿宋" w:cs="仿宋"/>
          <w:sz w:val="32"/>
          <w:szCs w:val="32"/>
        </w:rPr>
        <w:t>大力发展职业艺术教育，增强职业艺术教育发展活力。</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分项绩效目标</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（一）完善公共服务体系建设</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lang w:eastAsia="zh-CN"/>
        </w:rPr>
      </w:pPr>
      <w:r>
        <w:rPr>
          <w:rFonts w:hint="eastAsia" w:ascii="仿宋" w:hAnsi="仿宋" w:eastAsia="仿宋" w:cs="仿宋"/>
          <w:sz w:val="32"/>
          <w:szCs w:val="32"/>
        </w:rPr>
        <w:t>绩效目标：组织公共文化服务活动、群众文化活动，文化惠民工程，支持我市公共图书馆文化馆（站）推进免费开放；支持我市公共文化服务体系建设工作；支持基层公共文化设施提质升级、公共文化数字化建设</w:t>
      </w:r>
      <w:r>
        <w:rPr>
          <w:rFonts w:hint="eastAsia" w:ascii="仿宋" w:hAnsi="仿宋" w:eastAsia="仿宋" w:cs="仿宋"/>
          <w:sz w:val="32"/>
          <w:szCs w:val="32"/>
          <w:lang w:eastAsia="zh-CN"/>
        </w:rPr>
        <w:t>。</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绩效指标：公共图书馆文化馆（站）免费开放比例达到100%（不受疫情影响下），公共文化服务设施设置率即市县乡村公共文化服务设施数量占市县乡村数量的覆盖率85%以上，保障公共文化服务体系建设。</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(二)促进我市舞台艺术繁荣发展和文化惠民送戏下乡到基层</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 xml:space="preserve">绩效目标：大力推动舞台精品艺术创作，开展“走基层、送戏下乡”演出，提升“文化惠民”的知名度和影响力，打造我市公益演出的文化品牌。 </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绩效指标：全年计划创排复排提高精品剧节目6—8部（含加工提高整理）；“一月一名剧”文化惠民演出12场；六个院团进社区、进农村演出不少于800场。</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（三）促进非物质文化遗产传承发展</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绩效目标：支持非物质文化遗产保护和传承，着力保护非物质文化遗产传承实践、传承能力和传承环境，使非遗项目得到有效保护，非遗代表性传承人结构更加合理。</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指标：参加“文化和自然遗产日”等非遗宣传展示活动的人数持续增加。对市级非遗代表性项目进行补助，使项目存续状况得到进一步改善。给予259位市级非遗传承人补助资金，鼓励传承人发挥自我所长开展传承传播活动。</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（四）发展职业艺术教育</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绩效目标：突出择优扶强、扶持，启动重点建设精品和特色中职艺术教学项目。落实中等职业艺术学校免学费、助学金政策和生均公用经费标准。</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黑体" w:hAnsi="黑体" w:eastAsia="黑体"/>
          <w:sz w:val="32"/>
          <w:szCs w:val="32"/>
        </w:rPr>
      </w:pPr>
      <w:r>
        <w:rPr>
          <w:rFonts w:hint="eastAsia" w:ascii="仿宋" w:hAnsi="仿宋" w:eastAsia="仿宋" w:cs="仿宋"/>
          <w:sz w:val="32"/>
          <w:szCs w:val="32"/>
        </w:rPr>
        <w:t>绩效指标：实现舞台演出的精品教学项目占精品教学项目的比率≥90%以上，原创艺术教学项目的个数≥4个，校舍面积占在校生数的比例≥15%，家庭经济困难学生助学金覆盖率≥98%。</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keepNext w:val="0"/>
        <w:keepLines w:val="0"/>
        <w:pageBreakBefore w:val="0"/>
        <w:widowControl w:val="0"/>
        <w:kinsoku/>
        <w:wordWrap/>
        <w:overflowPunct/>
        <w:topLinePunct w:val="0"/>
        <w:autoSpaceDE/>
        <w:autoSpaceDN/>
        <w:bidi w:val="0"/>
        <w:spacing w:line="560" w:lineRule="exact"/>
        <w:ind w:left="0" w:leftChars="0" w:right="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楷体" w:hAnsi="楷体" w:eastAsia="楷体" w:cs="楷体"/>
          <w:b/>
          <w:bCs/>
          <w:sz w:val="32"/>
          <w:szCs w:val="32"/>
        </w:rPr>
        <w:t>（一）自评的组织工作</w:t>
      </w:r>
    </w:p>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 w:hAnsi="仿宋" w:eastAsia="仿宋" w:cs="仿宋"/>
          <w:color w:val="auto"/>
          <w:sz w:val="32"/>
          <w:szCs w:val="32"/>
          <w:lang w:eastAsia="zh-CN"/>
        </w:rPr>
      </w:pPr>
      <w:r>
        <w:rPr>
          <w:rFonts w:hint="eastAsia" w:ascii="仿宋" w:hAnsi="仿宋" w:eastAsia="仿宋" w:cs="仿宋"/>
          <w:sz w:val="32"/>
          <w:szCs w:val="32"/>
          <w:lang w:eastAsia="zh-CN"/>
        </w:rPr>
        <w:t>根据石财监【</w:t>
      </w:r>
      <w:r>
        <w:rPr>
          <w:rFonts w:hint="eastAsia" w:ascii="仿宋" w:hAnsi="仿宋" w:eastAsia="仿宋" w:cs="仿宋"/>
          <w:sz w:val="32"/>
          <w:szCs w:val="32"/>
          <w:lang w:val="en-US" w:eastAsia="zh-CN"/>
        </w:rPr>
        <w:t>2023</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1号文通知要求，我部门下发了《关于印发2023年绩效自评工作方案的通知》，成立了以党政一把手为组长，各科室分管局长为副组长，各科室负责人为成员的预算绩效管理工作领导小组。市直预算单位</w:t>
      </w:r>
      <w:r>
        <w:rPr>
          <w:rFonts w:hint="eastAsia" w:ascii="仿宋" w:hAnsi="仿宋" w:eastAsia="仿宋" w:cs="仿宋"/>
          <w:kern w:val="2"/>
          <w:sz w:val="32"/>
          <w:szCs w:val="32"/>
          <w:lang w:val="en-US" w:eastAsia="zh-CN" w:bidi="ar-SA"/>
        </w:rPr>
        <w:t>也要相应成立领导小组及办公室，制定工作实施方</w:t>
      </w:r>
      <w:r>
        <w:rPr>
          <w:rFonts w:hint="eastAsia" w:ascii="仿宋" w:hAnsi="仿宋" w:eastAsia="仿宋" w:cs="仿宋"/>
          <w:color w:val="auto"/>
          <w:sz w:val="32"/>
          <w:szCs w:val="32"/>
          <w:lang w:val="en-US" w:eastAsia="zh-CN"/>
        </w:rPr>
        <w:t>案。</w:t>
      </w:r>
    </w:p>
    <w:p>
      <w:pPr>
        <w:keepNext w:val="0"/>
        <w:keepLines w:val="0"/>
        <w:pageBreakBefore w:val="0"/>
        <w:widowControl w:val="0"/>
        <w:kinsoku/>
        <w:wordWrap/>
        <w:overflowPunct/>
        <w:topLinePunct w:val="0"/>
        <w:autoSpaceDE/>
        <w:autoSpaceDN/>
        <w:bidi w:val="0"/>
        <w:spacing w:line="560" w:lineRule="exact"/>
        <w:ind w:left="0" w:leftChars="0" w:right="0" w:firstLine="643" w:firstLineChars="200"/>
        <w:textAlignment w:val="auto"/>
        <w:outlineLvl w:val="9"/>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（二）自评的方法和过程</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按照资金“谁分配、谁使用、谁负责”原则，切实加强资金使用单位及科室的主体责任，绩效自评要以年初预算确定的项目绩效目标和绩效指标为依据，逐项进行对比分析，由局财务牵头，各资金单位和科室开展绩效自评工作。</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三、部门整体支出绩效目标实现情况及指标分析</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（一）总体绩效目标实现情况</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outlineLvl w:val="9"/>
        <w:rPr>
          <w:rFonts w:hint="eastAsia" w:ascii="黑体" w:hAnsi="黑体" w:eastAsia="黑体" w:cs="黑体"/>
          <w:color w:val="auto"/>
          <w:sz w:val="32"/>
          <w:szCs w:val="32"/>
          <w:lang w:val="en-US" w:eastAsia="zh-CN"/>
        </w:rPr>
      </w:pPr>
      <w:r>
        <w:rPr>
          <w:rFonts w:hint="eastAsia" w:ascii="仿宋_GB2312" w:hAnsi="仿宋_GB2312" w:eastAsia="仿宋_GB2312" w:cs="仿宋_GB2312"/>
          <w:i w:val="0"/>
          <w:caps w:val="0"/>
          <w:color w:val="auto"/>
          <w:spacing w:val="0"/>
          <w:sz w:val="32"/>
          <w:szCs w:val="32"/>
          <w:shd w:val="clear" w:color="auto" w:fill="FFFFFF"/>
          <w:lang w:val="en-US" w:eastAsia="zh-CN"/>
        </w:rPr>
        <w:t>2022年</w:t>
      </w:r>
      <w:r>
        <w:rPr>
          <w:rFonts w:hint="eastAsia" w:ascii="仿宋_GB2312" w:hAnsi="仿宋_GB2312" w:eastAsia="仿宋_GB2312" w:cs="仿宋_GB2312"/>
          <w:i w:val="0"/>
          <w:caps w:val="0"/>
          <w:color w:val="auto"/>
          <w:spacing w:val="0"/>
          <w:sz w:val="32"/>
          <w:szCs w:val="32"/>
          <w:shd w:val="clear" w:color="auto" w:fill="FFFFFF"/>
          <w:lang w:eastAsia="zh-CN"/>
        </w:rPr>
        <w:t>，</w:t>
      </w:r>
      <w:r>
        <w:rPr>
          <w:rFonts w:hint="eastAsia" w:ascii="仿宋_GB2312" w:hAnsi="仿宋_GB2312" w:eastAsia="仿宋_GB2312" w:cs="仿宋_GB2312"/>
          <w:i w:val="0"/>
          <w:caps w:val="0"/>
          <w:color w:val="auto"/>
          <w:spacing w:val="0"/>
          <w:sz w:val="32"/>
          <w:szCs w:val="32"/>
          <w:shd w:val="clear" w:color="auto" w:fill="FFFFFF"/>
          <w:lang w:val="en-US" w:eastAsia="zh-CN"/>
        </w:rPr>
        <w:t>市文旅</w:t>
      </w:r>
      <w:r>
        <w:rPr>
          <w:rFonts w:hint="eastAsia" w:ascii="仿宋_GB2312" w:hAnsi="仿宋_GB2312" w:eastAsia="仿宋_GB2312" w:cs="仿宋_GB2312"/>
          <w:i w:val="0"/>
          <w:caps w:val="0"/>
          <w:color w:val="auto"/>
          <w:spacing w:val="0"/>
          <w:sz w:val="32"/>
          <w:szCs w:val="32"/>
          <w:shd w:val="clear" w:color="auto" w:fill="FFFFFF"/>
          <w:lang w:eastAsia="zh-CN"/>
        </w:rPr>
        <w:t>局</w:t>
      </w:r>
      <w:r>
        <w:rPr>
          <w:rFonts w:hint="eastAsia" w:ascii="仿宋_GB2312" w:hAnsi="仿宋_GB2312" w:eastAsia="仿宋_GB2312" w:cs="仿宋_GB2312"/>
          <w:i w:val="0"/>
          <w:caps w:val="0"/>
          <w:color w:val="auto"/>
          <w:spacing w:val="0"/>
          <w:sz w:val="32"/>
          <w:szCs w:val="32"/>
          <w:shd w:val="clear" w:color="auto" w:fill="FFFFFF"/>
        </w:rPr>
        <w:t>坚决贯彻</w:t>
      </w:r>
      <w:r>
        <w:rPr>
          <w:rFonts w:hint="eastAsia" w:ascii="仿宋_GB2312" w:hAnsi="仿宋_GB2312" w:eastAsia="仿宋_GB2312" w:cs="仿宋_GB2312"/>
          <w:i w:val="0"/>
          <w:caps w:val="0"/>
          <w:color w:val="auto"/>
          <w:spacing w:val="0"/>
          <w:sz w:val="32"/>
          <w:szCs w:val="32"/>
          <w:shd w:val="clear" w:color="auto" w:fill="FFFFFF"/>
          <w:lang w:val="en-US" w:eastAsia="zh-CN"/>
        </w:rPr>
        <w:t>落实党中央“疫情要防住、经济要稳住、发展要安全”重要指示要求，认真落实</w:t>
      </w:r>
      <w:r>
        <w:rPr>
          <w:rFonts w:hint="eastAsia" w:ascii="仿宋_GB2312" w:hAnsi="仿宋_GB2312" w:eastAsia="仿宋_GB2312" w:cs="仿宋_GB2312"/>
          <w:i w:val="0"/>
          <w:caps w:val="0"/>
          <w:color w:val="auto"/>
          <w:spacing w:val="0"/>
          <w:sz w:val="32"/>
          <w:szCs w:val="32"/>
          <w:shd w:val="clear" w:color="auto" w:fill="FFFFFF"/>
          <w:lang w:eastAsia="zh-CN"/>
        </w:rPr>
        <w:t>市</w:t>
      </w:r>
      <w:r>
        <w:rPr>
          <w:rFonts w:hint="eastAsia" w:ascii="仿宋_GB2312" w:hAnsi="仿宋_GB2312" w:eastAsia="仿宋_GB2312" w:cs="仿宋_GB2312"/>
          <w:i w:val="0"/>
          <w:caps w:val="0"/>
          <w:color w:val="auto"/>
          <w:spacing w:val="0"/>
          <w:sz w:val="32"/>
          <w:szCs w:val="32"/>
          <w:shd w:val="clear" w:color="auto" w:fill="FFFFFF"/>
        </w:rPr>
        <w:t>委</w:t>
      </w:r>
      <w:r>
        <w:rPr>
          <w:rFonts w:hint="eastAsia" w:ascii="仿宋_GB2312" w:hAnsi="仿宋_GB2312" w:eastAsia="仿宋_GB2312" w:cs="仿宋_GB2312"/>
          <w:i w:val="0"/>
          <w:caps w:val="0"/>
          <w:color w:val="auto"/>
          <w:spacing w:val="0"/>
          <w:sz w:val="32"/>
          <w:szCs w:val="32"/>
          <w:shd w:val="clear" w:color="auto" w:fill="FFFFFF"/>
          <w:lang w:eastAsia="zh-CN"/>
        </w:rPr>
        <w:t>市</w:t>
      </w:r>
      <w:r>
        <w:rPr>
          <w:rFonts w:hint="eastAsia" w:ascii="仿宋_GB2312" w:hAnsi="仿宋_GB2312" w:eastAsia="仿宋_GB2312" w:cs="仿宋_GB2312"/>
          <w:i w:val="0"/>
          <w:caps w:val="0"/>
          <w:color w:val="auto"/>
          <w:spacing w:val="0"/>
          <w:sz w:val="32"/>
          <w:szCs w:val="32"/>
          <w:shd w:val="clear" w:color="auto" w:fill="FFFFFF"/>
        </w:rPr>
        <w:t>政府</w:t>
      </w:r>
      <w:r>
        <w:rPr>
          <w:rFonts w:hint="eastAsia" w:ascii="仿宋_GB2312" w:hAnsi="仿宋_GB2312" w:eastAsia="仿宋_GB2312" w:cs="仿宋_GB2312"/>
          <w:i w:val="0"/>
          <w:caps w:val="0"/>
          <w:color w:val="auto"/>
          <w:spacing w:val="0"/>
          <w:sz w:val="32"/>
          <w:szCs w:val="32"/>
          <w:shd w:val="clear" w:color="auto" w:fill="FFFFFF"/>
          <w:lang w:eastAsia="zh-CN"/>
        </w:rPr>
        <w:t>决策部署，</w:t>
      </w:r>
      <w:r>
        <w:rPr>
          <w:rFonts w:hint="eastAsia" w:ascii="仿宋_GB2312" w:hAnsi="仿宋_GB2312" w:eastAsia="仿宋_GB2312" w:cs="仿宋_GB2312"/>
          <w:i w:val="0"/>
          <w:caps w:val="0"/>
          <w:color w:val="auto"/>
          <w:spacing w:val="0"/>
          <w:sz w:val="32"/>
          <w:szCs w:val="32"/>
          <w:shd w:val="clear" w:color="auto" w:fill="FFFFFF"/>
        </w:rPr>
        <w:t>统筹</w:t>
      </w:r>
      <w:r>
        <w:rPr>
          <w:rFonts w:hint="eastAsia" w:ascii="仿宋_GB2312" w:hAnsi="仿宋_GB2312" w:eastAsia="仿宋_GB2312" w:cs="仿宋_GB2312"/>
          <w:i w:val="0"/>
          <w:caps w:val="0"/>
          <w:color w:val="auto"/>
          <w:spacing w:val="0"/>
          <w:sz w:val="32"/>
          <w:szCs w:val="32"/>
          <w:shd w:val="clear" w:color="auto" w:fill="FFFFFF"/>
          <w:lang w:eastAsia="zh-CN"/>
        </w:rPr>
        <w:t>推进</w:t>
      </w:r>
      <w:r>
        <w:rPr>
          <w:rFonts w:hint="eastAsia" w:ascii="仿宋_GB2312" w:hAnsi="仿宋_GB2312" w:eastAsia="仿宋_GB2312" w:cs="仿宋_GB2312"/>
          <w:i w:val="0"/>
          <w:caps w:val="0"/>
          <w:color w:val="auto"/>
          <w:spacing w:val="0"/>
          <w:sz w:val="32"/>
          <w:szCs w:val="32"/>
          <w:shd w:val="clear" w:color="auto" w:fill="FFFFFF"/>
        </w:rPr>
        <w:t>疫情防控</w:t>
      </w:r>
      <w:r>
        <w:rPr>
          <w:rFonts w:hint="eastAsia" w:ascii="仿宋_GB2312" w:hAnsi="仿宋_GB2312" w:eastAsia="仿宋_GB2312" w:cs="仿宋_GB2312"/>
          <w:i w:val="0"/>
          <w:caps w:val="0"/>
          <w:color w:val="auto"/>
          <w:spacing w:val="0"/>
          <w:sz w:val="32"/>
          <w:szCs w:val="32"/>
          <w:shd w:val="clear" w:color="auto" w:fill="FFFFFF"/>
          <w:lang w:eastAsia="zh-CN"/>
        </w:rPr>
        <w:t>和文旅事业发展</w:t>
      </w:r>
      <w:r>
        <w:rPr>
          <w:rFonts w:hint="eastAsia" w:ascii="仿宋_GB2312" w:hAnsi="仿宋_GB2312" w:eastAsia="仿宋_GB2312" w:cs="仿宋_GB2312"/>
          <w:i w:val="0"/>
          <w:caps w:val="0"/>
          <w:color w:val="auto"/>
          <w:spacing w:val="0"/>
          <w:sz w:val="32"/>
          <w:szCs w:val="32"/>
          <w:shd w:val="clear" w:color="auto" w:fill="FFFFFF"/>
        </w:rPr>
        <w:t>，</w:t>
      </w:r>
      <w:r>
        <w:rPr>
          <w:rFonts w:hint="eastAsia" w:ascii="仿宋_GB2312" w:hAnsi="仿宋_GB2312" w:eastAsia="仿宋_GB2312" w:cs="仿宋_GB2312"/>
          <w:i w:val="0"/>
          <w:caps w:val="0"/>
          <w:color w:val="auto"/>
          <w:spacing w:val="0"/>
          <w:sz w:val="32"/>
          <w:szCs w:val="32"/>
          <w:shd w:val="clear" w:color="auto" w:fill="FFFFFF"/>
          <w:lang w:eastAsia="zh-CN"/>
        </w:rPr>
        <w:t>积极推动各项工作取得明显成效</w:t>
      </w:r>
      <w:r>
        <w:rPr>
          <w:rFonts w:hint="eastAsia" w:ascii="仿宋_GB2312" w:hAnsi="仿宋_GB2312" w:eastAsia="仿宋_GB2312" w:cs="仿宋_GB2312"/>
          <w:i w:val="0"/>
          <w:caps w:val="0"/>
          <w:color w:val="auto"/>
          <w:spacing w:val="0"/>
          <w:sz w:val="32"/>
          <w:szCs w:val="32"/>
          <w:shd w:val="clear" w:color="auto" w:fill="FFFFFF"/>
        </w:rPr>
        <w:t>。</w:t>
      </w:r>
    </w:p>
    <w:p>
      <w:pPr>
        <w:pageBreakBefore w:val="0"/>
        <w:kinsoku/>
        <w:wordWrap/>
        <w:overflowPunct/>
        <w:topLinePunct w:val="0"/>
        <w:autoSpaceDE/>
        <w:autoSpaceDN/>
        <w:bidi w:val="0"/>
        <w:adjustRightInd/>
        <w:snapToGrid/>
        <w:spacing w:line="560" w:lineRule="exact"/>
        <w:ind w:right="0" w:righ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楷体" w:hAnsi="楷体" w:eastAsia="楷体" w:cs="楷体"/>
          <w:b w:val="0"/>
          <w:bCs w:val="0"/>
          <w:color w:val="auto"/>
          <w:sz w:val="32"/>
          <w:szCs w:val="32"/>
          <w:lang w:val="en-US" w:eastAsia="zh-CN"/>
        </w:rPr>
        <w:t>认真做好旅游强市行动方案制定工作。</w:t>
      </w:r>
      <w:r>
        <w:rPr>
          <w:rFonts w:hint="eastAsia" w:ascii="仿宋_GB2312" w:hAnsi="仿宋_GB2312" w:eastAsia="仿宋_GB2312" w:cs="仿宋_GB2312"/>
          <w:color w:val="auto"/>
          <w:sz w:val="32"/>
          <w:szCs w:val="32"/>
          <w:lang w:val="en-US" w:eastAsia="zh-CN"/>
        </w:rPr>
        <w:t>拟制了《石家庄市旅游强市行动方案》</w:t>
      </w:r>
      <w:r>
        <w:rPr>
          <w:rFonts w:hint="eastAsia" w:ascii="楷体" w:hAnsi="楷体" w:eastAsia="楷体" w:cs="楷体"/>
          <w:b w:val="0"/>
          <w:bCs w:val="0"/>
          <w:color w:val="auto"/>
          <w:sz w:val="32"/>
          <w:szCs w:val="32"/>
          <w:lang w:val="en-US" w:eastAsia="zh-CN"/>
        </w:rPr>
        <w:t>。</w:t>
      </w:r>
      <w:r>
        <w:rPr>
          <w:rFonts w:hint="eastAsia" w:ascii="楷体" w:hAnsi="楷体" w:eastAsia="楷体" w:cs="楷体"/>
          <w:b w:val="0"/>
          <w:bCs w:val="0"/>
          <w:i w:val="0"/>
          <w:caps w:val="0"/>
          <w:color w:val="auto"/>
          <w:spacing w:val="0"/>
          <w:sz w:val="32"/>
          <w:szCs w:val="32"/>
          <w:shd w:val="clear" w:color="auto" w:fill="FFFFFF"/>
          <w:lang w:val="en-US" w:eastAsia="zh-CN"/>
        </w:rPr>
        <w:t>实施文化惠民工程，公共文化服务成效显著。</w:t>
      </w:r>
      <w:r>
        <w:rPr>
          <w:rFonts w:hint="eastAsia" w:ascii="仿宋_GB2312" w:hAnsi="仿宋_GB2312" w:eastAsia="仿宋_GB2312" w:cs="仿宋_GB2312"/>
          <w:color w:val="auto"/>
          <w:sz w:val="32"/>
          <w:szCs w:val="32"/>
          <w:lang w:val="en-US" w:eastAsia="zh-CN"/>
        </w:rPr>
        <w:t>市图书馆新馆二期开放工作有序推进。市博物馆新馆已重新选址，现按照全市城市更新项目建设规划在太平河起步区开工建设。积极开展旅游厕所革命建设，</w:t>
      </w:r>
      <w:r>
        <w:rPr>
          <w:rFonts w:hint="eastAsia" w:ascii="楷体" w:hAnsi="楷体" w:eastAsia="楷体" w:cs="楷体"/>
          <w:b w:val="0"/>
          <w:bCs w:val="0"/>
          <w:color w:val="auto"/>
          <w:sz w:val="32"/>
          <w:szCs w:val="32"/>
          <w:lang w:val="en-US" w:eastAsia="zh-CN"/>
        </w:rPr>
        <w:t>加大精品文艺创作，人民群众文化获得感不断提升。</w:t>
      </w:r>
      <w:r>
        <w:rPr>
          <w:rFonts w:hint="eastAsia" w:ascii="仿宋_GB2312" w:hAnsi="仿宋_GB2312" w:eastAsia="仿宋_GB2312" w:cs="仿宋_GB2312"/>
          <w:color w:val="auto"/>
          <w:sz w:val="32"/>
          <w:szCs w:val="32"/>
          <w:lang w:val="en-US" w:eastAsia="zh-CN"/>
        </w:rPr>
        <w:t>为庆祝石家庄解放七十五周年，迎接党的二十大胜利召开，组织创排了传统评剧《大医李杲》、歌舞剧《石家庄——1947》、京梆两下锅《响九霄》、丝弦剧目《杨门女将》。积极引进包括国艺基金京剧《丝路花雨》、大型音乐舞台剧《冰雪奇缘》、桂冠之声系列演出等在内的京津及省内外优秀剧目来石演出，丰富了我市演艺市场。配合国家文旅部、省文旅厅圆满完成第十三届中国艺术节石家庄赛区各项活动。在国家大剧院举办的第十三届中国艺术节开幕式上，我市评剧院一团参演的评剧短剧《手中饭碗端得稳》惊艳亮相。《井陉拉花·扭春》和坠子小戏《一个也不能少》入围决赛，全省仅有7个作品入围。</w:t>
      </w:r>
      <w:r>
        <w:rPr>
          <w:rFonts w:hint="eastAsia" w:ascii="楷体" w:hAnsi="楷体" w:eastAsia="楷体" w:cs="楷体"/>
          <w:b w:val="0"/>
          <w:bCs w:val="0"/>
          <w:i w:val="0"/>
          <w:caps w:val="0"/>
          <w:color w:val="auto"/>
          <w:spacing w:val="0"/>
          <w:sz w:val="32"/>
          <w:szCs w:val="32"/>
          <w:shd w:val="clear" w:color="auto" w:fill="FFFFFF"/>
          <w:lang w:val="en-US" w:eastAsia="zh-CN"/>
        </w:rPr>
        <w:t>推动文旅产业健康发展，文化旅游事业不断提升。</w:t>
      </w:r>
      <w:r>
        <w:rPr>
          <w:rFonts w:hint="eastAsia" w:ascii="仿宋_GB2312" w:hAnsi="仿宋_GB2312" w:eastAsia="仿宋_GB2312" w:cs="仿宋_GB2312"/>
          <w:color w:val="auto"/>
          <w:sz w:val="32"/>
          <w:szCs w:val="32"/>
          <w:lang w:val="en-US" w:eastAsia="zh-CN"/>
        </w:rPr>
        <w:t>研究谋划了《石家庄市文化旅游产业高质量发展实施方案》及支持文旅产业高质量发展的若干措施和《石家庄市促进文化产业和旅游业恢复发展的十八条政策措施》，稳住文旅行业发展基本盘，为推动文旅产业高质量发展提供了坚强支撑。加大文创和旅游商品开发，筛选推荐优秀文创产品参加全省文创和旅游商品大赛，在进入全省决赛的100个文创商品中，我市有17个进入决赛。</w:t>
      </w:r>
      <w:r>
        <w:rPr>
          <w:rFonts w:hint="eastAsia" w:ascii="楷体" w:hAnsi="楷体" w:eastAsia="楷体" w:cs="楷体"/>
          <w:b w:val="0"/>
          <w:bCs w:val="0"/>
          <w:i w:val="0"/>
          <w:caps w:val="0"/>
          <w:color w:val="auto"/>
          <w:spacing w:val="0"/>
          <w:sz w:val="32"/>
          <w:szCs w:val="32"/>
          <w:shd w:val="clear" w:color="auto" w:fill="FFFFFF"/>
          <w:lang w:val="en-US" w:eastAsia="zh-CN"/>
        </w:rPr>
        <w:t>加大文化遗产传承保护，优秀传统文化实现了创造性转化、创新性发展。</w:t>
      </w:r>
      <w:r>
        <w:rPr>
          <w:rFonts w:hint="eastAsia" w:ascii="仿宋_GB2312" w:hAnsi="仿宋_GB2312" w:eastAsia="仿宋_GB2312" w:cs="仿宋_GB2312"/>
          <w:color w:val="auto"/>
          <w:sz w:val="32"/>
          <w:szCs w:val="32"/>
          <w:lang w:val="en-US" w:eastAsia="zh-CN"/>
        </w:rPr>
        <w:t>大力推动东垣古城遗址公园规划建设，配合有关单位完成了东垣遗址公园环境整治工作，遗址公园一期项目已于9月30日向市民开放。东垣古城遗址考古勘探工作计划已获得省文物局批复同意，考古队伍已于12月初进驻并开展发掘工作。举办中华传统刺绣艺术展，组织我市邢氏刺绣、赞皇原村土布等10余项省、市级非遗项目参展。启动了石家庄非遗旅游指南和非遗主题线路策划工作，促进非遗与旅游融合发展。</w:t>
      </w:r>
      <w:r>
        <w:rPr>
          <w:rFonts w:hint="eastAsia" w:ascii="楷体" w:hAnsi="楷体" w:eastAsia="楷体" w:cs="楷体"/>
          <w:b w:val="0"/>
          <w:bCs w:val="0"/>
          <w:color w:val="auto"/>
          <w:sz w:val="32"/>
          <w:szCs w:val="32"/>
          <w:lang w:eastAsia="zh-CN"/>
        </w:rPr>
        <w:t>认真筹备、精准帮扶</w:t>
      </w:r>
      <w:r>
        <w:rPr>
          <w:rFonts w:hint="eastAsia" w:ascii="楷体" w:hAnsi="楷体" w:eastAsia="楷体" w:cs="楷体"/>
          <w:b w:val="0"/>
          <w:bCs w:val="0"/>
          <w:color w:val="auto"/>
          <w:sz w:val="32"/>
          <w:szCs w:val="32"/>
        </w:rPr>
        <w:t>，</w:t>
      </w:r>
      <w:r>
        <w:rPr>
          <w:rFonts w:hint="eastAsia" w:ascii="楷体" w:hAnsi="楷体" w:eastAsia="楷体" w:cs="楷体"/>
          <w:b w:val="0"/>
          <w:bCs w:val="0"/>
          <w:color w:val="auto"/>
          <w:sz w:val="32"/>
          <w:szCs w:val="32"/>
          <w:lang w:val="en-US" w:eastAsia="zh-CN"/>
        </w:rPr>
        <w:t>圆满完成了</w:t>
      </w:r>
      <w:r>
        <w:rPr>
          <w:rFonts w:hint="eastAsia" w:ascii="楷体" w:hAnsi="楷体" w:eastAsia="楷体" w:cs="楷体"/>
          <w:b w:val="0"/>
          <w:bCs w:val="0"/>
          <w:color w:val="auto"/>
          <w:sz w:val="32"/>
          <w:szCs w:val="32"/>
        </w:rPr>
        <w:t>冬奥会签约饭店服务</w:t>
      </w:r>
      <w:r>
        <w:rPr>
          <w:rFonts w:hint="eastAsia" w:ascii="楷体" w:hAnsi="楷体" w:eastAsia="楷体" w:cs="楷体"/>
          <w:b w:val="0"/>
          <w:bCs w:val="0"/>
          <w:color w:val="auto"/>
          <w:sz w:val="32"/>
          <w:szCs w:val="32"/>
          <w:lang w:eastAsia="zh-CN"/>
        </w:rPr>
        <w:t>保障</w:t>
      </w:r>
      <w:r>
        <w:rPr>
          <w:rFonts w:hint="eastAsia" w:ascii="楷体" w:hAnsi="楷体" w:eastAsia="楷体" w:cs="楷体"/>
          <w:b w:val="0"/>
          <w:bCs w:val="0"/>
          <w:color w:val="auto"/>
          <w:sz w:val="32"/>
          <w:szCs w:val="32"/>
          <w:lang w:val="en-US" w:eastAsia="zh-CN"/>
        </w:rPr>
        <w:t>任务</w:t>
      </w:r>
      <w:r>
        <w:rPr>
          <w:rFonts w:hint="eastAsia" w:ascii="楷体" w:hAnsi="楷体" w:eastAsia="楷体" w:cs="楷体"/>
          <w:b w:val="0"/>
          <w:bCs w:val="0"/>
          <w:color w:val="auto"/>
          <w:sz w:val="32"/>
          <w:szCs w:val="32"/>
          <w:lang w:eastAsia="zh-CN"/>
        </w:rPr>
        <w:t>。</w:t>
      </w:r>
    </w:p>
    <w:p>
      <w:pPr>
        <w:pageBreakBefore w:val="0"/>
        <w:kinsoku/>
        <w:wordWrap/>
        <w:overflowPunct/>
        <w:topLinePunct w:val="0"/>
        <w:autoSpaceDE/>
        <w:autoSpaceDN/>
        <w:bidi w:val="0"/>
        <w:adjustRightInd/>
        <w:snapToGrid/>
        <w:spacing w:line="560" w:lineRule="exact"/>
        <w:ind w:right="0" w:rightChars="0" w:firstLine="640" w:firstLineChars="200"/>
        <w:jc w:val="both"/>
        <w:textAlignment w:val="auto"/>
        <w:rPr>
          <w:rFonts w:hint="default"/>
          <w:lang w:val="en-US" w:eastAsia="zh-CN"/>
        </w:rPr>
      </w:pPr>
      <w:r>
        <w:rPr>
          <w:rFonts w:hint="eastAsia" w:ascii="仿宋_GB2312" w:hAnsi="仿宋_GB2312" w:eastAsia="仿宋_GB2312" w:cs="仿宋_GB2312"/>
          <w:color w:val="auto"/>
          <w:sz w:val="32"/>
          <w:szCs w:val="32"/>
          <w:lang w:val="en-US" w:eastAsia="zh-CN"/>
        </w:rPr>
        <w:t>据文旅部数据中心发布显示，石家庄市域游客接待量在全国50强城市中，已由2019年的第19位，跃升至2021年5月--2022年4月的第9位，游客接待量位次实现大提升。</w:t>
      </w:r>
    </w:p>
    <w:p>
      <w:pPr>
        <w:keepNext w:val="0"/>
        <w:keepLines w:val="0"/>
        <w:pageBreakBefore w:val="0"/>
        <w:widowControl w:val="0"/>
        <w:numPr>
          <w:ilvl w:val="0"/>
          <w:numId w:val="0"/>
        </w:numPr>
        <w:kinsoku/>
        <w:wordWrap/>
        <w:overflowPunct/>
        <w:topLinePunct w:val="0"/>
        <w:autoSpaceDE/>
        <w:autoSpaceDN/>
        <w:bidi w:val="0"/>
        <w:spacing w:line="560" w:lineRule="exact"/>
        <w:ind w:leftChars="200" w:right="0" w:rightChars="0" w:firstLine="321" w:firstLineChars="1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（二）分项绩效目标实现情况及指标分析</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color w:val="auto"/>
          <w:sz w:val="32"/>
          <w:szCs w:val="32"/>
        </w:rPr>
      </w:pPr>
      <w:r>
        <w:rPr>
          <w:rFonts w:hint="eastAsia" w:ascii="楷体" w:hAnsi="楷体" w:eastAsia="楷体" w:cs="楷体"/>
          <w:color w:val="auto"/>
          <w:sz w:val="32"/>
          <w:szCs w:val="32"/>
          <w:lang w:val="en-US" w:eastAsia="zh-CN"/>
        </w:rPr>
        <w:t xml:space="preserve"> 1.公共文化服务</w:t>
      </w:r>
      <w:r>
        <w:rPr>
          <w:rFonts w:hint="eastAsia" w:ascii="仿宋" w:hAnsi="仿宋" w:eastAsia="仿宋" w:cs="仿宋"/>
          <w:color w:val="auto"/>
          <w:sz w:val="32"/>
          <w:szCs w:val="32"/>
        </w:rPr>
        <w:t>完善公共服务体系建设</w:t>
      </w:r>
    </w:p>
    <w:p>
      <w:pPr>
        <w:pageBreakBefore w:val="0"/>
        <w:kinsoku/>
        <w:wordWrap/>
        <w:overflowPunct/>
        <w:topLinePunct w:val="0"/>
        <w:autoSpaceDE/>
        <w:autoSpaceDN/>
        <w:bidi w:val="0"/>
        <w:adjustRightInd/>
        <w:snapToGrid/>
        <w:spacing w:line="560" w:lineRule="exact"/>
        <w:ind w:right="0" w:rightChars="0" w:firstLine="640" w:firstLineChars="200"/>
        <w:jc w:val="both"/>
        <w:textAlignment w:val="auto"/>
        <w:rPr>
          <w:rFonts w:hint="default" w:eastAsia="仿宋"/>
          <w:lang w:val="en-US" w:eastAsia="zh-CN"/>
        </w:rPr>
      </w:pPr>
      <w:r>
        <w:rPr>
          <w:rFonts w:hint="eastAsia" w:ascii="仿宋" w:hAnsi="仿宋" w:eastAsia="仿宋" w:cs="仿宋"/>
          <w:sz w:val="32"/>
          <w:szCs w:val="32"/>
        </w:rPr>
        <w:t>市县两级公共文化馆图书馆覆盖率100%，乡镇文化站覆盖率100%，并按要求免费向公众开放</w:t>
      </w:r>
      <w:r>
        <w:rPr>
          <w:rFonts w:hint="eastAsia" w:ascii="仿宋" w:hAnsi="仿宋" w:eastAsia="仿宋" w:cs="仿宋"/>
          <w:sz w:val="32"/>
          <w:szCs w:val="32"/>
          <w:lang w:eastAsia="zh-CN"/>
        </w:rPr>
        <w:t>。</w:t>
      </w:r>
      <w:r>
        <w:rPr>
          <w:rFonts w:hint="eastAsia" w:ascii="仿宋_GB2312" w:hAnsi="仿宋_GB2312" w:eastAsia="仿宋_GB2312" w:cs="仿宋_GB2312"/>
          <w:color w:val="auto"/>
          <w:sz w:val="32"/>
          <w:szCs w:val="32"/>
          <w:lang w:val="en-US" w:eastAsia="zh-CN"/>
        </w:rPr>
        <w:t>积极开展旅游厕所革命建设，圆满完成2</w:t>
      </w:r>
      <w:r>
        <w:rPr>
          <w:rFonts w:hint="default"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座旅游厕所建设任务（省厅指标20座），完工率</w:t>
      </w:r>
      <w:r>
        <w:rPr>
          <w:rFonts w:hint="default" w:ascii="仿宋_GB2312" w:hAnsi="仿宋_GB2312" w:eastAsia="仿宋_GB2312" w:cs="仿宋_GB2312"/>
          <w:color w:val="auto"/>
          <w:sz w:val="32"/>
          <w:szCs w:val="32"/>
          <w:lang w:val="en-US" w:eastAsia="zh-CN"/>
        </w:rPr>
        <w:t>110%</w:t>
      </w:r>
      <w:r>
        <w:rPr>
          <w:rFonts w:hint="eastAsia" w:ascii="仿宋_GB2312" w:hAnsi="仿宋_GB2312" w:eastAsia="仿宋_GB2312" w:cs="仿宋_GB2312"/>
          <w:color w:val="auto"/>
          <w:sz w:val="32"/>
          <w:szCs w:val="32"/>
          <w:lang w:val="en-US" w:eastAsia="zh-CN"/>
        </w:rPr>
        <w:t>。组织实施文化旅游惠民工程，办理文旅惠民卡共63000张（其中文化惠民卡15000张，旅游惠民卡48000张），发放文化惠民券287000张，均超额完成任务。组织开展各类文化惠民演出</w:t>
      </w:r>
      <w:r>
        <w:rPr>
          <w:rFonts w:hint="default"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lang w:val="en-US" w:eastAsia="zh-CN"/>
        </w:rPr>
        <w:t>29场，进一步丰富了群众文化生活。积极开展文化和旅游消费进社区、进街区、进园区“三进”活动，派发1万张总金额20万元的文旅消费券，通过中国银联“云闪付APP</w:t>
      </w:r>
      <w:r>
        <w:rPr>
          <w:rFonts w:hint="default"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val="en-US" w:eastAsia="zh-CN"/>
        </w:rPr>
        <w:t>平台发放石家庄文旅惠民消费券200万元，进一步拉动文旅市场消费，带动了市场经济发展。</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2.</w:t>
      </w:r>
      <w:r>
        <w:rPr>
          <w:rFonts w:hint="eastAsia" w:ascii="仿宋" w:hAnsi="仿宋" w:eastAsia="仿宋" w:cs="仿宋"/>
          <w:color w:val="auto"/>
          <w:sz w:val="32"/>
          <w:szCs w:val="32"/>
        </w:rPr>
        <w:t>促进我市舞台艺术繁荣发展和文化惠民送戏下乡到基层</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2022年繁荣舞台艺术及演出活动项目预期完成6-8部，实际完成创排剧目5部、复排剧目14部；走基层</w:t>
      </w:r>
      <w:r>
        <w:rPr>
          <w:rFonts w:hint="eastAsia" w:ascii="仿宋" w:hAnsi="仿宋" w:eastAsia="仿宋" w:cs="仿宋"/>
          <w:color w:val="auto"/>
          <w:sz w:val="32"/>
          <w:szCs w:val="32"/>
          <w:lang w:eastAsia="zh-CN"/>
        </w:rPr>
        <w:t>送戏下乡</w:t>
      </w:r>
      <w:r>
        <w:rPr>
          <w:rFonts w:hint="eastAsia" w:ascii="仿宋" w:hAnsi="仿宋" w:eastAsia="仿宋" w:cs="仿宋"/>
          <w:color w:val="auto"/>
          <w:sz w:val="32"/>
          <w:szCs w:val="32"/>
        </w:rPr>
        <w:t>演出场次预期完成800场，实际完成903场；“一月一名剧”演出场次预期完成12场，实际完成7场。</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3.</w:t>
      </w:r>
      <w:r>
        <w:rPr>
          <w:rFonts w:hint="eastAsia" w:ascii="仿宋" w:hAnsi="仿宋" w:eastAsia="仿宋" w:cs="仿宋"/>
          <w:color w:val="auto"/>
          <w:sz w:val="32"/>
          <w:szCs w:val="32"/>
        </w:rPr>
        <w:t>促进非物质文化遗产传承发展</w:t>
      </w:r>
    </w:p>
    <w:p>
      <w:pPr>
        <w:pageBreakBefore w:val="0"/>
        <w:kinsoku/>
        <w:wordWrap/>
        <w:overflowPunct/>
        <w:topLinePunct w:val="0"/>
        <w:autoSpaceDE/>
        <w:autoSpaceDN/>
        <w:bidi w:val="0"/>
        <w:adjustRightInd/>
        <w:snapToGrid/>
        <w:spacing w:line="560" w:lineRule="exact"/>
        <w:ind w:right="0" w:rightChars="0" w:firstLine="640" w:firstLineChars="200"/>
        <w:jc w:val="both"/>
        <w:textAlignment w:val="auto"/>
        <w:rPr>
          <w:rFonts w:hint="eastAsia" w:ascii="仿宋" w:hAnsi="仿宋" w:eastAsia="仿宋" w:cs="仿宋"/>
          <w:color w:val="00B0F0"/>
          <w:sz w:val="32"/>
          <w:szCs w:val="32"/>
        </w:rPr>
      </w:pPr>
      <w:r>
        <w:rPr>
          <w:rFonts w:hint="eastAsia" w:ascii="仿宋" w:hAnsi="仿宋" w:eastAsia="仿宋" w:cs="仿宋"/>
          <w:color w:val="auto"/>
          <w:sz w:val="32"/>
          <w:szCs w:val="32"/>
        </w:rPr>
        <w:t>对市级非遗代表性项目进行补助，使项目存续状况得到进一步改善</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鼓励传承人发挥自我所长开展传承传播活动。</w:t>
      </w:r>
      <w:r>
        <w:rPr>
          <w:rFonts w:hint="eastAsia" w:ascii="仿宋_GB2312" w:hAnsi="仿宋_GB2312" w:eastAsia="仿宋_GB2312" w:cs="仿宋_GB2312"/>
          <w:color w:val="auto"/>
          <w:sz w:val="32"/>
          <w:szCs w:val="32"/>
          <w:lang w:val="en-US" w:eastAsia="zh-CN"/>
        </w:rPr>
        <w:t>举办中华传统刺绣艺术展，组织我市邢氏刺绣、赞皇原村土布等10余项省、市级非遗项目参展。启动了石家庄非遗旅游指南和非遗主题线路策划工作，促进非遗与旅游融合发展。</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发展职业艺术教育</w:t>
      </w:r>
    </w:p>
    <w:p>
      <w:pPr>
        <w:keepNext w:val="0"/>
        <w:keepLines w:val="0"/>
        <w:pageBreakBefore w:val="0"/>
        <w:numPr>
          <w:ilvl w:val="0"/>
          <w:numId w:val="0"/>
        </w:numPr>
        <w:kinsoku/>
        <w:wordWrap/>
        <w:overflowPunct/>
        <w:topLinePunct w:val="0"/>
        <w:autoSpaceDE/>
        <w:autoSpaceDN/>
        <w:bidi w:val="0"/>
        <w:spacing w:line="560" w:lineRule="exact"/>
        <w:ind w:firstLine="640" w:firstLineChars="200"/>
        <w:textAlignment w:val="auto"/>
        <w:rPr>
          <w:rFonts w:hint="eastAsia" w:ascii="仿宋" w:hAnsi="仿宋" w:eastAsia="仿宋" w:cs="仿宋"/>
          <w:color w:val="auto"/>
          <w:sz w:val="32"/>
          <w:szCs w:val="32"/>
          <w:lang w:eastAsia="zh-CN"/>
        </w:rPr>
      </w:pPr>
      <w:r>
        <w:rPr>
          <w:rFonts w:hint="eastAsia" w:ascii="仿宋" w:hAnsi="仿宋" w:eastAsia="仿宋" w:cs="仿宋"/>
          <w:sz w:val="32"/>
          <w:szCs w:val="32"/>
          <w:lang w:eastAsia="zh-CN"/>
        </w:rPr>
        <w:t>市艺术</w:t>
      </w:r>
      <w:r>
        <w:rPr>
          <w:rFonts w:hint="eastAsia" w:ascii="仿宋" w:hAnsi="仿宋" w:eastAsia="仿宋" w:cs="仿宋"/>
          <w:sz w:val="32"/>
          <w:szCs w:val="32"/>
        </w:rPr>
        <w:t>学校教精品教学项目以课程和教师队伍建设为抓手，提升教师业务能力；以赛促学，提升学生专业学习水平；以考促改，提升学生高考质量，设立舞蹈、戏曲、声乐、器乐四个学科项目，获奖教学项目36个，其中获精品教学项目33个，达到91.66%。2021年在校学生1,023人，校舍面积8,555平方米，比例≧11%。建档立卡学生10人，减免书本费及学住费5.2万元，确保贫困家庭子女顺利完成学业，无因贫困而失学的学生，该指标达到预期绩效效果，完成目标任务。</w:t>
      </w:r>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我部门认真开展了预算绩效管理改革情况自查，对部门工作全面规范绩效指标和标准体系、预算执行管理、绩效评价工作、预决算信息公开等方面进行了自评，考核结果为优秀。</w:t>
      </w:r>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keepNext w:val="0"/>
        <w:keepLines w:val="0"/>
        <w:pageBreakBefore w:val="0"/>
        <w:widowControl w:val="0"/>
        <w:kinsoku/>
        <w:wordWrap/>
        <w:overflowPunct/>
        <w:topLinePunct w:val="0"/>
        <w:autoSpaceDE/>
        <w:autoSpaceDN/>
        <w:bidi w:val="0"/>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pStyle w:val="3"/>
        <w:keepNext w:val="0"/>
        <w:keepLines w:val="0"/>
        <w:pageBreakBefore w:val="0"/>
        <w:kinsoku/>
        <w:wordWrap/>
        <w:overflowPunct/>
        <w:topLinePunct w:val="0"/>
        <w:autoSpaceDE/>
        <w:autoSpaceDN/>
        <w:bidi w:val="0"/>
        <w:spacing w:line="560" w:lineRule="exact"/>
        <w:textAlignment w:val="auto"/>
        <w:rPr>
          <w:rFonts w:hint="eastAsia" w:eastAsia="仿宋"/>
          <w:lang w:val="en-US" w:eastAsia="zh-CN"/>
        </w:rPr>
      </w:pPr>
      <w:r>
        <w:rPr>
          <w:rFonts w:hint="eastAsia" w:ascii="仿宋" w:hAnsi="仿宋" w:eastAsia="仿宋"/>
          <w:b/>
          <w:bCs/>
          <w:sz w:val="32"/>
          <w:szCs w:val="32"/>
          <w:lang w:val="en-US" w:eastAsia="zh-CN"/>
        </w:rPr>
        <w:t xml:space="preserve"> </w:t>
      </w:r>
      <w:r>
        <w:rPr>
          <w:rFonts w:hint="eastAsia" w:ascii="仿宋" w:hAnsi="仿宋" w:eastAsia="仿宋"/>
          <w:b w:val="0"/>
          <w:bCs w:val="0"/>
          <w:sz w:val="32"/>
          <w:szCs w:val="32"/>
          <w:lang w:val="en-US" w:eastAsia="zh-CN"/>
        </w:rPr>
        <w:t>无</w:t>
      </w:r>
    </w:p>
    <w:p>
      <w:pPr>
        <w:keepNext w:val="0"/>
        <w:keepLines w:val="0"/>
        <w:pageBreakBefore w:val="0"/>
        <w:widowControl w:val="0"/>
        <w:numPr>
          <w:ilvl w:val="0"/>
          <w:numId w:val="1"/>
        </w:numPr>
        <w:kinsoku/>
        <w:wordWrap/>
        <w:overflowPunct/>
        <w:topLinePunct w:val="0"/>
        <w:autoSpaceDE/>
        <w:autoSpaceDN/>
        <w:bidi w:val="0"/>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针对问题提出具体的改进措施或建议</w:t>
      </w:r>
    </w:p>
    <w:p>
      <w:pPr>
        <w:pStyle w:val="3"/>
        <w:keepNext w:val="0"/>
        <w:keepLines w:val="0"/>
        <w:pageBreakBefore w:val="0"/>
        <w:numPr>
          <w:ilvl w:val="0"/>
          <w:numId w:val="0"/>
        </w:numPr>
        <w:kinsoku/>
        <w:wordWrap/>
        <w:overflowPunct/>
        <w:topLinePunct w:val="0"/>
        <w:autoSpaceDE/>
        <w:autoSpaceDN/>
        <w:bidi w:val="0"/>
        <w:spacing w:line="560" w:lineRule="exact"/>
        <w:ind w:leftChars="200"/>
        <w:textAlignment w:val="auto"/>
        <w:rPr>
          <w:rFonts w:hint="default" w:eastAsia="仿宋_GB2312"/>
          <w:lang w:val="en-US" w:eastAsia="zh-CN"/>
        </w:rPr>
      </w:pPr>
      <w:r>
        <w:rPr>
          <w:rFonts w:hint="eastAsia"/>
          <w:lang w:val="en-US" w:eastAsia="zh-CN"/>
        </w:rPr>
        <w:t xml:space="preserve">   无</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评价工作组人员名单及签字（姓名、工作单位、职务、职称）</w:t>
      </w:r>
    </w:p>
    <w:p>
      <w:pPr>
        <w:pStyle w:val="3"/>
        <w:keepNext w:val="0"/>
        <w:keepLines w:val="0"/>
        <w:pageBreakBefore w:val="0"/>
        <w:numPr>
          <w:ilvl w:val="0"/>
          <w:numId w:val="0"/>
        </w:numPr>
        <w:kinsoku/>
        <w:wordWrap/>
        <w:overflowPunct/>
        <w:topLinePunct w:val="0"/>
        <w:autoSpaceDE/>
        <w:autoSpaceDN/>
        <w:bidi w:val="0"/>
        <w:spacing w:line="560" w:lineRule="exact"/>
        <w:textAlignment w:val="auto"/>
        <w:rPr>
          <w:rFonts w:hint="default" w:eastAsia="仿宋_GB2312"/>
          <w:lang w:val="en-US" w:eastAsia="zh-CN"/>
        </w:rPr>
      </w:pPr>
      <w:r>
        <w:rPr>
          <w:rFonts w:hint="eastAsia"/>
          <w:lang w:val="en-US" w:eastAsia="zh-CN"/>
        </w:rPr>
        <w:t xml:space="preserve">      </w:t>
      </w:r>
      <w:r>
        <w:rPr>
          <w:rFonts w:hint="eastAsia"/>
          <w:kern w:val="2"/>
          <w:sz w:val="32"/>
          <w:szCs w:val="32"/>
          <w:lang w:val="en-US" w:eastAsia="zh-CN" w:bidi="ar-SA"/>
        </w:rPr>
        <w:t>为顺利做好此项工作，成立以</w:t>
      </w:r>
      <w:r>
        <w:rPr>
          <w:rFonts w:hint="eastAsia" w:ascii="仿宋_GB2312" w:eastAsia="仿宋_GB2312"/>
          <w:kern w:val="2"/>
          <w:sz w:val="32"/>
          <w:szCs w:val="32"/>
          <w:lang w:val="en-US" w:eastAsia="zh-CN" w:bidi="ar-SA"/>
        </w:rPr>
        <w:t>党政一把手</w:t>
      </w:r>
      <w:r>
        <w:rPr>
          <w:rFonts w:hint="eastAsia"/>
          <w:kern w:val="2"/>
          <w:sz w:val="32"/>
          <w:szCs w:val="32"/>
          <w:lang w:val="en-US" w:eastAsia="zh-CN" w:bidi="ar-SA"/>
        </w:rPr>
        <w:t>为组长，</w:t>
      </w:r>
      <w:r>
        <w:rPr>
          <w:rFonts w:hint="eastAsia" w:ascii="仿宋_GB2312" w:eastAsia="仿宋_GB2312"/>
          <w:kern w:val="2"/>
          <w:sz w:val="32"/>
          <w:szCs w:val="32"/>
          <w:lang w:val="en-US" w:eastAsia="zh-CN" w:bidi="ar-SA"/>
        </w:rPr>
        <w:t>各科室分管局长</w:t>
      </w:r>
      <w:r>
        <w:rPr>
          <w:rFonts w:hint="eastAsia"/>
          <w:kern w:val="2"/>
          <w:sz w:val="32"/>
          <w:szCs w:val="32"/>
          <w:lang w:val="en-US" w:eastAsia="zh-CN" w:bidi="ar-SA"/>
        </w:rPr>
        <w:t>为副组长，</w:t>
      </w:r>
      <w:r>
        <w:rPr>
          <w:rFonts w:hint="eastAsia" w:ascii="仿宋_GB2312" w:eastAsia="仿宋_GB2312"/>
          <w:kern w:val="2"/>
          <w:sz w:val="32"/>
          <w:szCs w:val="32"/>
          <w:lang w:val="en-US" w:eastAsia="zh-CN" w:bidi="ar-SA"/>
        </w:rPr>
        <w:t>各科室负责人</w:t>
      </w:r>
      <w:r>
        <w:rPr>
          <w:rFonts w:hint="eastAsia"/>
          <w:kern w:val="2"/>
          <w:sz w:val="32"/>
          <w:szCs w:val="32"/>
          <w:lang w:val="en-US" w:eastAsia="zh-CN" w:bidi="ar-SA"/>
        </w:rPr>
        <w:t>为成员的预算绩效管理工作领导小组。小组下</w:t>
      </w:r>
      <w:r>
        <w:rPr>
          <w:rFonts w:hint="eastAsia" w:ascii="仿宋_GB2312" w:eastAsia="仿宋_GB2312"/>
          <w:kern w:val="2"/>
          <w:sz w:val="32"/>
          <w:szCs w:val="32"/>
          <w:lang w:val="en-US" w:eastAsia="zh-CN" w:bidi="ar-SA"/>
        </w:rPr>
        <w:t>设办公室在规财科，具体负责评价工作的组织实施。</w:t>
      </w:r>
    </w:p>
    <w:p>
      <w:pPr>
        <w:keepNext w:val="0"/>
        <w:keepLines w:val="0"/>
        <w:pageBreakBefore w:val="0"/>
        <w:widowControl w:val="0"/>
        <w:kinsoku/>
        <w:wordWrap/>
        <w:overflowPunct/>
        <w:topLinePunct w:val="0"/>
        <w:autoSpaceDE/>
        <w:autoSpaceDN/>
        <w:bidi w:val="0"/>
        <w:spacing w:line="560" w:lineRule="exact"/>
        <w:ind w:left="0" w:leftChars="0" w:right="0"/>
        <w:textAlignment w:val="auto"/>
        <w:outlineLvl w:val="9"/>
        <w:rPr>
          <w:rFonts w:ascii="仿宋" w:hAnsi="仿宋" w:eastAsia="仿宋"/>
        </w:rPr>
      </w:pP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方正仿宋_GBK">
    <w:altName w:val="宋体"/>
    <w:panose1 w:val="00000000000000000000"/>
    <w:charset w:val="86"/>
    <w:family w:val="roman"/>
    <w:pitch w:val="default"/>
    <w:sig w:usb0="00000000" w:usb1="00000000" w:usb2="00000000"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ascii="Calibri" w:hAnsi="Calibri" w:eastAsia="宋体" w:cs="黑体"/>
        <w:kern w:val="2"/>
        <w:sz w:val="18"/>
        <w:szCs w:val="22"/>
        <w:lang w:val="en-US" w:eastAsia="zh-CN" w:bidi="ar-SA"/>
      </w:rPr>
      <w:pict>
        <v:shape id="Quad Arrow 3073" o:spid="_x0000_s4097" o:spt="202" type="#_x0000_t202" style="position:absolute;left:0pt;margin-top:0pt;height:144pt;width:144pt;mso-position-horizontal:center;mso-position-horizontal-relative:margin;mso-wrap-style:none;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A44C5B4"/>
    <w:multiLevelType w:val="singleLevel"/>
    <w:tmpl w:val="AA44C5B4"/>
    <w:lvl w:ilvl="0" w:tentative="0">
      <w:start w:val="6"/>
      <w:numFmt w:val="chineseCounting"/>
      <w:suff w:val="nothing"/>
      <w:lvlText w:val="%1、"/>
      <w:lvlJc w:val="left"/>
      <w:rPr>
        <w:rFonts w:hint="eastAsia"/>
      </w:rPr>
    </w:lvl>
  </w:abstractNum>
  <w:abstractNum w:abstractNumId="1">
    <w:nsid w:val="69E53B8C"/>
    <w:multiLevelType w:val="singleLevel"/>
    <w:tmpl w:val="69E53B8C"/>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DVmNDU3Yjc5YWIzYTIzYzUxNTM3MDk1NTBlYmZiOGYifQ=="/>
  </w:docVars>
  <w:rsids>
    <w:rsidRoot w:val="0EBD2122"/>
    <w:rsid w:val="0031380D"/>
    <w:rsid w:val="007E6C1F"/>
    <w:rsid w:val="00AF566A"/>
    <w:rsid w:val="00B6553A"/>
    <w:rsid w:val="00ED1E2A"/>
    <w:rsid w:val="01275D88"/>
    <w:rsid w:val="01901FC8"/>
    <w:rsid w:val="019E1415"/>
    <w:rsid w:val="01B104CA"/>
    <w:rsid w:val="02106AB0"/>
    <w:rsid w:val="02B43A28"/>
    <w:rsid w:val="03004097"/>
    <w:rsid w:val="03171BF9"/>
    <w:rsid w:val="034D6BB0"/>
    <w:rsid w:val="037B371D"/>
    <w:rsid w:val="038F71C9"/>
    <w:rsid w:val="04253689"/>
    <w:rsid w:val="04493917"/>
    <w:rsid w:val="046F331E"/>
    <w:rsid w:val="05121AC6"/>
    <w:rsid w:val="059F69F1"/>
    <w:rsid w:val="06BC02D5"/>
    <w:rsid w:val="06D111D0"/>
    <w:rsid w:val="06E12BAE"/>
    <w:rsid w:val="07956271"/>
    <w:rsid w:val="07983B81"/>
    <w:rsid w:val="082500FC"/>
    <w:rsid w:val="08670714"/>
    <w:rsid w:val="086C7AD9"/>
    <w:rsid w:val="08790EDA"/>
    <w:rsid w:val="08A51783"/>
    <w:rsid w:val="08F0070A"/>
    <w:rsid w:val="09242E11"/>
    <w:rsid w:val="09616F12"/>
    <w:rsid w:val="09721397"/>
    <w:rsid w:val="0A5D1DCF"/>
    <w:rsid w:val="0AAC2EC8"/>
    <w:rsid w:val="0B156206"/>
    <w:rsid w:val="0B1667CF"/>
    <w:rsid w:val="0B495EAF"/>
    <w:rsid w:val="0BB63BED"/>
    <w:rsid w:val="0C112E71"/>
    <w:rsid w:val="0D271FE5"/>
    <w:rsid w:val="0D7B38CE"/>
    <w:rsid w:val="0D9E53FE"/>
    <w:rsid w:val="0E8B67DF"/>
    <w:rsid w:val="0EB75826"/>
    <w:rsid w:val="0EB97A43"/>
    <w:rsid w:val="0EBD2122"/>
    <w:rsid w:val="0ED6569B"/>
    <w:rsid w:val="0F214EAE"/>
    <w:rsid w:val="0FDA48C8"/>
    <w:rsid w:val="1045133B"/>
    <w:rsid w:val="10BD5A75"/>
    <w:rsid w:val="11B71E6A"/>
    <w:rsid w:val="11BB562D"/>
    <w:rsid w:val="11F33019"/>
    <w:rsid w:val="122B4561"/>
    <w:rsid w:val="127A7E13"/>
    <w:rsid w:val="12F71083"/>
    <w:rsid w:val="13311FEB"/>
    <w:rsid w:val="139334CD"/>
    <w:rsid w:val="13CA1B57"/>
    <w:rsid w:val="13D34EB0"/>
    <w:rsid w:val="14143273"/>
    <w:rsid w:val="1444190A"/>
    <w:rsid w:val="1507258D"/>
    <w:rsid w:val="1514752E"/>
    <w:rsid w:val="15CA5E3E"/>
    <w:rsid w:val="16461969"/>
    <w:rsid w:val="168B2163"/>
    <w:rsid w:val="16B0772A"/>
    <w:rsid w:val="16F07B27"/>
    <w:rsid w:val="17C92852"/>
    <w:rsid w:val="186E33F9"/>
    <w:rsid w:val="190D49C0"/>
    <w:rsid w:val="191C10A7"/>
    <w:rsid w:val="19A82918"/>
    <w:rsid w:val="1A8E1B30"/>
    <w:rsid w:val="1AA36A47"/>
    <w:rsid w:val="1AAF0063"/>
    <w:rsid w:val="1ACB068F"/>
    <w:rsid w:val="1B862808"/>
    <w:rsid w:val="1B8B6070"/>
    <w:rsid w:val="1BE140DE"/>
    <w:rsid w:val="1C6360EC"/>
    <w:rsid w:val="1CE67A02"/>
    <w:rsid w:val="1D1B384D"/>
    <w:rsid w:val="1EBC2D41"/>
    <w:rsid w:val="1EE12B77"/>
    <w:rsid w:val="1EF8649C"/>
    <w:rsid w:val="1F6115C2"/>
    <w:rsid w:val="1F9B3C55"/>
    <w:rsid w:val="1FA31BDA"/>
    <w:rsid w:val="21154D5A"/>
    <w:rsid w:val="2147778C"/>
    <w:rsid w:val="216B6728"/>
    <w:rsid w:val="21893052"/>
    <w:rsid w:val="219771C8"/>
    <w:rsid w:val="219C0FD7"/>
    <w:rsid w:val="21F4496F"/>
    <w:rsid w:val="222C235B"/>
    <w:rsid w:val="22674E45"/>
    <w:rsid w:val="22C95DFC"/>
    <w:rsid w:val="23152DEF"/>
    <w:rsid w:val="23627FFE"/>
    <w:rsid w:val="23983A20"/>
    <w:rsid w:val="247955FF"/>
    <w:rsid w:val="248C197D"/>
    <w:rsid w:val="24C0322E"/>
    <w:rsid w:val="252959AF"/>
    <w:rsid w:val="25950217"/>
    <w:rsid w:val="25D80938"/>
    <w:rsid w:val="2601765A"/>
    <w:rsid w:val="268F2EB8"/>
    <w:rsid w:val="26DB1094"/>
    <w:rsid w:val="27167136"/>
    <w:rsid w:val="272F01F7"/>
    <w:rsid w:val="277A6671"/>
    <w:rsid w:val="27AC1848"/>
    <w:rsid w:val="27FA25B3"/>
    <w:rsid w:val="28201C28"/>
    <w:rsid w:val="290A15AE"/>
    <w:rsid w:val="29290A55"/>
    <w:rsid w:val="292D35B7"/>
    <w:rsid w:val="29D11A3A"/>
    <w:rsid w:val="2A246B9F"/>
    <w:rsid w:val="2AA10FA3"/>
    <w:rsid w:val="2AB729DE"/>
    <w:rsid w:val="2BA028FD"/>
    <w:rsid w:val="2C324A12"/>
    <w:rsid w:val="2C6E3570"/>
    <w:rsid w:val="2CA70830"/>
    <w:rsid w:val="2D334EB3"/>
    <w:rsid w:val="2DEC6E42"/>
    <w:rsid w:val="2E127D0E"/>
    <w:rsid w:val="2E140B18"/>
    <w:rsid w:val="2E293DC7"/>
    <w:rsid w:val="2E3F3416"/>
    <w:rsid w:val="2E497DF1"/>
    <w:rsid w:val="2E4E3659"/>
    <w:rsid w:val="2EDD70A0"/>
    <w:rsid w:val="2EDE0530"/>
    <w:rsid w:val="2FA31782"/>
    <w:rsid w:val="2FCA7487"/>
    <w:rsid w:val="301663F8"/>
    <w:rsid w:val="304C329A"/>
    <w:rsid w:val="30AE3A8E"/>
    <w:rsid w:val="316B2774"/>
    <w:rsid w:val="318A1738"/>
    <w:rsid w:val="31F97D80"/>
    <w:rsid w:val="32877139"/>
    <w:rsid w:val="328A6C2A"/>
    <w:rsid w:val="331434F8"/>
    <w:rsid w:val="33150BE9"/>
    <w:rsid w:val="335E60EC"/>
    <w:rsid w:val="338B7675"/>
    <w:rsid w:val="339715FE"/>
    <w:rsid w:val="33C551F0"/>
    <w:rsid w:val="33EB6CFF"/>
    <w:rsid w:val="34A845B2"/>
    <w:rsid w:val="356E45E1"/>
    <w:rsid w:val="35A12947"/>
    <w:rsid w:val="35CA5CBB"/>
    <w:rsid w:val="366F23BE"/>
    <w:rsid w:val="370276D6"/>
    <w:rsid w:val="37307DA0"/>
    <w:rsid w:val="37387040"/>
    <w:rsid w:val="378974B0"/>
    <w:rsid w:val="38AD5420"/>
    <w:rsid w:val="39895B16"/>
    <w:rsid w:val="39BC3B6C"/>
    <w:rsid w:val="3A606BEE"/>
    <w:rsid w:val="3AF64E5C"/>
    <w:rsid w:val="3B455DE4"/>
    <w:rsid w:val="3B625C0A"/>
    <w:rsid w:val="3C4B742A"/>
    <w:rsid w:val="3C9A5CBB"/>
    <w:rsid w:val="3CAD599C"/>
    <w:rsid w:val="3CAE371B"/>
    <w:rsid w:val="3CEE1963"/>
    <w:rsid w:val="3CFC40FB"/>
    <w:rsid w:val="3D6D35B3"/>
    <w:rsid w:val="3E077380"/>
    <w:rsid w:val="3E3B7F54"/>
    <w:rsid w:val="3E800C1E"/>
    <w:rsid w:val="3F6C2C66"/>
    <w:rsid w:val="3F95142A"/>
    <w:rsid w:val="3FB452E6"/>
    <w:rsid w:val="40A0199D"/>
    <w:rsid w:val="40A749D4"/>
    <w:rsid w:val="41171FD0"/>
    <w:rsid w:val="414032D5"/>
    <w:rsid w:val="41566655"/>
    <w:rsid w:val="41DC62C1"/>
    <w:rsid w:val="428B657D"/>
    <w:rsid w:val="42935686"/>
    <w:rsid w:val="4340580E"/>
    <w:rsid w:val="43947908"/>
    <w:rsid w:val="43CD6976"/>
    <w:rsid w:val="43DD44A7"/>
    <w:rsid w:val="43E9039C"/>
    <w:rsid w:val="452B621A"/>
    <w:rsid w:val="453761C6"/>
    <w:rsid w:val="453F7F9F"/>
    <w:rsid w:val="45837C34"/>
    <w:rsid w:val="45CC3389"/>
    <w:rsid w:val="46973555"/>
    <w:rsid w:val="46A04EE6"/>
    <w:rsid w:val="478F7A25"/>
    <w:rsid w:val="489E2D6C"/>
    <w:rsid w:val="48C20A74"/>
    <w:rsid w:val="48F2603A"/>
    <w:rsid w:val="490E1F0B"/>
    <w:rsid w:val="49951AC7"/>
    <w:rsid w:val="4A042F77"/>
    <w:rsid w:val="4A237420"/>
    <w:rsid w:val="4ADD6A1F"/>
    <w:rsid w:val="4AE714E7"/>
    <w:rsid w:val="4BC25E44"/>
    <w:rsid w:val="4C871DB8"/>
    <w:rsid w:val="4C983FC5"/>
    <w:rsid w:val="4C9C27FE"/>
    <w:rsid w:val="4CCC1EC1"/>
    <w:rsid w:val="4D07114B"/>
    <w:rsid w:val="4D1B4BF6"/>
    <w:rsid w:val="4D7F5185"/>
    <w:rsid w:val="4F0361B1"/>
    <w:rsid w:val="4F1A276A"/>
    <w:rsid w:val="4F2320A5"/>
    <w:rsid w:val="4F254E70"/>
    <w:rsid w:val="4FB21842"/>
    <w:rsid w:val="4FD33566"/>
    <w:rsid w:val="50731FD0"/>
    <w:rsid w:val="512260B4"/>
    <w:rsid w:val="521047DC"/>
    <w:rsid w:val="5256749B"/>
    <w:rsid w:val="52BB0A0D"/>
    <w:rsid w:val="52BD6ACB"/>
    <w:rsid w:val="534D122D"/>
    <w:rsid w:val="539B3538"/>
    <w:rsid w:val="53A05E55"/>
    <w:rsid w:val="53B3698A"/>
    <w:rsid w:val="545105A0"/>
    <w:rsid w:val="547215A0"/>
    <w:rsid w:val="553920BD"/>
    <w:rsid w:val="55537534"/>
    <w:rsid w:val="55B00AB8"/>
    <w:rsid w:val="55C657A8"/>
    <w:rsid w:val="55DA73FC"/>
    <w:rsid w:val="561A74F1"/>
    <w:rsid w:val="5622232C"/>
    <w:rsid w:val="5678680B"/>
    <w:rsid w:val="57503774"/>
    <w:rsid w:val="577608BD"/>
    <w:rsid w:val="57BD6FD6"/>
    <w:rsid w:val="580F7106"/>
    <w:rsid w:val="582B03E3"/>
    <w:rsid w:val="58521FFA"/>
    <w:rsid w:val="59080725"/>
    <w:rsid w:val="597244E8"/>
    <w:rsid w:val="59725B9E"/>
    <w:rsid w:val="59927FEE"/>
    <w:rsid w:val="59954784"/>
    <w:rsid w:val="59B30690"/>
    <w:rsid w:val="59D6437F"/>
    <w:rsid w:val="5AB0697E"/>
    <w:rsid w:val="5AD75FF7"/>
    <w:rsid w:val="5B634DDF"/>
    <w:rsid w:val="5BA109BC"/>
    <w:rsid w:val="5C1606CD"/>
    <w:rsid w:val="5CC42BB4"/>
    <w:rsid w:val="5D3715D8"/>
    <w:rsid w:val="5D680B75"/>
    <w:rsid w:val="5DA10A9E"/>
    <w:rsid w:val="5DC56BE4"/>
    <w:rsid w:val="5DCE774B"/>
    <w:rsid w:val="5DDE3802"/>
    <w:rsid w:val="5E6C7060"/>
    <w:rsid w:val="5EB71C30"/>
    <w:rsid w:val="5ED52E57"/>
    <w:rsid w:val="5F230066"/>
    <w:rsid w:val="5F4B3119"/>
    <w:rsid w:val="5F827AFB"/>
    <w:rsid w:val="60016558"/>
    <w:rsid w:val="60C5514D"/>
    <w:rsid w:val="60D35F92"/>
    <w:rsid w:val="60F63558"/>
    <w:rsid w:val="612B4FB0"/>
    <w:rsid w:val="61730705"/>
    <w:rsid w:val="619435C8"/>
    <w:rsid w:val="61EA3E09"/>
    <w:rsid w:val="61ED12FA"/>
    <w:rsid w:val="61F53810"/>
    <w:rsid w:val="624565BD"/>
    <w:rsid w:val="625422E5"/>
    <w:rsid w:val="626F711E"/>
    <w:rsid w:val="62AD7C47"/>
    <w:rsid w:val="635C704E"/>
    <w:rsid w:val="646A2293"/>
    <w:rsid w:val="64F97173"/>
    <w:rsid w:val="657F58CB"/>
    <w:rsid w:val="658612D7"/>
    <w:rsid w:val="658C7ADD"/>
    <w:rsid w:val="66374CBF"/>
    <w:rsid w:val="66AF0CE5"/>
    <w:rsid w:val="66E8749F"/>
    <w:rsid w:val="67395F4D"/>
    <w:rsid w:val="675F3C06"/>
    <w:rsid w:val="67AC6270"/>
    <w:rsid w:val="67B101D9"/>
    <w:rsid w:val="67DD2AD4"/>
    <w:rsid w:val="68541290"/>
    <w:rsid w:val="688109F0"/>
    <w:rsid w:val="68ED1C56"/>
    <w:rsid w:val="68F24605"/>
    <w:rsid w:val="69194288"/>
    <w:rsid w:val="698A2A90"/>
    <w:rsid w:val="6A211646"/>
    <w:rsid w:val="6A4C5F97"/>
    <w:rsid w:val="6AC537CF"/>
    <w:rsid w:val="6B2C49E2"/>
    <w:rsid w:val="6B3A0933"/>
    <w:rsid w:val="6C2E3502"/>
    <w:rsid w:val="6C563981"/>
    <w:rsid w:val="6CE06E5E"/>
    <w:rsid w:val="6D3522BE"/>
    <w:rsid w:val="6E5B14A6"/>
    <w:rsid w:val="6E70494A"/>
    <w:rsid w:val="6ED733EF"/>
    <w:rsid w:val="6EDE7B06"/>
    <w:rsid w:val="6EF410D7"/>
    <w:rsid w:val="702F1A94"/>
    <w:rsid w:val="70433998"/>
    <w:rsid w:val="704725EB"/>
    <w:rsid w:val="70A02B99"/>
    <w:rsid w:val="711B255E"/>
    <w:rsid w:val="71597917"/>
    <w:rsid w:val="719C7877"/>
    <w:rsid w:val="71C53953"/>
    <w:rsid w:val="72A526E9"/>
    <w:rsid w:val="72D54BBD"/>
    <w:rsid w:val="73337CF4"/>
    <w:rsid w:val="73840550"/>
    <w:rsid w:val="74575C64"/>
    <w:rsid w:val="74706076"/>
    <w:rsid w:val="74BA06CD"/>
    <w:rsid w:val="74C07B1D"/>
    <w:rsid w:val="74CA12CB"/>
    <w:rsid w:val="74E77C8D"/>
    <w:rsid w:val="74FC5DA0"/>
    <w:rsid w:val="750556C0"/>
    <w:rsid w:val="7521699E"/>
    <w:rsid w:val="7556268A"/>
    <w:rsid w:val="762B73A9"/>
    <w:rsid w:val="767511C0"/>
    <w:rsid w:val="76984A3E"/>
    <w:rsid w:val="77362003"/>
    <w:rsid w:val="774E334F"/>
    <w:rsid w:val="774F4314"/>
    <w:rsid w:val="78F817C4"/>
    <w:rsid w:val="7910588B"/>
    <w:rsid w:val="791F0D07"/>
    <w:rsid w:val="795409C4"/>
    <w:rsid w:val="79635A83"/>
    <w:rsid w:val="79694470"/>
    <w:rsid w:val="79C124FE"/>
    <w:rsid w:val="7A412AB0"/>
    <w:rsid w:val="7A630C3D"/>
    <w:rsid w:val="7AA80AB2"/>
    <w:rsid w:val="7B242D44"/>
    <w:rsid w:val="7BB51E06"/>
    <w:rsid w:val="7BE81FC4"/>
    <w:rsid w:val="7BF205F3"/>
    <w:rsid w:val="7BF5023D"/>
    <w:rsid w:val="7BFC781D"/>
    <w:rsid w:val="7C387F7C"/>
    <w:rsid w:val="7C570EF7"/>
    <w:rsid w:val="7CDB769B"/>
    <w:rsid w:val="7D1B0177"/>
    <w:rsid w:val="7E5356EF"/>
    <w:rsid w:val="7EC02D84"/>
    <w:rsid w:val="7EC27B2B"/>
    <w:rsid w:val="7ECD724F"/>
    <w:rsid w:val="7F2F3A08"/>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qFormat/>
    <w:uiPriority w:val="0"/>
    <w:pPr>
      <w:spacing w:before="100" w:beforeLines="0" w:beforeAutospacing="1" w:after="100" w:afterLines="0" w:afterAutospacing="1"/>
      <w:jc w:val="left"/>
      <w:outlineLvl w:val="1"/>
    </w:pPr>
    <w:rPr>
      <w:rFonts w:hint="eastAsia" w:ascii="宋体" w:hAnsi="宋体" w:eastAsia="宋体" w:cs="Times New Roman"/>
      <w:b/>
      <w:kern w:val="0"/>
      <w:sz w:val="36"/>
      <w:szCs w:val="36"/>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3">
    <w:name w:val="Normal Indent"/>
    <w:basedOn w:val="1"/>
    <w:qFormat/>
    <w:uiPriority w:val="0"/>
    <w:pPr>
      <w:spacing w:line="360" w:lineRule="auto"/>
      <w:ind w:firstLine="420" w:firstLineChars="200"/>
    </w:pPr>
    <w:rPr>
      <w:rFonts w:eastAsia="仿宋_GB2312"/>
      <w:sz w:val="28"/>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Normal (Web)"/>
    <w:basedOn w:val="1"/>
    <w:qFormat/>
    <w:uiPriority w:val="0"/>
    <w:pPr>
      <w:spacing w:before="100" w:beforeAutospacing="1" w:after="100" w:afterAutospacing="1"/>
      <w:ind w:left="0" w:right="0"/>
      <w:jc w:val="left"/>
    </w:pPr>
    <w:rPr>
      <w:kern w:val="0"/>
      <w:sz w:val="24"/>
      <w:lang w:val="en-US" w:eastAsia="zh-CN"/>
    </w:rPr>
  </w:style>
  <w:style w:type="character" w:customStyle="1" w:styleId="9">
    <w:name w:val="NormalCharacter"/>
    <w:qFormat/>
    <w:uiPriority w:val="0"/>
  </w:style>
  <w:style w:type="paragraph" w:customStyle="1" w:styleId="10">
    <w:name w:val="p0"/>
    <w:basedOn w:val="1"/>
    <w:qFormat/>
    <w:uiPriority w:val="0"/>
    <w:pPr>
      <w:widowControl/>
    </w:pPr>
    <w:rPr>
      <w:rFonts w:ascii="Times New Roman" w:hAnsi="Times New Roman" w:eastAsia="宋体" w:cs="Times New Roman"/>
      <w:kern w:val="0"/>
      <w:szCs w:val="21"/>
    </w:rPr>
  </w:style>
  <w:style w:type="paragraph" w:customStyle="1" w:styleId="11">
    <w:name w:val="插入文本样式-插入职责分类绩效目标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Pages>
  <Words>5105</Words>
  <Characters>5455</Characters>
  <Lines>7</Lines>
  <Paragraphs>2</Paragraphs>
  <TotalTime>1</TotalTime>
  <ScaleCrop>false</ScaleCrop>
  <LinksUpToDate>false</LinksUpToDate>
  <CharactersWithSpaces>5478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晴空万里</cp:lastModifiedBy>
  <cp:lastPrinted>2022-01-19T07:24:00Z</cp:lastPrinted>
  <dcterms:modified xsi:type="dcterms:W3CDTF">2023-06-16T10:00:28Z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265808F19ED54033A0D9614F2CB98348</vt:lpwstr>
  </property>
</Properties>
</file>