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720" w:num="1"/>
          <w:titlePg/>
          <w:docGrid w:type="lines" w:linePitch="312" w:charSpace="0"/>
        </w:sectPr>
      </w:pPr>
      <w:r>
        <w:rPr>
          <w:rFonts w:ascii="等线" w:hAnsi="等线" w:eastAsia="等线" w:cs="黑体"/>
          <w:kern w:val="2"/>
          <w:sz w:val="21"/>
          <w:szCs w:val="22"/>
          <w:lang w:val="en-US" w:eastAsia="zh-CN" w:bidi="ar-SA"/>
        </w:rPr>
        <w:pict>
          <v:rect id="文本框 10" o:spid="_x0000_s1029" o:spt="1" style="position:absolute;left:0pt;margin-left:106.25pt;margin-top:693.55pt;height:79.95pt;width:404.15pt;z-index:25166336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二〇二〇年九月</w:t>
                  </w:r>
                </w:p>
              </w:txbxContent>
            </v:textbox>
          </v:rect>
        </w:pict>
      </w:r>
      <w:r>
        <w:rPr>
          <w:rFonts w:ascii="等线" w:hAnsi="等线" w:eastAsia="等线" w:cs="黑体"/>
          <w:kern w:val="2"/>
          <w:sz w:val="21"/>
          <w:szCs w:val="22"/>
          <w:lang w:val="en-US" w:eastAsia="zh-CN" w:bidi="ar-SA"/>
        </w:rPr>
        <w:pict>
          <v:shape id="椭圆 8" o:spid="_x0000_s1026" o:spt="3" type="#_x0000_t3" style="position:absolute;left:0pt;margin-left:53.5pt;margin-top:232.45pt;height:121.95pt;width:121.95pt;z-index:251660288;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rect id="矩形 14" o:spid="_x0000_s1031" o:spt="1" style="position:absolute;left:0pt;margin-left:33.6pt;margin-top:256.75pt;height:69.6pt;width:160.65pt;z-index:25166540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rPr>
          <w:rFonts w:ascii="等线" w:hAnsi="等线" w:eastAsia="等线" w:cs="黑体"/>
          <w:kern w:val="2"/>
          <w:sz w:val="21"/>
          <w:szCs w:val="22"/>
          <w:lang w:val="en-US" w:eastAsia="zh-CN" w:bidi="ar-SA"/>
        </w:rPr>
        <w:pict>
          <v:shape id="椭圆 9" o:spid="_x0000_s1030" o:spt="3" type="#_x0000_t3" style="position:absolute;left:0pt;margin-left:62.2pt;margin-top:242.75pt;height:103.45pt;width:103.45pt;z-index:251664384;mso-width-relative:page;mso-height-relative:page;" fillcolor="#1F2959"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group id="组合 1036" o:spid="_x0000_s1027" o:spt="203" style="position:absolute;left:0pt;margin-left:1.25pt;margin-top:821.7pt;height:21.45pt;width:595.25pt;z-index:251661312;mso-width-relative:page;mso-height-relative:page;" coordorigin="1483,16692" coordsize="11905,429">
            <o:lock v:ext="edit" position="f" selection="f" grouping="f" rotation="f" cropping="f" text="f" aspectratio="f"/>
            <v:rect id="矩形 1037" o:spid="_x0000_s1081" o:spt="1" style="position:absolute;left:1483;top:16692;height:428;width:1125;" fillcolor="#FDBC11" filled="t" o:preferrelative="t" stroked="f" coordsize="21600,21600">
              <v:path/>
              <v:fill on="t" focussize="0,0"/>
              <v:stroke on="f"/>
              <v:imagedata gain="65536f" blacklevel="0f" gamma="0" o:title=""/>
              <o:lock v:ext="edit" position="f" selection="f" grouping="f" rotation="f" cropping="f" text="f" aspectratio="f"/>
            </v:rect>
            <v:rect id="矩形 1038" o:spid="_x0000_s1082" o:spt="1" style="position:absolute;left:2608;top:16693;height:428;width:10780;" fillcolor="#1F2959"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21"/>
          <w:szCs w:val="22"/>
          <w:lang w:val="en-US" w:eastAsia="zh-CN" w:bidi="ar-SA"/>
        </w:rPr>
        <w:pict>
          <v:group id="组合 1039" o:spid="_x0000_s1025" o:spt="203" style="position:absolute;left:0pt;margin-left:-2.15pt;margin-top:0pt;height:308.5pt;width:600.25pt;z-index:-251657216;mso-width-relative:page;mso-height-relative:page;" coordorigin="13622,283" coordsize="12005,6170">
            <o:lock v:ext="edit" position="f" selection="f" grouping="f" rotation="f" cropping="f" text="f" aspectratio="f"/>
            <v:rect id="矩形 1040" o:spid="_x0000_s1083" o:spt="1" style="position:absolute;left:13622;top:283;height:6170;width:12005;" fillcolor="#FDBC11" filled="t" stroked="f" coordsize="21600,21600">
              <v:path/>
              <v:fill on="t" color2="#FFFFFF" focussize="0,0"/>
              <v:stroke on="f"/>
              <v:imagedata o:title=""/>
              <o:lock v:ext="edit" aspectratio="f"/>
            </v:rect>
            <v:rect id="矩形 1041" o:spid="_x0000_s1084" o:spt="1" style="position:absolute;left:17229;top:5021;height:1392;width:8083;" filled="f" stroked="f" coordsize="21600,21600">
              <v:path/>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w:r>
      <w:r>
        <w:rPr>
          <w:rFonts w:ascii="等线" w:hAnsi="等线" w:eastAsia="等线" w:cs="黑体"/>
          <w:kern w:val="2"/>
          <w:sz w:val="21"/>
          <w:szCs w:val="22"/>
          <w:lang w:val="en-US" w:eastAsia="zh-CN" w:bidi="ar-SA"/>
        </w:rPr>
        <w:pict>
          <v:rect id="矩形 11" o:spid="_x0000_s1028" o:spt="1" style="position:absolute;left:0pt;margin-left:184.75pt;margin-top:286.6pt;height:31.25pt;width:339.65pt;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kern w:val="0"/>
          <w:sz w:val="44"/>
          <w:szCs w:val="44"/>
          <w:highlight w:val="yellow"/>
          <w:lang w:eastAsia="zh-CN"/>
        </w:rPr>
      </w:pPr>
      <w:r>
        <w:rPr>
          <w:rFonts w:hint="eastAsia" w:ascii="楷体_GB2312" w:hAnsi="楷体_GB2312" w:eastAsia="楷体_GB2312" w:cs="楷体_GB2312"/>
          <w:color w:val="000000"/>
          <w:kern w:val="0"/>
          <w:sz w:val="44"/>
          <w:szCs w:val="44"/>
          <w:highlight w:val="none"/>
          <w:lang w:eastAsia="zh-CN"/>
        </w:rPr>
        <w:t>石家庄市卫生健康委员会</w:t>
      </w:r>
    </w:p>
    <w:p>
      <w:pPr>
        <w:snapToGrid w:val="0"/>
        <w:jc w:val="cente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720" w:num="1"/>
          <w:titlePg/>
          <w:docGrid w:type="lines" w:linePitch="312" w:charSpace="0"/>
        </w:sectPr>
      </w:pPr>
      <w:r>
        <w:rPr>
          <w:rFonts w:hint="eastAsia" w:ascii="楷体_GB2312" w:hAnsi="楷体_GB2312" w:eastAsia="楷体_GB2312" w:cs="楷体_GB2312"/>
          <w:color w:val="000000"/>
          <w:kern w:val="0"/>
          <w:sz w:val="44"/>
          <w:szCs w:val="44"/>
        </w:rPr>
        <w:t>二〇二〇年九月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tabs>
          <w:tab w:val="left" w:pos="1016"/>
        </w:tabs>
        <w:jc w:val="left"/>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rFonts w:ascii="等线" w:hAnsi="等线" w:eastAsia="等线" w:cs="黑体"/>
          <w:kern w:val="2"/>
          <w:sz w:val="72"/>
          <w:szCs w:val="22"/>
          <w:lang w:val="en-US" w:eastAsia="zh-CN" w:bidi="ar-SA"/>
        </w:rPr>
        <w:pict>
          <v:rect id="文本框 143" o:spid="_x0000_s1032" o:spt="1" style="position:absolute;left:0pt;margin-left:-85.35pt;margin-top:80.7pt;height:263.1pt;width:613.65pt;z-index:251666432;mso-width-relative:page;mso-height-relative:page;" fillcolor="#FFD966" filled="t" o:preferrelative="t" stroked="t" coordsize="21600,21600">
            <v:path/>
            <v:fill type="pattern" on="t" color2="#FFFFFF" o:opacity2="65536f" focussize="0,0" r:id="rId23"/>
            <v:stroke weight="1pt" color="#FFD966" color2="#FFFFFF" opacity="65536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1）起草卫生健康、中医药事业发展的地方性法规、政府规章草案，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2）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（3）制定并组织落实疾病预防控制规划、国家免疫规划及危害人民健康的公共卫生问题的干预措施。负责卫生应急工作，组织指导突发公共卫生事件的预防控制和各类突发公共事件的医疗卫生救援。</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（4）组织拟订并协调落实应对人口老龄化政策措施，负责推进老年健康服务体系建设和医养结合工作。</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5）组织实施国家基本药物政策和国家基本药物制度，开展药品使用监测、临床综合评价和短缺药品预警，提出全市基本药物价格政策的建议，参与拟订药品地方性法规、政府规章草案。配合省卫生健康委做好食品安全风险监测和食品安全地方标准跟踪评价工作。</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 xml:space="preserve">（6）负责职责范围内的职业卫生、放射卫生、环境卫生、学校卫生、公共场所卫生、饮用水卫生等公共卫生的监督管理，负责传染病防治监督，健全卫生健康综合监督体系。牵头《烟草控制框架公约》履约工作。 </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7）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（8）负责计划生育管理和服务工作，开展人口监测预警，研究提出人口与家庭发展相关政策建议，落实计划生育政策。</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（9）负责全市卫生健康工作，负责基层医疗卫生、妇幼健康服务体系和全科医生队伍建设。推进卫生健康科技创新发展。</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（10）拟订中医药中长期发展规划，并纳入卫生健康事业发展总体规划和战略目标。</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（11）负责市保健对象的医疗保健工作，负责市直部门有关干部医疗管理工作，负责重要会议与重大活动的医疗卫生保障工作。</w:t>
      </w:r>
    </w:p>
    <w:p>
      <w:pPr>
        <w:widowControl/>
        <w:spacing w:line="580" w:lineRule="exact"/>
        <w:ind w:firstLine="640" w:firstLineChars="20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rPr>
        <w:t>（12）承办市委、市政府交办的其他事项。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18</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567"/>
        <w:gridCol w:w="25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6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4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石家庄市卫生健康委员会(本级)</w:t>
            </w:r>
          </w:p>
        </w:tc>
        <w:tc>
          <w:tcPr>
            <w:tcW w:w="2567" w:type="dxa"/>
            <w:vAlign w:val="top"/>
          </w:tcPr>
          <w:p>
            <w:pPr>
              <w:spacing w:line="560" w:lineRule="exact"/>
              <w:jc w:val="center"/>
              <w:rPr>
                <w:rFonts w:ascii="仿宋_GB2312" w:hAnsi="Calibri" w:eastAsia="仿宋_GB2312" w:cs="ArialUnicodeMS"/>
                <w:kern w:val="0"/>
                <w:sz w:val="28"/>
                <w:szCs w:val="28"/>
              </w:rPr>
            </w:pPr>
            <w:r>
              <w:rPr>
                <w:rFonts w:hint="eastAsia" w:ascii="仿宋_GB2312" w:hAnsi="Times New Roman" w:eastAsia="仿宋_GB2312" w:cs="Cambria"/>
                <w:sz w:val="30"/>
                <w:szCs w:val="30"/>
              </w:rPr>
              <w:t>行政单位</w:t>
            </w:r>
          </w:p>
        </w:tc>
        <w:tc>
          <w:tcPr>
            <w:tcW w:w="2543"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石家庄市第一医院</w:t>
            </w:r>
          </w:p>
        </w:tc>
        <w:tc>
          <w:tcPr>
            <w:tcW w:w="2567"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石家庄市第二医院</w:t>
            </w:r>
          </w:p>
        </w:tc>
        <w:tc>
          <w:tcPr>
            <w:tcW w:w="2567"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4</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石家庄市第三医院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5</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石家庄市第四医院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6</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石家庄市第五医院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7</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石家庄市妇幼保健院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8</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石家庄市第八医院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9</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石家庄市中医院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10</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石家庄市职业病防治院</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11</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石家庄市急救中心</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12</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石家庄市疾病预防控制中心</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13</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石家庄市卫生监督局</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14</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石家庄市计生宣传教育中心</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15</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石家庄市计生信息与发展研究中心</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16</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石家庄市药具管理站</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17</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石家庄市社区卫生服务管理中心</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18</w:t>
            </w:r>
          </w:p>
        </w:tc>
        <w:tc>
          <w:tcPr>
            <w:tcW w:w="3485" w:type="dxa"/>
            <w:tcBorders>
              <w:bottom w:val="single" w:color="auto" w:sz="4" w:space="0"/>
            </w:tcBorders>
            <w:vAlign w:val="center"/>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石家庄市医学鉴定与管理中心</w:t>
            </w:r>
          </w:p>
        </w:tc>
        <w:tc>
          <w:tcPr>
            <w:tcW w:w="2567"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43"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vAlign w:val="top"/>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tabs>
          <w:tab w:val="left" w:pos="2874"/>
        </w:tabs>
        <w:jc w:val="left"/>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pPr>
        <w:widowControl/>
        <w:spacing w:after="160" w:line="580" w:lineRule="exact"/>
        <w:ind w:firstLine="1440" w:firstLineChars="200"/>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720" w:num="1"/>
          <w:titlePg/>
          <w:docGrid w:type="lines" w:linePitch="312" w:charSpace="0"/>
        </w:sectPr>
      </w:pPr>
      <w:r>
        <w:rPr>
          <w:rFonts w:ascii="等线" w:hAnsi="等线" w:eastAsia="等线" w:cs="黑体"/>
          <w:kern w:val="2"/>
          <w:sz w:val="72"/>
          <w:szCs w:val="22"/>
          <w:lang w:val="en-US" w:eastAsia="zh-CN" w:bidi="ar-SA"/>
        </w:rPr>
        <w:pict>
          <v:rect id="文本框 151" o:spid="_x0000_s1033" o:spt="1" style="position:absolute;left:0pt;margin-left:-85.35pt;margin-top:238.15pt;height:173.25pt;width:613.65pt;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rFonts w:ascii="等线" w:hAnsi="等线" w:eastAsia="等线" w:cs="黑体"/>
          <w:kern w:val="2"/>
          <w:sz w:val="72"/>
          <w:szCs w:val="22"/>
          <w:lang w:val="en-US" w:eastAsia="zh-CN" w:bidi="ar-SA"/>
        </w:rPr>
        <w:pict>
          <v:rect id="文本框 187" o:spid="_x0000_s1034" o:spt="1" style="position:absolute;left:0pt;margin-left:-90.45pt;margin-top:4.35pt;height:263.1pt;width:613.65pt;z-index:251668480;mso-width-relative:page;mso-height-relative:page;" fillcolor="#FFD966" filled="t" o:preferrelative="t" stroked="t" coordsize="21600,21600">
            <v:path/>
            <v:fill type="pattern" on="t" color2="#FFFFFF" o:opacity2="65536f" focussize="0,0" r:id="rId23"/>
            <v:stroke weight="0.5pt" color="#FFD966" color2="#FFFFFF" opacity="65536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2019年部门决算情况说明</w:t>
                  </w:r>
                </w:p>
                <w:p/>
              </w:txbxContent>
            </v:textbox>
          </v:rect>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default" w:ascii="仿宋_GB2312" w:eastAsia="仿宋_GB2312" w:cs="DengXian-Regular"/>
          <w:sz w:val="32"/>
          <w:szCs w:val="32"/>
        </w:rPr>
      </w:pPr>
      <w:r>
        <w:rPr>
          <w:rFonts w:hint="default" w:ascii="仿宋_GB2312" w:eastAsia="仿宋_GB2312" w:cs="DengXian-Regular"/>
          <w:sz w:val="32"/>
          <w:szCs w:val="32"/>
        </w:rPr>
        <w:t>本部门 201</w:t>
      </w:r>
      <w:r>
        <w:rPr>
          <w:rFonts w:hint="eastAsia" w:ascii="仿宋_GB2312" w:eastAsia="仿宋_GB2312" w:cs="DengXian-Regular"/>
          <w:sz w:val="32"/>
          <w:szCs w:val="32"/>
          <w:lang w:val="en-US" w:eastAsia="zh-CN"/>
        </w:rPr>
        <w:t>9</w:t>
      </w:r>
      <w:r>
        <w:rPr>
          <w:rFonts w:hint="default" w:ascii="仿宋_GB2312" w:eastAsia="仿宋_GB2312" w:cs="DengXian-Regular"/>
          <w:sz w:val="32"/>
          <w:szCs w:val="32"/>
        </w:rPr>
        <w:t>年度</w:t>
      </w:r>
      <w:r>
        <w:rPr>
          <w:rFonts w:hint="eastAsia" w:ascii="仿宋_GB2312" w:eastAsia="仿宋_GB2312" w:cs="DengXian-Regular"/>
          <w:sz w:val="32"/>
          <w:szCs w:val="32"/>
          <w:lang w:eastAsia="zh-CN"/>
        </w:rPr>
        <w:t>收支总计（含结转和结余）</w:t>
      </w:r>
      <w:r>
        <w:rPr>
          <w:rFonts w:hint="eastAsia" w:ascii="仿宋_GB2312" w:eastAsia="仿宋_GB2312" w:cs="DengXian-Regular"/>
          <w:sz w:val="32"/>
          <w:szCs w:val="32"/>
          <w:lang w:val="en-US" w:eastAsia="zh-CN"/>
        </w:rPr>
        <w:t>791564.1</w:t>
      </w:r>
      <w:r>
        <w:rPr>
          <w:rFonts w:hint="eastAsia" w:ascii="仿宋_GB2312" w:eastAsia="仿宋_GB2312" w:cs="DengXian-Regular"/>
          <w:sz w:val="32"/>
          <w:szCs w:val="32"/>
          <w:lang w:eastAsia="zh-CN"/>
        </w:rPr>
        <w:t>万元。其中</w:t>
      </w:r>
      <w:r>
        <w:rPr>
          <w:rFonts w:hint="default" w:ascii="仿宋_GB2312" w:eastAsia="仿宋_GB2312" w:cs="DengXian-Regular"/>
          <w:sz w:val="32"/>
          <w:szCs w:val="32"/>
        </w:rPr>
        <w:t>年初结转和结余</w:t>
      </w:r>
      <w:r>
        <w:rPr>
          <w:rFonts w:hint="eastAsia" w:ascii="仿宋_GB2312" w:eastAsia="仿宋_GB2312" w:cs="DengXian-Regular"/>
          <w:sz w:val="32"/>
          <w:szCs w:val="32"/>
          <w:lang w:val="en-US" w:eastAsia="zh-CN"/>
        </w:rPr>
        <w:t>142015.94</w:t>
      </w:r>
      <w:r>
        <w:rPr>
          <w:rFonts w:hint="default" w:ascii="仿宋_GB2312" w:eastAsia="仿宋_GB2312" w:cs="DengXian-Regular"/>
          <w:sz w:val="32"/>
          <w:szCs w:val="32"/>
        </w:rPr>
        <w:t>万元，用事业基金弥补收支差额</w:t>
      </w:r>
      <w:r>
        <w:rPr>
          <w:rFonts w:hint="eastAsia" w:ascii="仿宋_GB2312" w:eastAsia="仿宋_GB2312" w:cs="DengXian-Regular"/>
          <w:sz w:val="32"/>
          <w:szCs w:val="32"/>
          <w:lang w:val="en-US" w:eastAsia="zh-CN"/>
        </w:rPr>
        <w:t>69.9万元，</w:t>
      </w:r>
      <w:r>
        <w:rPr>
          <w:rFonts w:hint="default" w:ascii="仿宋_GB2312" w:eastAsia="仿宋_GB2312" w:cs="DengXian-Regular"/>
          <w:sz w:val="32"/>
          <w:szCs w:val="32"/>
        </w:rPr>
        <w:t>本年收入</w:t>
      </w:r>
      <w:r>
        <w:rPr>
          <w:rFonts w:hint="eastAsia" w:ascii="仿宋_GB2312" w:eastAsia="仿宋_GB2312" w:cs="DengXian-Regular"/>
          <w:sz w:val="32"/>
          <w:szCs w:val="32"/>
          <w:lang w:val="en-US" w:eastAsia="zh-CN"/>
        </w:rPr>
        <w:t>649478.25</w:t>
      </w:r>
      <w:r>
        <w:rPr>
          <w:rFonts w:hint="default" w:ascii="仿宋_GB2312" w:eastAsia="仿宋_GB2312" w:cs="DengXian-Regular"/>
          <w:sz w:val="32"/>
          <w:szCs w:val="32"/>
        </w:rPr>
        <w:t xml:space="preserve">万元；本年支出 </w:t>
      </w:r>
      <w:r>
        <w:rPr>
          <w:rFonts w:hint="eastAsia" w:ascii="仿宋_GB2312" w:eastAsia="仿宋_GB2312" w:cs="DengXian-Regular"/>
          <w:sz w:val="32"/>
          <w:szCs w:val="32"/>
          <w:lang w:val="en-US" w:eastAsia="zh-CN"/>
        </w:rPr>
        <w:t>587260.22</w:t>
      </w:r>
      <w:r>
        <w:rPr>
          <w:rFonts w:hint="default" w:ascii="仿宋_GB2312" w:eastAsia="仿宋_GB2312" w:cs="DengXian-Regular"/>
          <w:sz w:val="32"/>
          <w:szCs w:val="32"/>
        </w:rPr>
        <w:t>万元</w:t>
      </w:r>
      <w:r>
        <w:rPr>
          <w:rFonts w:hint="eastAsia" w:ascii="仿宋_GB2312" w:eastAsia="仿宋_GB2312" w:cs="DengXian-Regular"/>
          <w:sz w:val="32"/>
          <w:szCs w:val="32"/>
          <w:lang w:eastAsia="zh-CN"/>
        </w:rPr>
        <w:t>，</w:t>
      </w:r>
      <w:r>
        <w:rPr>
          <w:rFonts w:hint="default" w:ascii="仿宋_GB2312" w:eastAsia="仿宋_GB2312" w:cs="DengXian-Regular"/>
          <w:sz w:val="32"/>
          <w:szCs w:val="32"/>
        </w:rPr>
        <w:t>年末结转和结余</w:t>
      </w:r>
      <w:r>
        <w:rPr>
          <w:rFonts w:hint="eastAsia" w:ascii="仿宋_GB2312" w:eastAsia="仿宋_GB2312" w:cs="DengXian-Regular"/>
          <w:sz w:val="32"/>
          <w:szCs w:val="32"/>
          <w:lang w:val="en-US" w:eastAsia="zh-CN"/>
        </w:rPr>
        <w:t>152284.43</w:t>
      </w:r>
      <w:r>
        <w:rPr>
          <w:rFonts w:hint="default" w:ascii="仿宋_GB2312" w:eastAsia="仿宋_GB2312" w:cs="DengXian-Regular"/>
          <w:sz w:val="32"/>
          <w:szCs w:val="32"/>
        </w:rPr>
        <w:t>万元</w:t>
      </w:r>
      <w:r>
        <w:rPr>
          <w:rFonts w:hint="eastAsia" w:ascii="仿宋_GB2312" w:eastAsia="仿宋_GB2312" w:cs="DengXian-Regular"/>
          <w:sz w:val="32"/>
          <w:szCs w:val="32"/>
          <w:lang w:eastAsia="zh-CN"/>
        </w:rPr>
        <w:t>，结余分配</w:t>
      </w:r>
      <w:r>
        <w:rPr>
          <w:rFonts w:hint="eastAsia" w:ascii="仿宋_GB2312" w:eastAsia="仿宋_GB2312" w:cs="DengXian-Regular"/>
          <w:sz w:val="32"/>
          <w:szCs w:val="32"/>
          <w:lang w:val="en-US" w:eastAsia="zh-CN"/>
        </w:rPr>
        <w:t>52019.45万元</w:t>
      </w:r>
      <w:r>
        <w:rPr>
          <w:rFonts w:hint="default" w:ascii="仿宋_GB2312"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default" w:ascii="仿宋_GB2312" w:eastAsia="仿宋_GB2312" w:cs="DengXian-Regular"/>
          <w:sz w:val="32"/>
          <w:szCs w:val="32"/>
        </w:rPr>
        <w:t>与201</w:t>
      </w:r>
      <w:r>
        <w:rPr>
          <w:rFonts w:hint="eastAsia" w:ascii="仿宋_GB2312" w:eastAsia="仿宋_GB2312" w:cs="DengXian-Regular"/>
          <w:sz w:val="32"/>
          <w:szCs w:val="32"/>
          <w:lang w:val="en-US" w:eastAsia="zh-CN"/>
        </w:rPr>
        <w:t>8</w:t>
      </w:r>
      <w:r>
        <w:rPr>
          <w:rFonts w:hint="default" w:ascii="仿宋_GB2312" w:eastAsia="仿宋_GB2312" w:cs="DengXian-Regular"/>
          <w:sz w:val="32"/>
          <w:szCs w:val="32"/>
        </w:rPr>
        <w:t>年度决算相比，本年收入增加</w:t>
      </w:r>
      <w:r>
        <w:rPr>
          <w:rFonts w:hint="eastAsia" w:ascii="仿宋_GB2312" w:eastAsia="仿宋_GB2312" w:cs="DengXian-Regular"/>
          <w:sz w:val="32"/>
          <w:szCs w:val="32"/>
          <w:lang w:val="en-US" w:eastAsia="zh-CN"/>
        </w:rPr>
        <w:t>65067.59</w:t>
      </w:r>
      <w:r>
        <w:rPr>
          <w:rFonts w:hint="default" w:ascii="仿宋_GB2312" w:eastAsia="仿宋_GB2312" w:cs="DengXian-Regular"/>
          <w:sz w:val="32"/>
          <w:szCs w:val="32"/>
        </w:rPr>
        <w:t>万元，增长</w:t>
      </w:r>
      <w:r>
        <w:rPr>
          <w:rFonts w:hint="eastAsia" w:ascii="仿宋_GB2312" w:eastAsia="仿宋_GB2312" w:cs="DengXian-Regular"/>
          <w:sz w:val="32"/>
          <w:szCs w:val="32"/>
          <w:lang w:val="en-US" w:eastAsia="zh-CN"/>
        </w:rPr>
        <w:t>11.13</w:t>
      </w:r>
      <w:r>
        <w:rPr>
          <w:rFonts w:hint="default" w:ascii="仿宋_GB2312" w:eastAsia="仿宋_GB2312" w:cs="DengXian-Regular"/>
          <w:sz w:val="32"/>
          <w:szCs w:val="32"/>
        </w:rPr>
        <w:t xml:space="preserve">%，主要是医疗收入增加；本年支出增加 </w:t>
      </w:r>
      <w:r>
        <w:rPr>
          <w:rFonts w:hint="eastAsia" w:ascii="仿宋_GB2312" w:eastAsia="仿宋_GB2312" w:cs="DengXian-Regular"/>
          <w:sz w:val="32"/>
          <w:szCs w:val="32"/>
          <w:lang w:val="en-US" w:eastAsia="zh-CN"/>
        </w:rPr>
        <w:t>20686.45</w:t>
      </w:r>
      <w:r>
        <w:rPr>
          <w:rFonts w:hint="default" w:ascii="仿宋_GB2312" w:eastAsia="仿宋_GB2312" w:cs="DengXian-Regular"/>
          <w:sz w:val="32"/>
          <w:szCs w:val="32"/>
        </w:rPr>
        <w:t>万元，增长</w:t>
      </w:r>
      <w:r>
        <w:rPr>
          <w:rFonts w:hint="eastAsia" w:ascii="仿宋_GB2312" w:eastAsia="仿宋_GB2312" w:cs="DengXian-Regular"/>
          <w:sz w:val="32"/>
          <w:szCs w:val="32"/>
          <w:lang w:val="en-US" w:eastAsia="zh-CN"/>
        </w:rPr>
        <w:t>3.65</w:t>
      </w:r>
      <w:r>
        <w:rPr>
          <w:rFonts w:hint="default" w:ascii="仿宋_GB2312" w:eastAsia="仿宋_GB2312" w:cs="DengXian-Regular"/>
          <w:sz w:val="32"/>
          <w:szCs w:val="32"/>
        </w:rPr>
        <w:t>%，主要是医疗支出增加。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649478.25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82655.99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12.73</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559149.16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86.09</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7673.1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1.18</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kern w:val="2"/>
          <w:sz w:val="32"/>
          <w:szCs w:val="32"/>
          <w:lang w:val="en-US" w:eastAsia="zh-CN" w:bidi="ar-SA"/>
        </w:rPr>
        <w:pict>
          <v:shape id="图片框 88" o:spid="_x0000_s1038" o:spt="75" type="#_x0000_t75" style="position:absolute;left:0pt;margin-left:-1.15pt;margin-top:4.8pt;height:289pt;width:442.1pt;z-index:251672576;mso-width-relative:page;mso-height-relative:page;" fillcolor="#FFFFFF" filled="f" o:preferrelative="t" stroked="f" coordsize="21600,21600">
            <v:path/>
            <v:fill on="f" color2="#FFFFFF" focussize="0,0"/>
            <v:stroke on="f"/>
            <v:imagedata r:id="rId24" gain="65536f" blacklevel="0f" gamma="0" o:title="收入构成情况"/>
            <o:lock v:ext="edit" position="f" selection="f" grouping="f" rotation="f" cropping="f" text="f" aspectratio="t"/>
          </v:shape>
        </w:pic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jc w:val="both"/>
        <w:outlineLvl w:val="1"/>
        <w:rPr>
          <w:rFonts w:hint="eastAsia" w:ascii="仿宋_GB2312" w:eastAsia="仿宋_GB2312" w:cs="DengXian-Regular"/>
          <w:sz w:val="32"/>
          <w:szCs w:val="32"/>
        </w:rPr>
      </w:pPr>
    </w:p>
    <w:p>
      <w:pPr>
        <w:keepNext/>
        <w:keepLines/>
        <w:snapToGrid w:val="0"/>
        <w:spacing w:line="580" w:lineRule="exact"/>
        <w:jc w:val="center"/>
        <w:outlineLvl w:val="1"/>
        <w:rPr>
          <w:rFonts w:ascii="黑体" w:hAnsi="Calibri" w:eastAsia="黑体" w:cs="Times New Roman"/>
          <w:b/>
          <w:bCs/>
          <w:sz w:val="32"/>
          <w:szCs w:val="32"/>
        </w:rPr>
      </w:pPr>
      <w:r>
        <w:rPr>
          <w:rFonts w:hint="eastAsia" w:ascii="仿宋_GB2312" w:hAnsi="Times New Roman" w:eastAsia="仿宋_GB2312" w:cs="DengXian-Regular"/>
          <w:sz w:val="28"/>
          <w:szCs w:val="28"/>
        </w:rPr>
        <w:t>图1：收入构成情况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kern w:val="2"/>
          <w:sz w:val="32"/>
          <w:szCs w:val="32"/>
          <w:lang w:val="en-US" w:eastAsia="zh-CN" w:bidi="ar-SA"/>
        </w:rPr>
        <w:pict>
          <v:shape id="图片框 90" o:spid="_x0000_s1039" o:spt="75" type="#_x0000_t75" style="position:absolute;left:0pt;margin-left:-1.2pt;margin-top:85.65pt;height:286.45pt;width:442.1pt;z-index:251673600;mso-width-relative:page;mso-height-relative:page;" fillcolor="#FFFFFF" filled="f" o:preferrelative="t" stroked="f" coordsize="21600,21600">
            <v:path/>
            <v:fill on="f" color2="#FFFFFF" focussize="0,0"/>
            <v:stroke on="f"/>
            <v:imagedata r:id="rId25" gain="65536f" blacklevel="0f" gamma="0" o:title="图2：支出构成情况（按支出性质）"/>
            <o:lock v:ext="edit" position="f" selection="f" grouping="f" rotation="f" cropping="f" text="f" aspectratio="t"/>
          </v:shape>
        </w:pict>
      </w: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587260.22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550044.68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93.66</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37215.54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6.34</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adjustRightInd w:val="0"/>
        <w:snapToGrid w:val="0"/>
        <w:spacing w:after="160" w:line="560" w:lineRule="exact"/>
        <w:jc w:val="center"/>
        <w:rPr>
          <w:rFonts w:hint="eastAsia" w:ascii="仿宋_GB2312" w:hAnsi="Times New Roman" w:eastAsia="仿宋_GB2312" w:cs="DengXian-Regular"/>
          <w:sz w:val="28"/>
          <w:szCs w:val="28"/>
        </w:rPr>
      </w:pPr>
    </w:p>
    <w:p>
      <w:pPr>
        <w:adjustRightInd w:val="0"/>
        <w:snapToGrid w:val="0"/>
        <w:spacing w:after="160" w:line="560" w:lineRule="exact"/>
        <w:jc w:val="center"/>
        <w:rPr>
          <w:rFonts w:hint="eastAsia" w:ascii="仿宋_GB2312" w:hAnsi="Times New Roman" w:eastAsia="仿宋_GB2312" w:cs="DengXian-Regular"/>
          <w:sz w:val="28"/>
          <w:szCs w:val="28"/>
        </w:rPr>
      </w:pPr>
    </w:p>
    <w:p>
      <w:pPr>
        <w:adjustRightInd w:val="0"/>
        <w:snapToGrid w:val="0"/>
        <w:spacing w:after="160" w:line="560" w:lineRule="exact"/>
        <w:jc w:val="center"/>
        <w:rPr>
          <w:rFonts w:hint="eastAsia" w:ascii="仿宋_GB2312" w:hAnsi="Times New Roman" w:eastAsia="仿宋_GB2312" w:cs="DengXian-Regular"/>
          <w:sz w:val="28"/>
          <w:szCs w:val="28"/>
        </w:rPr>
      </w:pPr>
    </w:p>
    <w:p>
      <w:pPr>
        <w:adjustRightInd w:val="0"/>
        <w:snapToGrid w:val="0"/>
        <w:spacing w:after="160" w:line="560" w:lineRule="exact"/>
        <w:jc w:val="center"/>
        <w:rPr>
          <w:rFonts w:ascii="黑体" w:hAnsi="Calibri" w:eastAsia="黑体" w:cs="Times New Roman"/>
          <w:b/>
          <w:bCs/>
          <w:sz w:val="32"/>
          <w:szCs w:val="32"/>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82655.99</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12563.24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17.92</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上级专项资金增加，如</w:t>
      </w:r>
      <w:r>
        <w:rPr>
          <w:rFonts w:hint="eastAsia" w:ascii="仿宋_GB2312" w:hAnsi="Times New Roman" w:eastAsia="仿宋_GB2312" w:cs="DengXian-Regular"/>
          <w:sz w:val="32"/>
          <w:szCs w:val="32"/>
          <w:lang w:eastAsia="zh-CN"/>
        </w:rPr>
        <w:t>基本公共卫生服务补助资金、中央重大传染病防控经费等</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74857.81</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10838.6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16.93</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是开展卫生健康各专项项目支出增加，如重大卫生服务中央补助资金、中央重大公共卫生服务补助结算资金等</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kern w:val="2"/>
          <w:sz w:val="32"/>
          <w:szCs w:val="32"/>
          <w:lang w:val="en-US" w:eastAsia="zh-CN" w:bidi="ar-SA"/>
        </w:rPr>
        <w:pict>
          <v:shape id="图片框 92" o:spid="_x0000_s1040" o:spt="75" type="#_x0000_t75" style="position:absolute;left:0pt;margin-left:-2.7pt;margin-top:3pt;height:286.45pt;width:442.1pt;z-index:251674624;mso-width-relative:page;mso-height-relative:page;" fillcolor="#FFFFFF" filled="f" o:preferrelative="t" stroked="f" coordsize="21600,21600">
            <v:path/>
            <v:fill on="f" color2="#FFFFFF" focussize="0,0"/>
            <v:stroke on="f"/>
            <v:imagedata r:id="rId26" gain="65536f" blacklevel="0f" gamma="0" o:title="2018-2019年度财政拨款收支对比"/>
            <o:lock v:ext="edit" position="f" selection="f" grouping="f" rotation="f" cropping="f" text="f" aspectratio="t"/>
          </v:shape>
        </w:pic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after="160" w:line="560" w:lineRule="exact"/>
        <w:jc w:val="center"/>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val="en-US" w:eastAsia="zh-CN"/>
        </w:rPr>
        <w:t>2018-2019年度财政拨款收支对比</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82655.99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147.27</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26532.24</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上级专项项目资金增加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74857.81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133.38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18734.06</w:t>
      </w:r>
      <w:r>
        <w:rPr>
          <w:rFonts w:hint="eastAsia" w:ascii="仿宋_GB2312" w:hAnsi="Times New Roman" w:eastAsia="仿宋_GB2312" w:cs="DengXian-Regular"/>
          <w:sz w:val="32"/>
          <w:szCs w:val="32"/>
        </w:rPr>
        <w:t>万元，决算数大于预算数主要原因是主要是</w:t>
      </w:r>
      <w:r>
        <w:rPr>
          <w:rFonts w:hint="eastAsia" w:ascii="仿宋_GB2312" w:eastAsia="仿宋_GB2312" w:cs="DengXian-Regular"/>
          <w:sz w:val="32"/>
          <w:szCs w:val="32"/>
          <w:lang w:eastAsia="zh-CN"/>
        </w:rPr>
        <w:t>上级专项项目资金支出增加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kern w:val="2"/>
          <w:sz w:val="32"/>
          <w:szCs w:val="32"/>
          <w:highlight w:val="yellow"/>
          <w:lang w:val="en-US" w:eastAsia="zh-CN" w:bidi="ar-SA"/>
        </w:rPr>
        <w:pict>
          <v:shape id="图片框 94" o:spid="_x0000_s1041" o:spt="75" type="#_x0000_t75" style="position:absolute;left:0pt;margin-left:12.6pt;margin-top:2.95pt;height:286.45pt;width:442.1pt;z-index:251675648;mso-width-relative:page;mso-height-relative:page;" fillcolor="#FFFFFF" filled="f" o:preferrelative="t" stroked="f" coordsize="21600,21600">
            <v:path/>
            <v:fill on="f" color2="#FFFFFF" focussize="0,0"/>
            <v:stroke on="f"/>
            <v:imagedata r:id="rId27" gain="65536f" blacklevel="0f" gamma="0" o:title="财政拨款预决算收支对比"/>
            <o:lock v:ext="edit" position="f" selection="f" grouping="f" rotation="f" cropping="f" text="f" aspectratio="t"/>
          </v:shape>
        </w:pic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560" w:firstLineChars="200"/>
        <w:jc w:val="center"/>
        <w:rPr>
          <w:rFonts w:ascii="仿宋_GB2312" w:hAnsi="Times New Roman" w:eastAsia="仿宋_GB2312" w:cs="DengXian-Regular"/>
          <w:sz w:val="32"/>
          <w:szCs w:val="32"/>
          <w:highlight w:val="yellow"/>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：财政拨款收支与年初预算数对比情况</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74857.81</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3.18</w:t>
      </w:r>
      <w:r>
        <w:rPr>
          <w:rFonts w:hint="eastAsia" w:ascii="仿宋_GB2312" w:hAnsi="Times New Roman" w:eastAsia="仿宋_GB2312" w:cs="DengXian-Regular"/>
          <w:sz w:val="32"/>
          <w:szCs w:val="32"/>
        </w:rPr>
        <w:t>万元；教育（类）支出</w:t>
      </w:r>
      <w:r>
        <w:rPr>
          <w:rFonts w:hint="eastAsia" w:ascii="仿宋_GB2312" w:hAnsi="Times New Roman" w:eastAsia="仿宋_GB2312" w:cs="DengXian-Regular"/>
          <w:sz w:val="32"/>
          <w:szCs w:val="32"/>
          <w:lang w:val="en-US" w:eastAsia="zh-CN"/>
        </w:rPr>
        <w:t>134.58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0.18</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35.2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0.05</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13515.97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18.06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60467.52万元，占80.78%；节能环保支出1.22万元；</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693.14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0.93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灾害防治及应急管理支出</w:t>
      </w:r>
      <w:r>
        <w:rPr>
          <w:rFonts w:hint="eastAsia" w:ascii="仿宋_GB2312" w:hAnsi="Times New Roman" w:eastAsia="仿宋_GB2312" w:cs="DengXian-Regular"/>
          <w:sz w:val="32"/>
          <w:szCs w:val="32"/>
          <w:lang w:val="en-US" w:eastAsia="zh-CN"/>
        </w:rPr>
        <w:t>7万元，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kern w:val="2"/>
          <w:sz w:val="32"/>
          <w:szCs w:val="32"/>
          <w:lang w:val="en-US" w:eastAsia="zh-CN" w:bidi="ar-SA"/>
        </w:rPr>
        <w:pict>
          <v:shape id="图片框 96" o:spid="_x0000_s1042" o:spt="75" type="#_x0000_t75" style="position:absolute;left:0pt;margin-left:-0.35pt;margin-top:7.45pt;height:287.6pt;width:442pt;z-index:251676672;mso-width-relative:page;mso-height-relative:page;" fillcolor="#FFFFFF" filled="f" o:preferrelative="t" stroked="f" coordsize="21600,21600">
            <v:path/>
            <v:fill on="f" color2="#FFFFFF" focussize="0,0"/>
            <v:stroke on="f"/>
            <v:imagedata r:id="rId28" gain="65536f" blacklevel="0f" gamma="0" o:title="财政拨款支出决算结构（按功能分类）"/>
            <o:lock v:ext="edit" position="f" selection="f" grouping="f" rotation="f" cropping="f" text="f" aspectratio="t"/>
          </v:shape>
        </w:pic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after="160" w:line="560" w:lineRule="exact"/>
        <w:jc w:val="center"/>
        <w:rPr>
          <w:rFonts w:ascii="楷体_GB2312" w:hAnsi="Times New Roman" w:eastAsia="楷体_GB2312" w:cs="DengXian-Bold"/>
          <w:b/>
          <w:bCs/>
          <w:sz w:val="32"/>
          <w:szCs w:val="32"/>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5</w:t>
      </w:r>
      <w:r>
        <w:rPr>
          <w:rFonts w:hint="eastAsia" w:ascii="仿宋_GB2312" w:hAnsi="Times New Roman" w:eastAsia="仿宋_GB2312" w:cs="DengXian-Regular"/>
          <w:sz w:val="28"/>
          <w:szCs w:val="28"/>
        </w:rPr>
        <w:t>：财政拨款支出决算结构（按功能分类）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43915.86</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42814.88</w:t>
      </w:r>
      <w:r>
        <w:rPr>
          <w:rFonts w:hint="eastAsia" w:ascii="仿宋_GB2312" w:hAnsi="Times New Roman" w:eastAsia="仿宋_GB2312" w:cs="DengXian-Regular"/>
          <w:sz w:val="32"/>
          <w:szCs w:val="32"/>
        </w:rPr>
        <w:t>万元，主要包括基本工资、津贴补贴、奖金、绩效工资、机关事业单位基本养老保险缴费、职业年金缴费、职工基本医疗保险缴费、公务员医疗补助缴费、住房公积金、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1100.98</w:t>
      </w:r>
      <w:r>
        <w:rPr>
          <w:rFonts w:hint="eastAsia" w:ascii="仿宋_GB2312" w:hAnsi="Times New Roman" w:eastAsia="仿宋_GB2312" w:cs="DengXian-Regular"/>
          <w:sz w:val="32"/>
          <w:szCs w:val="32"/>
        </w:rPr>
        <w:t>万元，主要包括办公费、印刷费、手续费、水费、电费、邮电费、取暖费、物业管理费、差旅费、维修（护）费、租赁费、会议费、培训费、公务接待费、专用材料费、劳务费、委托业务费、工会经费、福利费、公务用车运行维护费、其他交通费用、税金及附加费用、其他商品和服务支出、办公设备购置、专用设备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293.36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68.31</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136.12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31.69</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33.17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10.16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逐年控制</w:t>
      </w:r>
      <w:r>
        <w:rPr>
          <w:rFonts w:hint="eastAsia" w:ascii="仿宋_GB2312" w:eastAsia="仿宋_GB2312" w:cs="DengXian-Regular"/>
          <w:sz w:val="32"/>
          <w:szCs w:val="32"/>
        </w:rPr>
        <w:t>“三公”经费开支</w:t>
      </w:r>
      <w:r>
        <w:rPr>
          <w:rFonts w:hint="eastAsia" w:ascii="仿宋_GB2312" w:eastAsia="仿宋_GB2312" w:cs="DengXian-Regular"/>
          <w:sz w:val="32"/>
          <w:szCs w:val="32"/>
          <w:lang w:eastAsia="zh-CN"/>
        </w:rPr>
        <w:t>，厉行节约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1.8</w:t>
      </w:r>
      <w:bookmarkStart w:id="0" w:name="_GoBack"/>
      <w:bookmarkEnd w:id="0"/>
      <w:r>
        <w:rPr>
          <w:rFonts w:hint="eastAsia" w:ascii="楷体_GB2312" w:hAnsi="Times New Roman" w:eastAsia="楷体_GB2312" w:cs="DengXian-Bold"/>
          <w:b/>
          <w:bCs/>
          <w:sz w:val="32"/>
          <w:szCs w:val="32"/>
          <w:lang w:val="en-US" w:eastAsia="zh-CN"/>
        </w:rPr>
        <w:t>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本部门2019年度参加其他单位组织的因公出国（境）团组</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人。因公出国（境）费支出较预算增加</w:t>
      </w:r>
      <w:r>
        <w:rPr>
          <w:rFonts w:hint="eastAsia" w:ascii="仿宋_GB2312" w:hAnsi="Times New Roman" w:eastAsia="仿宋_GB2312" w:cs="DengXian-Regular"/>
          <w:sz w:val="32"/>
          <w:szCs w:val="32"/>
          <w:lang w:val="en-US" w:eastAsia="zh-CN"/>
        </w:rPr>
        <w:t>1.88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当年增加了</w:t>
      </w:r>
      <w:r>
        <w:rPr>
          <w:rFonts w:hint="eastAsia" w:ascii="仿宋_GB2312" w:hAnsi="Times New Roman" w:eastAsia="仿宋_GB2312" w:cs="DengXian-Regular"/>
          <w:sz w:val="32"/>
          <w:szCs w:val="32"/>
        </w:rPr>
        <w:t>因公出国（境）</w:t>
      </w:r>
      <w:r>
        <w:rPr>
          <w:rFonts w:hint="eastAsia" w:ascii="仿宋_GB2312" w:hAnsi="Times New Roman" w:eastAsia="仿宋_GB2312" w:cs="DengXian-Regular"/>
          <w:sz w:val="32"/>
          <w:szCs w:val="32"/>
          <w:lang w:eastAsia="zh-CN"/>
        </w:rPr>
        <w:t>安排</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1.88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去年没有因公出国（境）支出，今年增加了</w:t>
      </w:r>
      <w:r>
        <w:rPr>
          <w:rFonts w:hint="eastAsia" w:ascii="仿宋_GB2312" w:hAnsi="Times New Roman" w:eastAsia="仿宋_GB2312" w:cs="DengXian-Regular"/>
          <w:sz w:val="32"/>
          <w:szCs w:val="32"/>
        </w:rPr>
        <w:t>因公出国（境）</w:t>
      </w:r>
      <w:r>
        <w:rPr>
          <w:rFonts w:hint="eastAsia" w:ascii="仿宋_GB2312" w:hAnsi="Times New Roman" w:eastAsia="仿宋_GB2312" w:cs="DengXian-Regular"/>
          <w:sz w:val="32"/>
          <w:szCs w:val="32"/>
          <w:lang w:eastAsia="zh-CN"/>
        </w:rPr>
        <w:t>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289.94</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125.18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30.16</w:t>
      </w:r>
      <w:r>
        <w:rPr>
          <w:rFonts w:hint="eastAsia" w:ascii="仿宋_GB2312" w:hAnsi="Times New Roman" w:eastAsia="仿宋_GB2312" w:cs="DengXian-Regular"/>
          <w:sz w:val="32"/>
          <w:szCs w:val="32"/>
        </w:rPr>
        <w:t>%,主要是</w:t>
      </w:r>
      <w:r>
        <w:rPr>
          <w:rFonts w:hint="default" w:ascii="仿宋" w:hAnsi="仿宋" w:eastAsia="仿宋"/>
          <w:color w:val="000000"/>
          <w:sz w:val="32"/>
        </w:rPr>
        <w:t>减</w:t>
      </w:r>
      <w:r>
        <w:rPr>
          <w:rFonts w:hint="default" w:ascii="仿宋_GB2312" w:eastAsia="仿宋_GB2312" w:cs="DengXian-Regular"/>
          <w:sz w:val="32"/>
          <w:szCs w:val="32"/>
        </w:rPr>
        <w:t>少车辆</w:t>
      </w:r>
      <w:r>
        <w:rPr>
          <w:rFonts w:hint="eastAsia" w:ascii="仿宋_GB2312" w:eastAsia="仿宋_GB2312" w:cs="DengXian-Regular"/>
          <w:sz w:val="32"/>
          <w:szCs w:val="32"/>
          <w:lang w:eastAsia="zh-CN"/>
        </w:rPr>
        <w:t>运行</w:t>
      </w:r>
      <w:r>
        <w:rPr>
          <w:rFonts w:hint="default" w:ascii="仿宋_GB2312" w:eastAsia="仿宋_GB2312" w:cs="DengXian-Regular"/>
          <w:sz w:val="32"/>
          <w:szCs w:val="32"/>
        </w:rPr>
        <w:t>维护费</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35.07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10.79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w:t>
      </w:r>
      <w:r>
        <w:rPr>
          <w:rFonts w:hint="default" w:ascii="仿宋_GB2312" w:eastAsia="仿宋_GB2312" w:cs="DengXian-Regular"/>
          <w:sz w:val="32"/>
          <w:szCs w:val="32"/>
        </w:rPr>
        <w:t>车辆</w:t>
      </w:r>
      <w:r>
        <w:rPr>
          <w:rFonts w:hint="eastAsia" w:ascii="仿宋_GB2312" w:eastAsia="仿宋_GB2312" w:cs="DengXian-Regular"/>
          <w:sz w:val="32"/>
          <w:szCs w:val="32"/>
          <w:lang w:eastAsia="zh-CN"/>
        </w:rPr>
        <w:t>运行</w:t>
      </w:r>
      <w:r>
        <w:rPr>
          <w:rFonts w:hint="default" w:ascii="仿宋_GB2312" w:eastAsia="仿宋_GB2312" w:cs="DengXian-Regular"/>
          <w:sz w:val="32"/>
          <w:szCs w:val="32"/>
        </w:rPr>
        <w:t>维护费</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color w:val="000000"/>
          <w:sz w:val="32"/>
          <w:szCs w:val="32"/>
          <w:highlight w:val="none"/>
        </w:rPr>
        <w:t>与预算持平</w:t>
      </w:r>
      <w:r>
        <w:rPr>
          <w:rFonts w:hint="eastAsia" w:ascii="仿宋_GB2312" w:hAnsi="Times New Roman" w:eastAsia="仿宋_GB2312" w:cs="DengXian-Regular"/>
          <w:color w:val="000000"/>
          <w:sz w:val="32"/>
          <w:szCs w:val="32"/>
          <w:highlight w:val="none"/>
          <w:lang w:eastAsia="zh-CN"/>
        </w:rPr>
        <w:t>，</w:t>
      </w:r>
      <w:r>
        <w:rPr>
          <w:rFonts w:hint="eastAsia" w:ascii="仿宋_GB2312" w:hAnsi="Times New Roman" w:eastAsia="仿宋_GB2312" w:cs="DengXian-Regular"/>
          <w:color w:val="000000"/>
          <w:sz w:val="32"/>
          <w:szCs w:val="32"/>
          <w:highlight w:val="none"/>
        </w:rPr>
        <w:t>未发生“公务用车购置”经费支出</w:t>
      </w:r>
      <w:r>
        <w:rPr>
          <w:rFonts w:hint="eastAsia" w:ascii="仿宋_GB2312" w:hAnsi="Times New Roman" w:eastAsia="仿宋_GB2312" w:cs="DengXian-Regular"/>
          <w:color w:val="000000"/>
          <w:sz w:val="32"/>
          <w:szCs w:val="32"/>
          <w:highlight w:val="none"/>
          <w:lang w:eastAsia="zh-CN"/>
        </w:rPr>
        <w:t>，</w:t>
      </w:r>
      <w:r>
        <w:rPr>
          <w:rFonts w:hint="eastAsia" w:ascii="仿宋_GB2312" w:hAnsi="Times New Roman" w:eastAsia="仿宋_GB2312" w:cs="DengXian-Regular"/>
          <w:color w:val="000000"/>
          <w:sz w:val="32"/>
          <w:szCs w:val="32"/>
          <w:highlight w:val="none"/>
        </w:rPr>
        <w:t>与2018年度决算支出持平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35</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125.18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30.16</w:t>
      </w:r>
      <w:r>
        <w:rPr>
          <w:rFonts w:hint="eastAsia" w:ascii="仿宋_GB2312" w:hAnsi="Times New Roman" w:eastAsia="仿宋_GB2312" w:cs="DengXian-Regular"/>
          <w:sz w:val="32"/>
          <w:szCs w:val="32"/>
        </w:rPr>
        <w:t>%,主要是</w:t>
      </w:r>
      <w:r>
        <w:rPr>
          <w:rFonts w:hint="default" w:ascii="仿宋" w:hAnsi="仿宋" w:eastAsia="仿宋"/>
          <w:color w:val="000000"/>
          <w:sz w:val="32"/>
        </w:rPr>
        <w:t>减</w:t>
      </w:r>
      <w:r>
        <w:rPr>
          <w:rFonts w:hint="default" w:ascii="仿宋_GB2312" w:eastAsia="仿宋_GB2312" w:cs="DengXian-Regular"/>
          <w:sz w:val="32"/>
          <w:szCs w:val="32"/>
        </w:rPr>
        <w:t>少车辆</w:t>
      </w:r>
      <w:r>
        <w:rPr>
          <w:rFonts w:hint="eastAsia" w:ascii="仿宋_GB2312" w:eastAsia="仿宋_GB2312" w:cs="DengXian-Regular"/>
          <w:sz w:val="32"/>
          <w:szCs w:val="32"/>
          <w:lang w:eastAsia="zh-CN"/>
        </w:rPr>
        <w:t>运行</w:t>
      </w:r>
      <w:r>
        <w:rPr>
          <w:rFonts w:hint="default" w:ascii="仿宋_GB2312" w:eastAsia="仿宋_GB2312" w:cs="DengXian-Regular"/>
          <w:sz w:val="32"/>
          <w:szCs w:val="32"/>
        </w:rPr>
        <w:t>维护费</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35.07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10.79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w:t>
      </w:r>
      <w:r>
        <w:rPr>
          <w:rFonts w:hint="default" w:ascii="仿宋_GB2312" w:eastAsia="仿宋_GB2312" w:cs="DengXian-Regular"/>
          <w:sz w:val="32"/>
          <w:szCs w:val="32"/>
        </w:rPr>
        <w:t>车辆</w:t>
      </w:r>
      <w:r>
        <w:rPr>
          <w:rFonts w:hint="eastAsia" w:ascii="仿宋_GB2312" w:eastAsia="仿宋_GB2312" w:cs="DengXian-Regular"/>
          <w:sz w:val="32"/>
          <w:szCs w:val="32"/>
          <w:lang w:eastAsia="zh-CN"/>
        </w:rPr>
        <w:t>运行</w:t>
      </w:r>
      <w:r>
        <w:rPr>
          <w:rFonts w:hint="default" w:ascii="仿宋_GB2312" w:eastAsia="仿宋_GB2312" w:cs="DengXian-Regular"/>
          <w:sz w:val="32"/>
          <w:szCs w:val="32"/>
        </w:rPr>
        <w:t>维护费</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1.54</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68</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297</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10.94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87.65</w:t>
      </w:r>
      <w:r>
        <w:rPr>
          <w:rFonts w:hint="eastAsia" w:ascii="仿宋_GB2312" w:hAnsi="Times New Roman" w:eastAsia="仿宋_GB2312" w:cs="DengXian-Regular"/>
          <w:sz w:val="32"/>
          <w:szCs w:val="32"/>
        </w:rPr>
        <w:t>%,主要是</w:t>
      </w:r>
      <w:r>
        <w:rPr>
          <w:rFonts w:hint="default" w:ascii="仿宋_GB2312" w:eastAsia="仿宋_GB2312" w:cs="DengXian-Regular"/>
          <w:sz w:val="32"/>
          <w:szCs w:val="32"/>
        </w:rPr>
        <w:t>减少接待</w:t>
      </w:r>
      <w:r>
        <w:rPr>
          <w:rFonts w:hint="eastAsia" w:ascii="仿宋_GB2312" w:eastAsia="仿宋_GB2312" w:cs="DengXian-Regular"/>
          <w:sz w:val="32"/>
          <w:szCs w:val="32"/>
          <w:lang w:eastAsia="zh-CN"/>
        </w:rPr>
        <w:t>、</w:t>
      </w:r>
      <w:r>
        <w:rPr>
          <w:rFonts w:hint="default" w:ascii="仿宋_GB2312" w:eastAsia="仿宋_GB2312" w:cs="DengXian-Regular"/>
          <w:sz w:val="32"/>
          <w:szCs w:val="32"/>
        </w:rPr>
        <w:t>降低接待标准</w:t>
      </w:r>
      <w:r>
        <w:rPr>
          <w:rFonts w:hint="eastAsia" w:ascii="仿宋_GB2312" w:hAnsi="Times New Roman" w:eastAsia="仿宋_GB2312" w:cs="DengXian-Regular"/>
          <w:sz w:val="32"/>
          <w:szCs w:val="32"/>
        </w:rPr>
        <w:t>；较上年度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1.15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接待批次和人次增加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1.预算绩效管理工作开展情况。</w:t>
      </w:r>
    </w:p>
    <w:p>
      <w:pPr>
        <w:adjustRightInd w:val="0"/>
        <w:snapToGrid w:val="0"/>
        <w:spacing w:line="580" w:lineRule="exact"/>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rPr>
        <w:t>根据预算绩效管理要求，本部门组织对2019年度一般公共预算项目支出全面开展绩效自评，其中，</w:t>
      </w:r>
      <w:r>
        <w:rPr>
          <w:rFonts w:hint="eastAsia" w:ascii="仿宋_GB2312" w:hAnsi="Times New Roman" w:eastAsia="仿宋_GB2312" w:cs="DengXian-Regular"/>
          <w:sz w:val="32"/>
          <w:szCs w:val="32"/>
          <w:lang w:eastAsia="zh-CN"/>
        </w:rPr>
        <w:t>涉及</w:t>
      </w:r>
      <w:r>
        <w:rPr>
          <w:rFonts w:hint="eastAsia" w:ascii="仿宋_GB2312" w:hAnsi="Times New Roman" w:eastAsia="仿宋_GB2312" w:cs="DengXian-Regular"/>
          <w:sz w:val="32"/>
          <w:szCs w:val="32"/>
        </w:rPr>
        <w:t>项目</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个，共涉及资金</w:t>
      </w:r>
      <w:r>
        <w:rPr>
          <w:rFonts w:hint="eastAsia" w:ascii="仿宋_GB2312" w:hAnsi="Times New Roman" w:eastAsia="仿宋_GB2312" w:cs="DengXian-Regular"/>
          <w:sz w:val="32"/>
          <w:szCs w:val="32"/>
          <w:lang w:val="en-US" w:eastAsia="zh-CN"/>
        </w:rPr>
        <w:t>33075.34</w:t>
      </w:r>
      <w:r>
        <w:rPr>
          <w:rFonts w:hint="eastAsia" w:ascii="仿宋_GB2312" w:hAnsi="Times New Roman" w:eastAsia="仿宋_GB2312" w:cs="DengXian-Regular"/>
          <w:sz w:val="32"/>
          <w:szCs w:val="32"/>
        </w:rPr>
        <w:t>万元，占一般公共预算项目支出总额的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。组织对</w:t>
      </w:r>
      <w:r>
        <w:rPr>
          <w:rFonts w:hint="eastAsia" w:ascii="仿宋_GB2312" w:hAnsi="Times New Roman" w:eastAsia="仿宋_GB2312" w:cs="DengXian-Regular"/>
          <w:sz w:val="32"/>
          <w:szCs w:val="32"/>
          <w:lang w:eastAsia="zh-CN"/>
        </w:rPr>
        <w:t>出生缺陷防治</w:t>
      </w:r>
      <w:r>
        <w:rPr>
          <w:rFonts w:hint="eastAsia" w:ascii="仿宋_GB2312" w:hAnsi="Times New Roman" w:eastAsia="仿宋_GB2312" w:cs="DengXian-Regular"/>
          <w:sz w:val="32"/>
          <w:szCs w:val="32"/>
        </w:rPr>
        <w:t>项目</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计划生育专项补助经费</w:t>
      </w:r>
      <w:r>
        <w:rPr>
          <w:rFonts w:hint="eastAsia" w:ascii="仿宋_GB2312" w:hAnsi="Times New Roman" w:eastAsia="仿宋_GB2312" w:cs="DengXian-Regular"/>
          <w:sz w:val="32"/>
          <w:szCs w:val="32"/>
        </w:rPr>
        <w:t>等</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个项目开展了部门评价，涉及一般公共预算支出</w:t>
      </w:r>
      <w:r>
        <w:rPr>
          <w:rFonts w:hint="eastAsia" w:ascii="仿宋_GB2312" w:hAnsi="Times New Roman" w:eastAsia="仿宋_GB2312" w:cs="DengXian-Regular"/>
          <w:sz w:val="32"/>
          <w:szCs w:val="32"/>
          <w:lang w:val="en-US" w:eastAsia="zh-CN"/>
        </w:rPr>
        <w:t>33075.34</w:t>
      </w:r>
      <w:r>
        <w:rPr>
          <w:rFonts w:hint="eastAsia" w:ascii="仿宋_GB2312" w:hAnsi="Times New Roman" w:eastAsia="仿宋_GB2312" w:cs="DengXian-Regular"/>
          <w:sz w:val="32"/>
          <w:szCs w:val="32"/>
        </w:rPr>
        <w:t>万元，政府性基金预算支出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万元。其中，对</w:t>
      </w:r>
      <w:r>
        <w:rPr>
          <w:rFonts w:hint="eastAsia" w:ascii="仿宋_GB2312" w:hAnsi="Times New Roman" w:eastAsia="仿宋_GB2312" w:cs="DengXian-Regular"/>
          <w:sz w:val="32"/>
          <w:szCs w:val="32"/>
          <w:lang w:eastAsia="zh-CN"/>
        </w:rPr>
        <w:t>出生缺陷防治项目经费</w:t>
      </w:r>
      <w:r>
        <w:rPr>
          <w:rFonts w:hint="eastAsia" w:ascii="仿宋_GB2312" w:hAnsi="Times New Roman" w:eastAsia="仿宋_GB2312" w:cs="DengXian-Regular"/>
          <w:sz w:val="32"/>
          <w:szCs w:val="32"/>
        </w:rPr>
        <w:t>项目委托</w:t>
      </w:r>
      <w:r>
        <w:rPr>
          <w:rFonts w:hint="eastAsia" w:ascii="仿宋_GB2312" w:hAnsi="Times New Roman" w:eastAsia="仿宋_GB2312" w:cs="DengXian-Regular"/>
          <w:sz w:val="32"/>
          <w:szCs w:val="32"/>
          <w:lang w:eastAsia="zh-CN"/>
        </w:rPr>
        <w:t>德永会计师事务所</w:t>
      </w:r>
      <w:r>
        <w:rPr>
          <w:rFonts w:hint="eastAsia" w:ascii="仿宋_GB2312" w:hAnsi="Times New Roman" w:eastAsia="仿宋_GB2312" w:cs="DengXian-Regular"/>
          <w:sz w:val="32"/>
          <w:szCs w:val="32"/>
        </w:rPr>
        <w:t>开展绩效评价。从评价情况来看，</w:t>
      </w:r>
      <w:r>
        <w:rPr>
          <w:rFonts w:hint="eastAsia" w:ascii="仿宋_GB2312" w:hAnsi="Times New Roman" w:eastAsia="仿宋_GB2312" w:cs="DengXian-Regular"/>
          <w:sz w:val="32"/>
          <w:szCs w:val="32"/>
          <w:lang w:eastAsia="zh-CN"/>
        </w:rPr>
        <w:t>良好的项目</w:t>
      </w:r>
      <w:r>
        <w:rPr>
          <w:rFonts w:hint="eastAsia" w:ascii="仿宋_GB2312" w:hAnsi="Times New Roman" w:eastAsia="仿宋_GB2312" w:cs="DengXian-Regular"/>
          <w:sz w:val="32"/>
          <w:szCs w:val="32"/>
          <w:lang w:val="en-US" w:eastAsia="zh-CN"/>
        </w:rPr>
        <w:t>28个，一般的项目1个。</w:t>
      </w:r>
      <w:r>
        <w:rPr>
          <w:rFonts w:hint="eastAsia" w:ascii="仿宋_GB2312" w:hAnsi="Times New Roman" w:eastAsia="仿宋_GB2312" w:cs="DengXian-Regular"/>
          <w:sz w:val="32"/>
          <w:szCs w:val="32"/>
        </w:rPr>
        <w:t>我</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以绩效为导向，预算支出管理较为规范，能按照有关规章制度开展工作</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重大支出项目立项规范，资金到位及时，资金使用较合理规范，项目质量达标，实现了部门职责绩效目标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有效保障了市委</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市政府重大部署和本部门事业发展重点项目</w:t>
      </w:r>
      <w:r>
        <w:rPr>
          <w:rFonts w:hint="eastAsia" w:ascii="仿宋_GB2312" w:hAnsi="Times New Roman" w:eastAsia="仿宋_GB2312" w:cs="DengXian-Regular"/>
          <w:sz w:val="32"/>
          <w:szCs w:val="32"/>
          <w:lang w:eastAsia="zh-CN"/>
        </w:rPr>
        <w:t>顺利实施</w:t>
      </w:r>
      <w:r>
        <w:rPr>
          <w:rFonts w:hint="eastAsia" w:ascii="仿宋_GB2312" w:hAnsi="Times New Roman" w:eastAsia="仿宋_GB2312" w:cs="DengXian-Regular"/>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本部门在今年部门决算公开中反映</w:t>
      </w:r>
      <w:r>
        <w:rPr>
          <w:rFonts w:hint="eastAsia" w:ascii="仿宋_GB2312" w:hAnsi="Times New Roman" w:eastAsia="仿宋_GB2312" w:cs="DengXian-Regular"/>
          <w:sz w:val="32"/>
          <w:szCs w:val="32"/>
          <w:lang w:eastAsia="zh-CN"/>
        </w:rPr>
        <w:t>出生缺陷防治</w:t>
      </w:r>
      <w:r>
        <w:rPr>
          <w:rFonts w:hint="eastAsia" w:ascii="仿宋_GB2312" w:hAnsi="Times New Roman" w:eastAsia="仿宋_GB2312" w:cs="DengXian-Regular"/>
          <w:sz w:val="32"/>
          <w:szCs w:val="32"/>
        </w:rPr>
        <w:t>项目</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计划生育专项补助经费</w:t>
      </w:r>
      <w:r>
        <w:rPr>
          <w:rFonts w:hint="eastAsia" w:ascii="仿宋_GB2312" w:hAnsi="Times New Roman" w:eastAsia="仿宋_GB2312" w:cs="DengXian-Regular"/>
          <w:sz w:val="32"/>
          <w:szCs w:val="32"/>
        </w:rPr>
        <w:t>等5个项目绩效自评结果。根据年初设定的绩效目标，</w:t>
      </w:r>
      <w:r>
        <w:rPr>
          <w:rFonts w:hint="eastAsia" w:ascii="仿宋_GB2312" w:hAnsi="Times New Roman" w:eastAsia="仿宋_GB2312" w:cs="DengXian-Regular"/>
          <w:sz w:val="32"/>
          <w:szCs w:val="32"/>
          <w:lang w:val="en-US" w:eastAsia="zh-CN"/>
        </w:rPr>
        <w:t>出生缺陷防治项目94分；</w:t>
      </w:r>
      <w:r>
        <w:rPr>
          <w:rFonts w:hint="eastAsia" w:ascii="仿宋_GB2312" w:hAnsi="Times New Roman" w:eastAsia="仿宋_GB2312" w:cs="DengXian-Regular"/>
          <w:sz w:val="32"/>
          <w:szCs w:val="32"/>
        </w:rPr>
        <w:t>计划生育</w:t>
      </w:r>
      <w:r>
        <w:rPr>
          <w:rFonts w:hint="eastAsia" w:ascii="仿宋_GB2312" w:hAnsi="Times New Roman" w:eastAsia="仿宋_GB2312" w:cs="DengXian-Regular"/>
          <w:sz w:val="32"/>
          <w:szCs w:val="32"/>
          <w:lang w:eastAsia="zh-CN"/>
        </w:rPr>
        <w:t>专项补助经费</w:t>
      </w:r>
      <w:r>
        <w:rPr>
          <w:rFonts w:hint="eastAsia" w:ascii="仿宋_GB2312" w:hAnsi="Times New Roman" w:eastAsia="仿宋_GB2312" w:cs="DengXian-Regular"/>
          <w:sz w:val="32"/>
          <w:szCs w:val="32"/>
          <w:lang w:val="en-US" w:eastAsia="zh-CN"/>
        </w:rPr>
        <w:t>97.5分；艾滋病防治经费项目100分；</w:t>
      </w:r>
      <w:r>
        <w:rPr>
          <w:rFonts w:hint="eastAsia" w:ascii="仿宋_GB2312" w:hAnsi="Times New Roman" w:eastAsia="仿宋_GB2312" w:cs="DengXian-Regular"/>
          <w:sz w:val="32"/>
          <w:szCs w:val="32"/>
        </w:rPr>
        <w:t>计生特殊困难家庭“医养扶”专项经费</w:t>
      </w:r>
      <w:r>
        <w:rPr>
          <w:rFonts w:hint="eastAsia" w:ascii="仿宋_GB2312" w:hAnsi="Times New Roman" w:eastAsia="仿宋_GB2312" w:cs="DengXian-Regular"/>
          <w:sz w:val="32"/>
          <w:szCs w:val="32"/>
          <w:lang w:eastAsia="zh-CN"/>
        </w:rPr>
        <w:t>项目</w:t>
      </w:r>
      <w:r>
        <w:rPr>
          <w:rFonts w:hint="eastAsia" w:ascii="仿宋_GB2312" w:hAnsi="Times New Roman" w:eastAsia="仿宋_GB2312" w:cs="DengXian-Regular"/>
          <w:sz w:val="32"/>
          <w:szCs w:val="32"/>
          <w:lang w:val="en-US" w:eastAsia="zh-CN"/>
        </w:rPr>
        <w:t>98分；爱国卫生运动及卫生城创建工作经费项目100分。（绩效自评表后附）</w:t>
      </w:r>
    </w:p>
    <w:p>
      <w:pPr>
        <w:numPr>
          <w:ilvl w:val="0"/>
          <w:numId w:val="2"/>
        </w:num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出生缺陷防治项目</w:t>
      </w:r>
      <w:r>
        <w:rPr>
          <w:rFonts w:hint="eastAsia" w:ascii="仿宋_GB2312" w:hAnsi="Times New Roman" w:eastAsia="仿宋_GB2312" w:cs="DengXian-Regular"/>
          <w:sz w:val="32"/>
          <w:szCs w:val="32"/>
          <w:lang w:eastAsia="zh-CN"/>
        </w:rPr>
        <w:t>自评综述</w:t>
      </w:r>
      <w:r>
        <w:rPr>
          <w:rFonts w:hint="eastAsia" w:ascii="仿宋_GB2312" w:hAnsi="Times New Roman" w:eastAsia="仿宋_GB2312" w:cs="DengXian-Regular"/>
          <w:sz w:val="32"/>
          <w:szCs w:val="32"/>
        </w:rPr>
        <w:t>：根据年初设定的绩效目标，出生缺陷防治项目绩效自评</w:t>
      </w:r>
      <w:r>
        <w:rPr>
          <w:rFonts w:hint="eastAsia" w:ascii="仿宋_GB2312" w:hAnsi="Times New Roman" w:eastAsia="仿宋_GB2312" w:cs="DengXian-Regular"/>
          <w:sz w:val="32"/>
          <w:szCs w:val="32"/>
          <w:lang w:eastAsia="zh-CN"/>
        </w:rPr>
        <w:t>得分为</w:t>
      </w:r>
      <w:r>
        <w:rPr>
          <w:rFonts w:hint="eastAsia" w:ascii="仿宋_GB2312" w:hAnsi="Times New Roman" w:eastAsia="仿宋_GB2312" w:cs="DengXian-Regular"/>
          <w:sz w:val="32"/>
          <w:szCs w:val="32"/>
          <w:lang w:val="en-US" w:eastAsia="zh-CN"/>
        </w:rPr>
        <w:t>94</w:t>
      </w:r>
      <w:r>
        <w:rPr>
          <w:rFonts w:hint="eastAsia" w:ascii="仿宋_GB2312" w:hAnsi="Times New Roman" w:eastAsia="仿宋_GB2312" w:cs="DengXian-Regular"/>
          <w:sz w:val="32"/>
          <w:szCs w:val="32"/>
          <w:lang w:eastAsia="zh-CN"/>
        </w:rPr>
        <w:t>分</w:t>
      </w:r>
      <w:r>
        <w:rPr>
          <w:rFonts w:hint="eastAsia" w:ascii="仿宋_GB2312" w:hAnsi="Times New Roman" w:eastAsia="仿宋_GB2312" w:cs="DengXian-Regular"/>
          <w:sz w:val="32"/>
          <w:szCs w:val="32"/>
        </w:rPr>
        <w:t>。全年预算数为</w:t>
      </w:r>
      <w:r>
        <w:rPr>
          <w:rFonts w:hint="eastAsia" w:ascii="仿宋_GB2312" w:hAnsi="Times New Roman" w:eastAsia="仿宋_GB2312" w:cs="DengXian-Regular"/>
          <w:sz w:val="32"/>
          <w:szCs w:val="32"/>
          <w:lang w:val="en-US" w:eastAsia="zh-CN"/>
        </w:rPr>
        <w:t>4478.40</w:t>
      </w:r>
      <w:r>
        <w:rPr>
          <w:rFonts w:hint="eastAsia" w:ascii="仿宋_GB2312" w:hAnsi="Times New Roman" w:eastAsia="仿宋_GB2312" w:cs="DengXian-Regular"/>
          <w:sz w:val="32"/>
          <w:szCs w:val="32"/>
        </w:rPr>
        <w:t>万元，执行数为</w:t>
      </w:r>
      <w:r>
        <w:rPr>
          <w:rFonts w:hint="eastAsia" w:ascii="仿宋_GB2312" w:hAnsi="Times New Roman" w:eastAsia="仿宋_GB2312" w:cs="DengXian-Regular"/>
          <w:sz w:val="32"/>
          <w:szCs w:val="32"/>
          <w:lang w:val="en-US" w:eastAsia="zh-CN"/>
        </w:rPr>
        <w:t>2806.47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62.73</w:t>
      </w:r>
      <w:r>
        <w:rPr>
          <w:rFonts w:hint="eastAsia" w:ascii="仿宋_GB2312" w:hAnsi="Times New Roman" w:eastAsia="仿宋_GB2312" w:cs="DengXian-Regular"/>
          <w:sz w:val="32"/>
          <w:szCs w:val="32"/>
        </w:rPr>
        <w:t>%。项目绩效目标完成情况：一是</w:t>
      </w:r>
      <w:r>
        <w:rPr>
          <w:rFonts w:hint="eastAsia" w:ascii="仿宋_GB2312" w:hAnsi="Times New Roman" w:eastAsia="仿宋_GB2312" w:cs="DengXian-Regular"/>
          <w:sz w:val="32"/>
          <w:szCs w:val="32"/>
          <w:lang w:eastAsia="zh-CN"/>
        </w:rPr>
        <w:t>婚前医学检查率达</w:t>
      </w:r>
      <w:r>
        <w:rPr>
          <w:rFonts w:hint="eastAsia" w:ascii="仿宋_GB2312" w:hAnsi="Times New Roman" w:eastAsia="仿宋_GB2312" w:cs="DengXian-Regular"/>
          <w:sz w:val="32"/>
          <w:szCs w:val="32"/>
          <w:lang w:val="en-US" w:eastAsia="zh-CN"/>
        </w:rPr>
        <w:t>77.53%</w:t>
      </w:r>
      <w:r>
        <w:rPr>
          <w:rFonts w:hint="eastAsia" w:ascii="仿宋_GB2312" w:hAnsi="Times New Roman" w:eastAsia="仿宋_GB2312" w:cs="DengXian-Regular"/>
          <w:sz w:val="32"/>
          <w:szCs w:val="32"/>
          <w:lang w:eastAsia="zh-CN"/>
        </w:rPr>
        <w:t>；二是目标人群孕前优生健康检查率</w:t>
      </w:r>
      <w:r>
        <w:rPr>
          <w:rFonts w:hint="eastAsia" w:ascii="仿宋_GB2312" w:hAnsi="Times New Roman" w:eastAsia="仿宋_GB2312" w:cs="DengXian-Regular"/>
          <w:sz w:val="32"/>
          <w:szCs w:val="32"/>
          <w:lang w:val="en-US" w:eastAsia="zh-CN"/>
        </w:rPr>
        <w:t>93.74%</w:t>
      </w:r>
      <w:r>
        <w:rPr>
          <w:rFonts w:hint="eastAsia" w:ascii="仿宋_GB2312" w:hAnsi="Times New Roman" w:eastAsia="仿宋_GB2312" w:cs="DengXian-Regular"/>
          <w:sz w:val="32"/>
          <w:szCs w:val="32"/>
          <w:lang w:eastAsia="zh-CN"/>
        </w:rPr>
        <w:t>；三是产前筛查率</w:t>
      </w:r>
      <w:r>
        <w:rPr>
          <w:rFonts w:hint="eastAsia" w:ascii="仿宋_GB2312" w:hAnsi="Times New Roman" w:eastAsia="仿宋_GB2312" w:cs="DengXian-Regular"/>
          <w:sz w:val="32"/>
          <w:szCs w:val="32"/>
        </w:rPr>
        <w:t>达</w:t>
      </w:r>
      <w:r>
        <w:rPr>
          <w:rFonts w:hint="eastAsia" w:ascii="仿宋_GB2312" w:hAnsi="Times New Roman" w:eastAsia="仿宋_GB2312" w:cs="DengXian-Regular"/>
          <w:sz w:val="32"/>
          <w:szCs w:val="32"/>
          <w:lang w:val="en-US" w:eastAsia="zh-CN"/>
        </w:rPr>
        <w:t>87.24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；四是新生儿疾病筛查率、</w:t>
      </w:r>
      <w:r>
        <w:rPr>
          <w:rFonts w:hint="eastAsia" w:ascii="仿宋_GB2312" w:hAnsi="Times New Roman" w:eastAsia="仿宋_GB2312" w:cs="DengXian-Regular"/>
          <w:sz w:val="32"/>
          <w:szCs w:val="32"/>
        </w:rPr>
        <w:t>新生儿听力筛查</w:t>
      </w:r>
      <w:r>
        <w:rPr>
          <w:rFonts w:hint="eastAsia" w:ascii="仿宋_GB2312" w:hAnsi="Times New Roman" w:eastAsia="仿宋_GB2312" w:cs="DengXian-Regular"/>
          <w:sz w:val="32"/>
          <w:szCs w:val="32"/>
          <w:lang w:eastAsia="zh-CN"/>
        </w:rPr>
        <w:t>率</w:t>
      </w:r>
      <w:r>
        <w:rPr>
          <w:rFonts w:hint="eastAsia" w:ascii="仿宋_GB2312" w:hAnsi="Times New Roman" w:eastAsia="仿宋_GB2312" w:cs="DengXian-Regular"/>
          <w:sz w:val="32"/>
          <w:szCs w:val="32"/>
        </w:rPr>
        <w:t>达到</w:t>
      </w:r>
      <w:r>
        <w:rPr>
          <w:rFonts w:hint="eastAsia" w:ascii="仿宋_GB2312" w:hAnsi="Times New Roman" w:eastAsia="仿宋_GB2312" w:cs="DengXian-Regular"/>
          <w:sz w:val="32"/>
          <w:szCs w:val="32"/>
          <w:lang w:val="en-US" w:eastAsia="zh-CN"/>
        </w:rPr>
        <w:t>95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以上，</w:t>
      </w:r>
      <w:r>
        <w:rPr>
          <w:rFonts w:hint="eastAsia" w:ascii="仿宋_GB2312" w:hAnsi="Times New Roman" w:eastAsia="仿宋_GB2312" w:cs="DengXian-Regular"/>
          <w:sz w:val="32"/>
          <w:szCs w:val="32"/>
        </w:rPr>
        <w:t>总体工作效果显著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发现</w:t>
      </w:r>
      <w:r>
        <w:rPr>
          <w:rFonts w:hint="eastAsia" w:ascii="仿宋_GB2312" w:hAnsi="Times New Roman" w:eastAsia="仿宋_GB2312" w:cs="DengXian-Regular"/>
          <w:sz w:val="32"/>
          <w:szCs w:val="32"/>
          <w:lang w:eastAsia="zh-CN"/>
        </w:rPr>
        <w:t>的主要</w:t>
      </w:r>
      <w:r>
        <w:rPr>
          <w:rFonts w:hint="eastAsia" w:ascii="仿宋_GB2312" w:hAnsi="Times New Roman" w:eastAsia="仿宋_GB2312" w:cs="DengXian-Regular"/>
          <w:sz w:val="32"/>
          <w:szCs w:val="32"/>
        </w:rPr>
        <w:t>问题及原因</w:t>
      </w:r>
      <w:r>
        <w:rPr>
          <w:rFonts w:hint="eastAsia" w:ascii="仿宋_GB2312" w:hAnsi="Times New Roman" w:eastAsia="仿宋_GB2312" w:cs="DengXian-Regular"/>
          <w:sz w:val="32"/>
          <w:szCs w:val="32"/>
          <w:lang w:eastAsia="zh-CN"/>
        </w:rPr>
        <w:t>：一是县级财政配套资金普遍不到位；二是资金使用不规范；三是项目单位之间资金结算不及时，造成资金使用压力；四是部门之间缺乏协调，影响工作效率。</w:t>
      </w:r>
      <w:r>
        <w:rPr>
          <w:rFonts w:hint="eastAsia" w:ascii="仿宋_GB2312" w:hAnsi="Times New Roman" w:eastAsia="仿宋_GB2312" w:cs="DengXian-Regular"/>
          <w:sz w:val="32"/>
          <w:szCs w:val="32"/>
        </w:rPr>
        <w:t>下一步改进措施</w:t>
      </w:r>
      <w:r>
        <w:rPr>
          <w:rFonts w:hint="eastAsia" w:ascii="仿宋_GB2312" w:hAnsi="Times New Roman" w:eastAsia="仿宋_GB2312" w:cs="DengXian-Regular"/>
          <w:sz w:val="32"/>
          <w:szCs w:val="32"/>
          <w:lang w:eastAsia="zh-CN"/>
        </w:rPr>
        <w:t>：一是强化预算安排，确保配套资金落实；二是对违规问题进行整改，确保资金使用的规范性；三是改变资金结算方式，确保资金及时到位；四是继续完善信息管理系统；五是逐步适时增加出生缺陷的筛查病种。</w:t>
      </w:r>
    </w:p>
    <w:p>
      <w:pPr>
        <w:numPr>
          <w:ilvl w:val="0"/>
          <w:numId w:val="2"/>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计划生育专项补助经费绩效自评：根据</w:t>
      </w:r>
      <w:r>
        <w:rPr>
          <w:rFonts w:hint="eastAsia" w:ascii="仿宋_GB2312" w:hAnsi="Times New Roman" w:eastAsia="仿宋_GB2312" w:cs="DengXian-Regular"/>
          <w:sz w:val="32"/>
          <w:szCs w:val="32"/>
        </w:rPr>
        <w:t>《河北省农村部分计划生育家庭奖励扶助对象确认条件的具体规定》、《河北省计划生育家庭特别扶助对象资格确认条件的具体规定》、《河北省农村部分计划生育家庭奖励扶助专项资金管理办法》</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冀财社[2015]85号</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、《河北省计划生育家庭特别扶助专项资金管理办法》（冀财社[2015]83号）、《石家庄市计划生育特殊家庭关怀扶助办法》（石政规[2018]4号）</w:t>
      </w:r>
      <w:r>
        <w:rPr>
          <w:rFonts w:hint="eastAsia" w:ascii="仿宋_GB2312" w:hAnsi="Times New Roman" w:eastAsia="仿宋_GB2312" w:cs="DengXian-Regular"/>
          <w:sz w:val="32"/>
          <w:szCs w:val="32"/>
          <w:lang w:eastAsia="zh-CN"/>
        </w:rPr>
        <w:t>通知要求，</w:t>
      </w:r>
      <w:r>
        <w:rPr>
          <w:rFonts w:hint="eastAsia" w:ascii="仿宋_GB2312" w:hAnsi="Times New Roman" w:eastAsia="仿宋_GB2312" w:cs="DengXian-Regular"/>
          <w:sz w:val="32"/>
          <w:szCs w:val="32"/>
        </w:rPr>
        <w:t>我市把奖励扶助和特别扶助当作一项涉及民生的重大事项，按照国家和省出台有关规定抓好落实，按照“三级三审核，村级三公示”制度（即：村级初审、村级公示；乡级审核、村级公示；县级确认</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村级公示），形成规范化运作模式，最大限度地确保了资格认定的准确性、公正性与公开性。实行“资格确认、资金管理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资金发放、社会监督”四权分离的运行机制，资格确认由计生部门负责，资金管理由财政部门负责，资金发放委托银行或信用社负责，社会监督由纪检、审计机构负责，四个环节相互衔接，相互制约，避免部门权力独揽。</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依据《河北省农村部分计划生育家庭奖励扶助对象确认条件的具体规定》《河北省计划生育家庭特别扶助对象资格确认条件的具体规定》等文件要求，严把条件、严格程序，确认目标人群。在资格确认过程中</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各县（市、区）坚持“三不三公开”原则（即：不多登、不错登、不漏登；条件公开、程序公开、名单公开），通过与本人见面、材料审核</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走访座谈等形式，确保资格确认的准确性。</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lang w:eastAsia="zh-CN"/>
        </w:rPr>
        <w:t>）艾滋病防治经费绩效自评：</w:t>
      </w:r>
      <w:r>
        <w:rPr>
          <w:rFonts w:hint="eastAsia" w:ascii="仿宋_GB2312" w:hAnsi="Times New Roman" w:eastAsia="仿宋_GB2312" w:cs="DengXian-Regular"/>
          <w:sz w:val="32"/>
          <w:szCs w:val="32"/>
        </w:rPr>
        <w:t>艾滋病是全球性重大公共卫生问题和社会问题，我市自1989年检出第一例艾滋病感染者以来，病例覆盖范围广，全市均有病例报告。为贯彻落实《艾滋病防治条例》，推动全市艾滋病防治工作的深入开展，根据“预防为主，防治结合”的原则，我们以增强全民艾滋病防治意识，提高救治服务质量与水平，加强艾滋病实验室能力建设，完善艾滋病防治长效机制为重点方向，设立了艾滋病防治项目。</w:t>
      </w:r>
      <w:r>
        <w:rPr>
          <w:rFonts w:hint="eastAsia" w:ascii="仿宋_GB2312" w:hAnsi="Times New Roman" w:eastAsia="仿宋_GB2312" w:cs="DengXian-Regular"/>
          <w:sz w:val="32"/>
          <w:szCs w:val="32"/>
          <w:lang w:eastAsia="zh-CN"/>
        </w:rPr>
        <w:t>进行了</w:t>
      </w:r>
      <w:r>
        <w:rPr>
          <w:rFonts w:hint="eastAsia" w:ascii="仿宋_GB2312" w:hAnsi="Times New Roman" w:eastAsia="仿宋_GB2312" w:cs="DengXian-Regular"/>
          <w:sz w:val="32"/>
          <w:szCs w:val="32"/>
        </w:rPr>
        <w:t>市疾控中心艾滋病确证实验室改造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市第五医院艾滋病门诊病区建设</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市第五医院艾滋病患者救治救助</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市卫</w:t>
      </w:r>
      <w:r>
        <w:rPr>
          <w:rFonts w:hint="eastAsia" w:ascii="仿宋_GB2312" w:hAnsi="Times New Roman" w:eastAsia="仿宋_GB2312" w:cs="DengXian-Regular"/>
          <w:sz w:val="32"/>
          <w:szCs w:val="32"/>
          <w:lang w:eastAsia="zh-CN"/>
        </w:rPr>
        <w:t>健</w:t>
      </w:r>
      <w:r>
        <w:rPr>
          <w:rFonts w:hint="eastAsia" w:ascii="仿宋_GB2312" w:hAnsi="Times New Roman" w:eastAsia="仿宋_GB2312" w:cs="DengXian-Regular"/>
          <w:sz w:val="32"/>
          <w:szCs w:val="32"/>
        </w:rPr>
        <w:t>委艾滋病防治宣传培训</w:t>
      </w:r>
      <w:r>
        <w:rPr>
          <w:rFonts w:hint="eastAsia" w:ascii="仿宋_GB2312" w:hAnsi="Times New Roman" w:eastAsia="仿宋_GB2312" w:cs="DengXian-Regular"/>
          <w:sz w:val="32"/>
          <w:szCs w:val="32"/>
          <w:lang w:eastAsia="zh-CN"/>
        </w:rPr>
        <w:t>等工作</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计生特殊困难家庭“医养扶”专项经费</w:t>
      </w:r>
      <w:r>
        <w:rPr>
          <w:rFonts w:hint="eastAsia" w:ascii="仿宋_GB2312" w:hAnsi="Times New Roman" w:eastAsia="仿宋_GB2312" w:cs="DengXian-Regular"/>
          <w:sz w:val="32"/>
          <w:szCs w:val="32"/>
          <w:lang w:eastAsia="zh-CN"/>
        </w:rPr>
        <w:t>绩效自评：</w:t>
      </w:r>
      <w:r>
        <w:rPr>
          <w:rFonts w:hint="eastAsia" w:ascii="仿宋_GB2312" w:hAnsi="Times New Roman" w:eastAsia="仿宋_GB2312" w:cs="DengXian-Regular"/>
          <w:sz w:val="32"/>
          <w:szCs w:val="32"/>
          <w:lang w:val="en-US" w:eastAsia="zh-CN"/>
        </w:rPr>
        <w:t>依据</w:t>
      </w:r>
      <w:r>
        <w:rPr>
          <w:rFonts w:hint="eastAsia" w:ascii="仿宋_GB2312" w:hAnsi="Times New Roman" w:eastAsia="仿宋_GB2312" w:cs="DengXian-Regular"/>
          <w:sz w:val="32"/>
          <w:szCs w:val="32"/>
        </w:rPr>
        <w:t>《石家庄市计划生育特殊困难家庭医疗服务绿色通道实施办法（试行）》</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石卫家庭〔2015〕2号</w:t>
      </w:r>
      <w:r>
        <w:rPr>
          <w:rFonts w:hint="eastAsia" w:ascii="仿宋_GB2312" w:hAnsi="Times New Roman" w:eastAsia="仿宋_GB2312" w:cs="DengXian-Regular"/>
          <w:sz w:val="32"/>
          <w:szCs w:val="32"/>
          <w:lang w:eastAsia="zh-CN"/>
        </w:rPr>
        <w:t>）要求，</w:t>
      </w:r>
      <w:r>
        <w:rPr>
          <w:rFonts w:hint="eastAsia" w:ascii="仿宋_GB2312" w:hAnsi="Times New Roman" w:eastAsia="仿宋_GB2312" w:cs="DengXian-Regular"/>
          <w:sz w:val="32"/>
          <w:szCs w:val="32"/>
          <w:lang w:val="en-US" w:eastAsia="zh-CN"/>
        </w:rPr>
        <w:t>根据该项目的特点，绩效评价中设立投入、过程、产出、效果共4项一级指标和10项三级指标。其中在共性指标基础上，设定个性指标2项。要求委属七家医院为计生特殊家庭实行“二免四减”优惠政策的落实率达到100%，医疗服务绿色通道开通率100%。绩效指标设立体现了管理制度健全性、制度执行有效性。</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计生特殊家庭医疗费用减免采取信息平台直接结算方式，通过调取信息系统数据，与委属七家医院及相关县（市、区）低保计生特殊家庭减免优惠相关材料进对核对，开展绩效评价。</w:t>
      </w:r>
    </w:p>
    <w:p>
      <w:pPr>
        <w:numPr>
          <w:ilvl w:val="0"/>
          <w:numId w:val="3"/>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爱国卫生运动及卫生城创建工作经费绩效自评：</w:t>
      </w:r>
      <w:r>
        <w:rPr>
          <w:rFonts w:hint="eastAsia" w:ascii="仿宋_GB2312" w:hAnsi="Times New Roman" w:eastAsia="仿宋_GB2312" w:cs="DengXian-Regular"/>
          <w:sz w:val="32"/>
          <w:szCs w:val="32"/>
          <w:lang w:eastAsia="zh-CN"/>
        </w:rPr>
        <w:t>开展爱国卫生运动是一项社会效益较高的群众性活动，</w:t>
      </w:r>
      <w:r>
        <w:rPr>
          <w:rFonts w:hint="eastAsia" w:ascii="仿宋_GB2312" w:hAnsi="Times New Roman" w:eastAsia="仿宋_GB2312" w:cs="DengXian-Regular"/>
          <w:sz w:val="32"/>
          <w:szCs w:val="32"/>
        </w:rPr>
        <w:t>组织</w:t>
      </w:r>
      <w:r>
        <w:rPr>
          <w:rFonts w:hint="eastAsia" w:ascii="仿宋_GB2312" w:hAnsi="Times New Roman" w:eastAsia="仿宋_GB2312" w:cs="DengXian-Regular"/>
          <w:sz w:val="32"/>
          <w:szCs w:val="32"/>
          <w:lang w:eastAsia="zh-CN"/>
        </w:rPr>
        <w:t>开展</w:t>
      </w:r>
      <w:r>
        <w:rPr>
          <w:rFonts w:hint="eastAsia" w:ascii="仿宋_GB2312" w:hAnsi="Times New Roman" w:eastAsia="仿宋_GB2312" w:cs="DengXian-Regular"/>
          <w:sz w:val="32"/>
          <w:szCs w:val="32"/>
        </w:rPr>
        <w:t>卫生创建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除四害</w:t>
      </w:r>
      <w:r>
        <w:rPr>
          <w:rFonts w:hint="eastAsia" w:ascii="仿宋_GB2312" w:hAnsi="Times New Roman" w:eastAsia="仿宋_GB2312" w:cs="DengXian-Regular"/>
          <w:sz w:val="32"/>
          <w:szCs w:val="32"/>
          <w:lang w:eastAsia="zh-CN"/>
        </w:rPr>
        <w:t>”以及</w:t>
      </w:r>
      <w:r>
        <w:rPr>
          <w:rFonts w:hint="eastAsia" w:ascii="仿宋_GB2312" w:hAnsi="Times New Roman" w:eastAsia="仿宋_GB2312" w:cs="DengXian-Regular"/>
          <w:sz w:val="32"/>
          <w:szCs w:val="32"/>
        </w:rPr>
        <w:t>健康城市、健康村镇创建活动</w:t>
      </w:r>
      <w:r>
        <w:rPr>
          <w:rFonts w:hint="eastAsia" w:ascii="仿宋_GB2312" w:hAnsi="Times New Roman" w:eastAsia="仿宋_GB2312" w:cs="DengXian-Regular"/>
          <w:sz w:val="32"/>
          <w:szCs w:val="32"/>
          <w:lang w:eastAsia="zh-CN"/>
        </w:rPr>
        <w:t>是其重要工作内容。为进一步提高社会大众健康意识，养成健康生活方式，改善提升生活环境质量，提升广大群众参与的意识和积极性，</w:t>
      </w:r>
      <w:r>
        <w:rPr>
          <w:rFonts w:hint="eastAsia" w:ascii="仿宋_GB2312" w:hAnsi="Times New Roman" w:eastAsia="仿宋_GB2312" w:cs="DengXian-Regular"/>
          <w:sz w:val="32"/>
          <w:szCs w:val="32"/>
        </w:rPr>
        <w:t>设立了</w:t>
      </w:r>
      <w:r>
        <w:rPr>
          <w:rFonts w:hint="eastAsia" w:ascii="仿宋_GB2312" w:hAnsi="Times New Roman" w:eastAsia="仿宋_GB2312" w:cs="DengXian-Regular"/>
          <w:sz w:val="32"/>
          <w:szCs w:val="32"/>
          <w:lang w:eastAsia="zh-CN"/>
        </w:rPr>
        <w:t>爱国卫生工作</w:t>
      </w:r>
      <w:r>
        <w:rPr>
          <w:rFonts w:hint="eastAsia" w:ascii="仿宋_GB2312" w:hAnsi="Times New Roman" w:eastAsia="仿宋_GB2312" w:cs="DengXian-Regular"/>
          <w:sz w:val="32"/>
          <w:szCs w:val="32"/>
        </w:rPr>
        <w:t>项目。</w:t>
      </w:r>
      <w:r>
        <w:rPr>
          <w:rFonts w:hint="eastAsia" w:ascii="仿宋_GB2312" w:hAnsi="Times New Roman" w:eastAsia="仿宋_GB2312" w:cs="DengXian-Regular"/>
          <w:sz w:val="32"/>
          <w:szCs w:val="32"/>
          <w:lang w:eastAsia="zh-CN"/>
        </w:rPr>
        <w:t>组织</w:t>
      </w:r>
      <w:r>
        <w:rPr>
          <w:rFonts w:hint="eastAsia" w:ascii="仿宋_GB2312" w:hAnsi="Times New Roman" w:eastAsia="仿宋_GB2312" w:cs="DengXian-Regular"/>
          <w:sz w:val="32"/>
          <w:szCs w:val="32"/>
        </w:rPr>
        <w:t>创建国家卫生城市宣传、培训、督导评估，省级卫生城镇、村督导评估，爱国卫生月宣传活动</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组织全市开展</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除四害</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活动，控制四害孳生和密度</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开展健康城市、健康村镇创建活动。本次评价采取定量和定性评价相结合的方式，运用收集资料、抽样调查、对比分析、公众评判等方法开展评价工作；根据项目目标任务，设定绩效指标体系量化评分标准，依据评分结果衡量评价项目绩效的综合实现程度。</w:t>
      </w:r>
    </w:p>
    <w:p>
      <w:pPr>
        <w:numPr>
          <w:ilvl w:val="0"/>
          <w:numId w:val="4"/>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本单位本年无财政评价项目。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243.65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8.12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3.45</w:t>
      </w:r>
      <w:r>
        <w:rPr>
          <w:rFonts w:hint="eastAsia" w:ascii="仿宋_GB2312" w:hAnsi="Times New Roman" w:eastAsia="仿宋_GB2312" w:cs="DengXian-Regular"/>
          <w:sz w:val="32"/>
          <w:szCs w:val="32"/>
        </w:rPr>
        <w:t>%。主要原因是</w:t>
      </w:r>
      <w:r>
        <w:rPr>
          <w:rFonts w:hint="eastAsia" w:ascii="仿宋_GB2312" w:eastAsia="仿宋_GB2312" w:cs="DengXian-Regular"/>
          <w:sz w:val="32"/>
          <w:szCs w:val="32"/>
          <w:lang w:eastAsia="zh-CN"/>
        </w:rPr>
        <w:t>加强车辆管理，车辆维修费减少</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24137.54</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18963.77</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1612.14</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3561.62</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20237.6</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83.84</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10485</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43.44</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190</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41</w:t>
      </w:r>
      <w:r>
        <w:rPr>
          <w:rFonts w:hint="eastAsia" w:ascii="仿宋_GB2312" w:hAnsi="Times New Roman" w:eastAsia="仿宋_GB2312" w:cs="DengXian-Regular"/>
          <w:sz w:val="32"/>
          <w:szCs w:val="32"/>
        </w:rPr>
        <w:t>辆，主要是</w:t>
      </w:r>
      <w:r>
        <w:rPr>
          <w:rFonts w:hint="eastAsia" w:ascii="仿宋_GB2312" w:eastAsia="仿宋_GB2312" w:cs="DengXian-Regular"/>
          <w:sz w:val="32"/>
          <w:szCs w:val="32"/>
          <w:lang w:eastAsia="zh-CN"/>
        </w:rPr>
        <w:t>事业单位公车改革</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16</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123</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救护车。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47</w:t>
      </w:r>
      <w:r>
        <w:rPr>
          <w:rFonts w:hint="eastAsia" w:ascii="仿宋_GB2312" w:hAnsi="Times New Roman" w:eastAsia="仿宋_GB2312" w:cs="DengXian-Regular"/>
          <w:sz w:val="32"/>
          <w:szCs w:val="32"/>
        </w:rPr>
        <w:t>台（套），比上年减少</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设备报废</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186</w:t>
      </w:r>
      <w:r>
        <w:rPr>
          <w:rFonts w:hint="eastAsia" w:ascii="仿宋_GB2312" w:hAnsi="Times New Roman" w:eastAsia="仿宋_GB2312" w:cs="DengXian-Regular"/>
          <w:sz w:val="32"/>
          <w:szCs w:val="32"/>
        </w:rPr>
        <w:t>台（套）比上年减少</w:t>
      </w:r>
      <w:r>
        <w:rPr>
          <w:rFonts w:hint="eastAsia" w:ascii="仿宋_GB2312" w:hAnsi="Times New Roman" w:eastAsia="仿宋_GB2312" w:cs="DengXian-Regular"/>
          <w:sz w:val="32"/>
          <w:szCs w:val="32"/>
          <w:lang w:val="en-US" w:eastAsia="zh-CN"/>
        </w:rPr>
        <w:t>126</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eastAsia="zh-CN"/>
        </w:rPr>
        <w:t>设备报废</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本部门2019年度政府性基金预算财政拨款收入支出决算表</w:t>
      </w:r>
      <w:r>
        <w:rPr>
          <w:rFonts w:hint="eastAsia" w:ascii="仿宋_GB2312" w:hAnsi="Times New Roman"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无收支及结转结余情况，故表公开08表</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09表</w:t>
      </w:r>
      <w:r>
        <w:rPr>
          <w:rFonts w:hint="eastAsia" w:ascii="仿宋_GB2312" w:hAnsi="Times New Roman"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r>
        <w:br w:type="page"/>
      </w:r>
    </w:p>
    <w:tbl>
      <w:tblPr>
        <w:tblStyle w:val="6"/>
        <w:tblpPr w:leftFromText="180" w:rightFromText="180" w:vertAnchor="page" w:horzAnchor="page" w:tblpX="772" w:tblpY="1668"/>
        <w:tblOverlap w:val="never"/>
        <w:tblW w:w="103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870"/>
        <w:gridCol w:w="1455"/>
        <w:gridCol w:w="1455"/>
        <w:gridCol w:w="1275"/>
        <w:gridCol w:w="1275"/>
        <w:gridCol w:w="1425"/>
        <w:gridCol w:w="1425"/>
        <w:gridCol w:w="11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Align w:val="bottom"/>
          </w:tcPr>
          <w:p>
            <w:pPr>
              <w:autoSpaceDN w:val="0"/>
              <w:jc w:val="left"/>
              <w:textAlignment w:val="bottom"/>
              <w:rPr>
                <w:rFonts w:hint="default" w:ascii="仿宋_GB2312" w:hAnsi="仿宋_GB2312" w:eastAsia="仿宋_GB2312"/>
                <w:b w:val="0"/>
                <w:i w:val="0"/>
                <w:color w:val="000000"/>
                <w:sz w:val="22"/>
                <w:u w:val="none"/>
                <w:lang w:eastAsia="zh-CN"/>
              </w:rPr>
            </w:pPr>
            <w:r>
              <w:rPr>
                <w:rFonts w:hint="eastAsia" w:ascii="仿宋_GB2312" w:hAnsi="仿宋_GB2312" w:eastAsia="仿宋_GB2312"/>
                <w:b w:val="0"/>
                <w:i w:val="0"/>
                <w:color w:val="000000"/>
                <w:sz w:val="22"/>
                <w:u w:val="none"/>
                <w:lang w:val="en-US" w:eastAsia="zh-CN"/>
              </w:rPr>
              <w:t xml:space="preserve">       </w:t>
            </w:r>
            <w:r>
              <w:rPr>
                <w:rFonts w:hint="default" w:ascii="仿宋_GB2312" w:hAnsi="仿宋_GB2312" w:eastAsia="仿宋_GB2312"/>
                <w:b w:val="0"/>
                <w:i w:val="0"/>
                <w:color w:val="000000"/>
                <w:sz w:val="22"/>
                <w:u w:val="none"/>
                <w:lang w:eastAsia="zh-CN"/>
              </w:rPr>
              <w:t>附</w:t>
            </w:r>
            <w:r>
              <w:rPr>
                <w:rFonts w:hint="eastAsia" w:ascii="仿宋_GB2312" w:hAnsi="仿宋_GB2312" w:eastAsia="仿宋_GB2312"/>
                <w:b w:val="0"/>
                <w:i w:val="0"/>
                <w:color w:val="000000"/>
                <w:sz w:val="22"/>
                <w:u w:val="none"/>
                <w:lang w:eastAsia="zh-CN"/>
              </w:rPr>
              <w:t>表</w:t>
            </w:r>
            <w:r>
              <w:rPr>
                <w:rFonts w:hint="default" w:ascii="仿宋_GB2312" w:hAnsi="仿宋_GB2312" w:eastAsia="仿宋_GB2312"/>
                <w:b w:val="0"/>
                <w:i w:val="0"/>
                <w:color w:val="000000"/>
                <w:sz w:val="22"/>
                <w:u w:val="none"/>
                <w:lang w:eastAsia="zh-CN"/>
              </w:rPr>
              <w:t>1：</w:t>
            </w:r>
          </w:p>
        </w:tc>
        <w:tc>
          <w:tcPr>
            <w:tcW w:w="145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45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27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27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42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42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170" w:type="dxa"/>
            <w:vAlign w:val="center"/>
          </w:tcPr>
          <w:p>
            <w:pPr>
              <w:autoSpaceDN w:val="0"/>
              <w:jc w:val="left"/>
              <w:textAlignment w:val="center"/>
              <w:rPr>
                <w:rFonts w:hint="default" w:ascii="宋体" w:hAnsi="宋体" w:eastAsia="宋体"/>
                <w:b w:val="0"/>
                <w:i w:val="0"/>
                <w:color w:val="000000"/>
                <w:sz w:val="22"/>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05" w:hRule="atLeast"/>
        </w:trPr>
        <w:tc>
          <w:tcPr>
            <w:tcW w:w="10350" w:type="dxa"/>
            <w:gridSpan w:val="8"/>
            <w:vAlign w:val="center"/>
          </w:tcPr>
          <w:p>
            <w:pPr>
              <w:autoSpaceDN w:val="0"/>
              <w:jc w:val="center"/>
              <w:textAlignment w:val="center"/>
              <w:rPr>
                <w:rFonts w:hint="default" w:ascii="仿宋_GB2312" w:hAnsi="仿宋_GB2312" w:eastAsia="仿宋_GB2312"/>
                <w:b w:val="0"/>
                <w:i w:val="0"/>
                <w:color w:val="000000"/>
                <w:sz w:val="28"/>
                <w:u w:val="none"/>
                <w:lang w:eastAsia="zh-CN"/>
              </w:rPr>
            </w:pPr>
            <w:r>
              <w:rPr>
                <w:rFonts w:hint="default" w:ascii="仿宋_GB2312" w:hAnsi="仿宋_GB2312" w:eastAsia="仿宋_GB2312"/>
                <w:b w:val="0"/>
                <w:i w:val="0"/>
                <w:color w:val="000000"/>
                <w:sz w:val="28"/>
                <w:u w:val="none"/>
                <w:lang w:eastAsia="zh-CN"/>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0" w:hRule="atLeast"/>
        </w:trPr>
        <w:tc>
          <w:tcPr>
            <w:tcW w:w="10350" w:type="dxa"/>
            <w:gridSpan w:val="8"/>
            <w:vAlign w:val="bottom"/>
          </w:tcPr>
          <w:p>
            <w:pPr>
              <w:autoSpaceDN w:val="0"/>
              <w:jc w:val="center"/>
              <w:textAlignment w:val="bottom"/>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60" w:hRule="atLeast"/>
        </w:trPr>
        <w:tc>
          <w:tcPr>
            <w:tcW w:w="870" w:type="dxa"/>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填报单位：</w:t>
            </w:r>
          </w:p>
        </w:tc>
        <w:tc>
          <w:tcPr>
            <w:tcW w:w="2910"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石家庄市卫生健康委员会</w:t>
            </w:r>
          </w:p>
        </w:tc>
        <w:tc>
          <w:tcPr>
            <w:tcW w:w="127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27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42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42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170" w:type="dxa"/>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90" w:hRule="atLeast"/>
        </w:trPr>
        <w:tc>
          <w:tcPr>
            <w:tcW w:w="870" w:type="dxa"/>
            <w:tcBorders>
              <w:top w:val="single" w:color="000000" w:sz="4" w:space="0"/>
              <w:left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 基本情况</w:t>
            </w: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项目名称</w:t>
            </w:r>
          </w:p>
        </w:tc>
        <w:tc>
          <w:tcPr>
            <w:tcW w:w="273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2019年艾滋病综合防治经费</w:t>
            </w:r>
          </w:p>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（专项资金）</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实施(主管）单位</w:t>
            </w:r>
          </w:p>
        </w:tc>
        <w:tc>
          <w:tcPr>
            <w:tcW w:w="402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石家庄市第五医院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二、预算执行情况</w:t>
            </w:r>
          </w:p>
        </w:tc>
        <w:tc>
          <w:tcPr>
            <w:tcW w:w="291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预算安排情况（调整后）</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资金到位情况</w:t>
            </w:r>
          </w:p>
        </w:tc>
        <w:tc>
          <w:tcPr>
            <w:tcW w:w="28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资金执行情况</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预算数：</w:t>
            </w: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141</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到位数：</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141</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执行数：</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138</w:t>
            </w:r>
          </w:p>
        </w:tc>
        <w:tc>
          <w:tcPr>
            <w:tcW w:w="117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97.80%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15" w:hRule="atLeast"/>
        </w:trPr>
        <w:tc>
          <w:tcPr>
            <w:tcW w:w="87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141</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141</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138</w:t>
            </w:r>
          </w:p>
        </w:tc>
        <w:tc>
          <w:tcPr>
            <w:tcW w:w="117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w:t>
            </w:r>
          </w:p>
        </w:tc>
        <w:tc>
          <w:tcPr>
            <w:tcW w:w="117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三、目标完成情况</w:t>
            </w:r>
          </w:p>
        </w:tc>
        <w:tc>
          <w:tcPr>
            <w:tcW w:w="4185"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年度预期目标</w:t>
            </w:r>
          </w:p>
        </w:tc>
        <w:tc>
          <w:tcPr>
            <w:tcW w:w="4125"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具体完成情况</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0" w:hRule="atLeast"/>
        </w:trPr>
        <w:tc>
          <w:tcPr>
            <w:tcW w:w="87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4185" w:type="dxa"/>
            <w:gridSpan w:val="3"/>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1.对全市接受艾滋病抗病毒药物治疗的患者和HIV感染者定期开展实验室检测。2.举办全市二级及以上医疗机构和部分民营医院艾滋病诊疗管理培训会。3.走访困难家庭及联合市红十字会对困难家庭举办现场救助会。</w:t>
            </w:r>
          </w:p>
        </w:tc>
        <w:tc>
          <w:tcPr>
            <w:tcW w:w="4125" w:type="dxa"/>
            <w:gridSpan w:val="3"/>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已完成</w:t>
            </w:r>
          </w:p>
        </w:tc>
        <w:tc>
          <w:tcPr>
            <w:tcW w:w="117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97.80%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textAlignment w:val="auto"/>
              <w:rPr>
                <w:rFonts w:hint="default" w:ascii="宋体" w:hAnsi="宋体"/>
                <w:sz w:val="24"/>
              </w:rPr>
            </w:pPr>
          </w:p>
        </w:tc>
        <w:tc>
          <w:tcPr>
            <w:tcW w:w="418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412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7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60" w:hRule="atLeast"/>
        </w:trPr>
        <w:tc>
          <w:tcPr>
            <w:tcW w:w="87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textAlignment w:val="auto"/>
              <w:rPr>
                <w:rFonts w:hint="default" w:ascii="宋体" w:hAnsi="宋体"/>
                <w:sz w:val="24"/>
              </w:rPr>
            </w:pPr>
          </w:p>
        </w:tc>
        <w:tc>
          <w:tcPr>
            <w:tcW w:w="418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412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7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870" w:type="dxa"/>
            <w:vMerge w:val="restart"/>
            <w:tcBorders>
              <w:top w:val="single" w:color="000000" w:sz="4" w:space="0"/>
              <w:left w:val="single" w:color="000000" w:sz="4" w:space="0"/>
              <w:bottom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四、 年度绩效指标完成情况</w:t>
            </w: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一级指标</w:t>
            </w: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二级指标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三级指标</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预期指标值</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实际完成值</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5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产出指标（40）</w:t>
            </w:r>
          </w:p>
        </w:tc>
        <w:tc>
          <w:tcPr>
            <w:tcW w:w="145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数量指标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培训会开展情况</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开展</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开展</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vMerge w:val="continue"/>
            <w:tcBorders>
              <w:top w:val="single" w:color="000000" w:sz="4" w:space="0"/>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45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防艾知识社区行</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vMerge w:val="continue"/>
            <w:tcBorders>
              <w:top w:val="single" w:color="000000" w:sz="4" w:space="0"/>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455"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sz w:val="24"/>
              </w:rPr>
            </w:pP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防艾知识社区行</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vMerge w:val="continue"/>
            <w:tcBorders>
              <w:top w:val="single" w:color="000000" w:sz="4" w:space="0"/>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质量指标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艾滋病治疗覆盖率</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90"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预算执行率指标</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（10分）</w:t>
            </w:r>
          </w:p>
        </w:tc>
        <w:tc>
          <w:tcPr>
            <w:tcW w:w="1455" w:type="dxa"/>
            <w:tcBorders>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年末执行进度</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100.00%</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vMerge w:val="restart"/>
            <w:tcBorders>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效益指标（40）</w:t>
            </w:r>
          </w:p>
        </w:tc>
        <w:tc>
          <w:tcPr>
            <w:tcW w:w="1455" w:type="dxa"/>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经济效益指标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提升艾滋病宣传知识率</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vMerge w:val="continue"/>
            <w:tcBorders>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455" w:type="dxa"/>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社会效益指标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全年医院开诊天数</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145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（10分）</w:t>
            </w:r>
          </w:p>
        </w:tc>
        <w:tc>
          <w:tcPr>
            <w:tcW w:w="1455" w:type="dxa"/>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患者满意度</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42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7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8310" w:type="dxa"/>
            <w:gridSpan w:val="6"/>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总分</w:t>
            </w:r>
          </w:p>
        </w:tc>
        <w:tc>
          <w:tcPr>
            <w:tcW w:w="117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40" w:hRule="atLeast"/>
        </w:trPr>
        <w:tc>
          <w:tcPr>
            <w:tcW w:w="870" w:type="dxa"/>
            <w:tcBorders>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五、 存在问题、原因及下一步整改措施</w:t>
            </w:r>
          </w:p>
        </w:tc>
        <w:tc>
          <w:tcPr>
            <w:tcW w:w="9480" w:type="dxa"/>
            <w:gridSpan w:val="7"/>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因结余资金小于整月执行费用，剩余部分待本年度拨款到账后一起执行。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2325"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填报人：赵天玮</w:t>
            </w:r>
          </w:p>
        </w:tc>
        <w:tc>
          <w:tcPr>
            <w:tcW w:w="145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27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27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42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2595"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联系电话：66610061</w:t>
            </w:r>
          </w:p>
        </w:tc>
      </w:tr>
    </w:tbl>
    <w:p>
      <w:r>
        <w:br w:type="page"/>
      </w:r>
    </w:p>
    <w:tbl>
      <w:tblPr>
        <w:tblStyle w:val="6"/>
        <w:tblpPr w:leftFromText="180" w:rightFromText="180" w:vertAnchor="text" w:horzAnchor="page" w:tblpX="977" w:tblpY="125"/>
        <w:tblOverlap w:val="never"/>
        <w:tblW w:w="101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1110"/>
        <w:gridCol w:w="1035"/>
        <w:gridCol w:w="150"/>
        <w:gridCol w:w="630"/>
        <w:gridCol w:w="255"/>
        <w:gridCol w:w="960"/>
        <w:gridCol w:w="1575"/>
        <w:gridCol w:w="84"/>
        <w:gridCol w:w="891"/>
        <w:gridCol w:w="165"/>
        <w:gridCol w:w="370"/>
        <w:gridCol w:w="1040"/>
        <w:gridCol w:w="18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Align w:val="bottom"/>
          </w:tcPr>
          <w:p>
            <w:pPr>
              <w:autoSpaceDN w:val="0"/>
              <w:jc w:val="left"/>
              <w:textAlignment w:val="bottom"/>
              <w:rPr>
                <w:rFonts w:hint="default" w:ascii="仿宋_GB2312" w:hAnsi="仿宋_GB2312" w:eastAsia="仿宋_GB2312"/>
                <w:b w:val="0"/>
                <w:i w:val="0"/>
                <w:color w:val="000000"/>
                <w:sz w:val="22"/>
                <w:u w:val="none"/>
                <w:lang w:eastAsia="zh-CN"/>
              </w:rPr>
            </w:pPr>
            <w:r>
              <w:rPr>
                <w:rFonts w:hint="default" w:ascii="仿宋_GB2312" w:hAnsi="仿宋_GB2312" w:eastAsia="仿宋_GB2312"/>
                <w:b w:val="0"/>
                <w:i w:val="0"/>
                <w:color w:val="000000"/>
                <w:sz w:val="22"/>
                <w:u w:val="none"/>
                <w:lang w:eastAsia="zh-CN"/>
              </w:rPr>
              <w:t>附</w:t>
            </w:r>
            <w:r>
              <w:rPr>
                <w:rFonts w:hint="eastAsia" w:ascii="仿宋_GB2312" w:hAnsi="仿宋_GB2312" w:eastAsia="仿宋_GB2312"/>
                <w:b w:val="0"/>
                <w:i w:val="0"/>
                <w:color w:val="000000"/>
                <w:sz w:val="22"/>
                <w:u w:val="none"/>
                <w:lang w:eastAsia="zh-CN"/>
              </w:rPr>
              <w:t>表</w:t>
            </w:r>
            <w:r>
              <w:rPr>
                <w:rFonts w:hint="eastAsia" w:ascii="仿宋_GB2312" w:hAnsi="仿宋_GB2312" w:eastAsia="仿宋_GB2312"/>
                <w:b w:val="0"/>
                <w:i w:val="0"/>
                <w:color w:val="000000"/>
                <w:sz w:val="22"/>
                <w:u w:val="none"/>
                <w:lang w:val="en-US" w:eastAsia="zh-CN"/>
              </w:rPr>
              <w:t>2</w:t>
            </w:r>
            <w:r>
              <w:rPr>
                <w:rFonts w:hint="default" w:ascii="仿宋_GB2312" w:hAnsi="仿宋_GB2312" w:eastAsia="仿宋_GB2312"/>
                <w:b w:val="0"/>
                <w:i w:val="0"/>
                <w:color w:val="000000"/>
                <w:sz w:val="22"/>
                <w:u w:val="none"/>
                <w:lang w:eastAsia="zh-CN"/>
              </w:rPr>
              <w:t>：</w:t>
            </w:r>
          </w:p>
        </w:tc>
        <w:tc>
          <w:tcPr>
            <w:tcW w:w="103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035" w:type="dxa"/>
            <w:gridSpan w:val="3"/>
            <w:vAlign w:val="center"/>
          </w:tcPr>
          <w:p>
            <w:pPr>
              <w:autoSpaceDN w:val="0"/>
              <w:jc w:val="left"/>
              <w:textAlignment w:val="center"/>
              <w:rPr>
                <w:rFonts w:hint="default" w:ascii="宋体" w:hAnsi="宋体" w:eastAsia="宋体"/>
                <w:b w:val="0"/>
                <w:i w:val="0"/>
                <w:color w:val="000000"/>
                <w:sz w:val="22"/>
                <w:u w:val="none"/>
                <w:lang w:eastAsia="zh-CN"/>
              </w:rPr>
            </w:pPr>
          </w:p>
        </w:tc>
        <w:tc>
          <w:tcPr>
            <w:tcW w:w="96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57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975" w:type="dxa"/>
            <w:gridSpan w:val="2"/>
            <w:vAlign w:val="center"/>
          </w:tcPr>
          <w:p>
            <w:pPr>
              <w:autoSpaceDN w:val="0"/>
              <w:jc w:val="left"/>
              <w:textAlignment w:val="center"/>
              <w:rPr>
                <w:rFonts w:hint="default" w:ascii="宋体" w:hAnsi="宋体" w:eastAsia="宋体"/>
                <w:b w:val="0"/>
                <w:i w:val="0"/>
                <w:color w:val="000000"/>
                <w:sz w:val="22"/>
                <w:u w:val="none"/>
                <w:lang w:eastAsia="zh-CN"/>
              </w:rPr>
            </w:pPr>
          </w:p>
        </w:tc>
        <w:tc>
          <w:tcPr>
            <w:tcW w:w="1575" w:type="dxa"/>
            <w:gridSpan w:val="3"/>
            <w:vAlign w:val="center"/>
          </w:tcPr>
          <w:p>
            <w:pPr>
              <w:autoSpaceDN w:val="0"/>
              <w:jc w:val="left"/>
              <w:textAlignment w:val="center"/>
              <w:rPr>
                <w:rFonts w:hint="default" w:ascii="宋体" w:hAnsi="宋体" w:eastAsia="宋体"/>
                <w:b w:val="0"/>
                <w:i w:val="0"/>
                <w:color w:val="000000"/>
                <w:sz w:val="22"/>
                <w:u w:val="none"/>
                <w:lang w:eastAsia="zh-CN"/>
              </w:rPr>
            </w:pPr>
          </w:p>
        </w:tc>
        <w:tc>
          <w:tcPr>
            <w:tcW w:w="1845" w:type="dxa"/>
            <w:vAlign w:val="center"/>
          </w:tcPr>
          <w:p>
            <w:pPr>
              <w:autoSpaceDN w:val="0"/>
              <w:jc w:val="left"/>
              <w:textAlignment w:val="center"/>
              <w:rPr>
                <w:rFonts w:hint="default" w:ascii="宋体" w:hAnsi="宋体" w:eastAsia="宋体"/>
                <w:b w:val="0"/>
                <w:i w:val="0"/>
                <w:color w:val="000000"/>
                <w:sz w:val="22"/>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05" w:hRule="atLeast"/>
        </w:trPr>
        <w:tc>
          <w:tcPr>
            <w:tcW w:w="10110" w:type="dxa"/>
            <w:gridSpan w:val="13"/>
            <w:vAlign w:val="center"/>
          </w:tcPr>
          <w:p>
            <w:pPr>
              <w:autoSpaceDN w:val="0"/>
              <w:jc w:val="center"/>
              <w:textAlignment w:val="center"/>
              <w:rPr>
                <w:rFonts w:hint="default" w:ascii="仿宋_GB2312" w:hAnsi="仿宋_GB2312" w:eastAsia="仿宋_GB2312"/>
                <w:b w:val="0"/>
                <w:i w:val="0"/>
                <w:color w:val="000000"/>
                <w:sz w:val="28"/>
                <w:u w:val="none"/>
                <w:lang w:eastAsia="zh-CN"/>
              </w:rPr>
            </w:pPr>
            <w:r>
              <w:rPr>
                <w:rFonts w:hint="default" w:ascii="仿宋_GB2312" w:hAnsi="仿宋_GB2312" w:eastAsia="仿宋_GB2312"/>
                <w:b w:val="0"/>
                <w:i w:val="0"/>
                <w:color w:val="000000"/>
                <w:sz w:val="28"/>
                <w:u w:val="none"/>
                <w:lang w:eastAsia="zh-CN"/>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0" w:hRule="atLeast"/>
        </w:trPr>
        <w:tc>
          <w:tcPr>
            <w:tcW w:w="10110" w:type="dxa"/>
            <w:gridSpan w:val="13"/>
            <w:vAlign w:val="bottom"/>
          </w:tcPr>
          <w:p>
            <w:pPr>
              <w:autoSpaceDN w:val="0"/>
              <w:jc w:val="center"/>
              <w:textAlignment w:val="bottom"/>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60" w:hRule="atLeast"/>
        </w:trPr>
        <w:tc>
          <w:tcPr>
            <w:tcW w:w="3180" w:type="dxa"/>
            <w:gridSpan w:val="5"/>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填报单位：</w:t>
            </w:r>
            <w:r>
              <w:rPr>
                <w:rFonts w:hint="eastAsia" w:ascii="宋体" w:hAnsi="宋体"/>
                <w:b w:val="0"/>
                <w:i w:val="0"/>
                <w:color w:val="000000"/>
                <w:sz w:val="16"/>
                <w:u w:val="none"/>
                <w:lang w:eastAsia="zh-CN"/>
              </w:rPr>
              <w:t>石家庄市卫生健康委员会</w:t>
            </w:r>
          </w:p>
        </w:tc>
        <w:tc>
          <w:tcPr>
            <w:tcW w:w="96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57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975" w:type="dxa"/>
            <w:gridSpan w:val="2"/>
            <w:vAlign w:val="center"/>
          </w:tcPr>
          <w:p>
            <w:pPr>
              <w:autoSpaceDN w:val="0"/>
              <w:jc w:val="center"/>
              <w:textAlignment w:val="center"/>
              <w:rPr>
                <w:rFonts w:hint="default" w:ascii="宋体" w:hAnsi="宋体" w:eastAsia="宋体"/>
                <w:b w:val="0"/>
                <w:i w:val="0"/>
                <w:color w:val="000000"/>
                <w:sz w:val="16"/>
                <w:u w:val="none"/>
                <w:lang w:eastAsia="zh-CN"/>
              </w:rPr>
            </w:pPr>
          </w:p>
        </w:tc>
        <w:tc>
          <w:tcPr>
            <w:tcW w:w="1575" w:type="dxa"/>
            <w:gridSpan w:val="3"/>
            <w:vAlign w:val="center"/>
          </w:tcPr>
          <w:p>
            <w:pPr>
              <w:autoSpaceDN w:val="0"/>
              <w:jc w:val="center"/>
              <w:textAlignment w:val="center"/>
              <w:rPr>
                <w:rFonts w:hint="default" w:ascii="宋体" w:hAnsi="宋体" w:eastAsia="宋体"/>
                <w:b w:val="0"/>
                <w:i w:val="0"/>
                <w:color w:val="000000"/>
                <w:sz w:val="16"/>
                <w:u w:val="none"/>
                <w:lang w:eastAsia="zh-CN"/>
              </w:rPr>
            </w:pPr>
          </w:p>
        </w:tc>
        <w:tc>
          <w:tcPr>
            <w:tcW w:w="1845" w:type="dxa"/>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95" w:hRule="atLeast"/>
        </w:trPr>
        <w:tc>
          <w:tcPr>
            <w:tcW w:w="1110" w:type="dxa"/>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基本情况</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项目名称</w:t>
            </w:r>
          </w:p>
        </w:tc>
        <w:tc>
          <w:tcPr>
            <w:tcW w:w="1845"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出生缺陷防治项目经费</w:t>
            </w:r>
          </w:p>
        </w:tc>
        <w:tc>
          <w:tcPr>
            <w:tcW w:w="15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实施(主管）单位</w:t>
            </w:r>
          </w:p>
        </w:tc>
        <w:tc>
          <w:tcPr>
            <w:tcW w:w="4395" w:type="dxa"/>
            <w:gridSpan w:val="6"/>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石家庄市卫生健康委员会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二、预算执行情况</w:t>
            </w:r>
          </w:p>
        </w:tc>
        <w:tc>
          <w:tcPr>
            <w:tcW w:w="2070"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预算安排情况（调整后）</w:t>
            </w:r>
          </w:p>
        </w:tc>
        <w:tc>
          <w:tcPr>
            <w:tcW w:w="253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资金到位情况</w:t>
            </w:r>
          </w:p>
        </w:tc>
        <w:tc>
          <w:tcPr>
            <w:tcW w:w="2550" w:type="dxa"/>
            <w:gridSpan w:val="5"/>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资金执行情况</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预算数：</w:t>
            </w:r>
          </w:p>
        </w:tc>
        <w:tc>
          <w:tcPr>
            <w:tcW w:w="8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4478.4</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到位数：</w:t>
            </w:r>
          </w:p>
        </w:tc>
        <w:tc>
          <w:tcPr>
            <w:tcW w:w="15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4478.4</w:t>
            </w:r>
          </w:p>
        </w:tc>
        <w:tc>
          <w:tcPr>
            <w:tcW w:w="114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执行数：</w:t>
            </w:r>
          </w:p>
        </w:tc>
        <w:tc>
          <w:tcPr>
            <w:tcW w:w="141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2809.47</w:t>
            </w:r>
          </w:p>
        </w:tc>
        <w:tc>
          <w:tcPr>
            <w:tcW w:w="184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19"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8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4478.4</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5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4478.4</w:t>
            </w:r>
          </w:p>
        </w:tc>
        <w:tc>
          <w:tcPr>
            <w:tcW w:w="114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41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2809.47</w:t>
            </w:r>
          </w:p>
        </w:tc>
        <w:tc>
          <w:tcPr>
            <w:tcW w:w="184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8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5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w:t>
            </w:r>
          </w:p>
        </w:tc>
        <w:tc>
          <w:tcPr>
            <w:tcW w:w="114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41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w:t>
            </w:r>
          </w:p>
        </w:tc>
        <w:tc>
          <w:tcPr>
            <w:tcW w:w="184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三、目标完成情况</w:t>
            </w:r>
          </w:p>
        </w:tc>
        <w:tc>
          <w:tcPr>
            <w:tcW w:w="3030" w:type="dxa"/>
            <w:gridSpan w:val="5"/>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年度预期目标</w:t>
            </w:r>
          </w:p>
        </w:tc>
        <w:tc>
          <w:tcPr>
            <w:tcW w:w="4125" w:type="dxa"/>
            <w:gridSpan w:val="6"/>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具体完成情况</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0"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3030" w:type="dxa"/>
            <w:gridSpan w:val="5"/>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全市新生儿出生缺陷发生率低于全省平均值，趋于下降。</w:t>
            </w:r>
          </w:p>
        </w:tc>
        <w:tc>
          <w:tcPr>
            <w:tcW w:w="4125" w:type="dxa"/>
            <w:gridSpan w:val="6"/>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婚检、孕前优生健康检查、产前筛查、新生儿疾病筛查（含听力）均达到预期目标。</w:t>
            </w:r>
          </w:p>
        </w:tc>
        <w:tc>
          <w:tcPr>
            <w:tcW w:w="184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91.23%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3030" w:type="dxa"/>
            <w:gridSpan w:val="5"/>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4125" w:type="dxa"/>
            <w:gridSpan w:val="6"/>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84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35" w:hRule="atLeast"/>
        </w:trPr>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3030" w:type="dxa"/>
            <w:gridSpan w:val="5"/>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4125" w:type="dxa"/>
            <w:gridSpan w:val="6"/>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84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110" w:type="dxa"/>
            <w:vMerge w:val="restart"/>
            <w:tcBorders>
              <w:top w:val="single" w:color="000000" w:sz="4" w:space="0"/>
              <w:lef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四、</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年度绩效指标完成情况</w:t>
            </w:r>
          </w:p>
          <w:p>
            <w:pPr>
              <w:autoSpaceDN w:val="0"/>
              <w:jc w:val="center"/>
              <w:textAlignment w:val="center"/>
              <w:rPr>
                <w:rFonts w:hint="eastAsia"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总分</w:t>
            </w:r>
          </w:p>
        </w:tc>
        <w:tc>
          <w:tcPr>
            <w:tcW w:w="103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一级指标</w:t>
            </w:r>
          </w:p>
        </w:tc>
        <w:tc>
          <w:tcPr>
            <w:tcW w:w="78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二级指标</w:t>
            </w: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三级指标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预期指标值</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实际完成值</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60"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产出指标（40）</w:t>
            </w:r>
          </w:p>
        </w:tc>
        <w:tc>
          <w:tcPr>
            <w:tcW w:w="780" w:type="dxa"/>
            <w:gridSpan w:val="2"/>
            <w:vMerge w:val="restart"/>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数量指标</w:t>
            </w: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w:t>
            </w:r>
            <w:r>
              <w:rPr>
                <w:rFonts w:hint="default" w:ascii="Calibri" w:hAnsi="宋体"/>
                <w:b w:val="0"/>
                <w:i w:val="0"/>
                <w:color w:val="000000"/>
                <w:sz w:val="16"/>
                <w:u w:val="none"/>
              </w:rPr>
              <w:t xml:space="preserve"> </w:t>
            </w:r>
            <w:r>
              <w:rPr>
                <w:rFonts w:hint="default" w:ascii="Arial Unicode MS" w:hAnsi="宋体"/>
                <w:b w:val="0"/>
                <w:i w:val="0"/>
                <w:color w:val="000000"/>
                <w:sz w:val="16"/>
                <w:u w:val="none"/>
              </w:rPr>
              <w:t>１</w:t>
            </w:r>
            <w:r>
              <w:rPr>
                <w:rFonts w:hint="default" w:ascii="宋体" w:hAnsi="宋体" w:eastAsia="宋体"/>
                <w:b w:val="0"/>
                <w:i w:val="0"/>
                <w:color w:val="000000"/>
                <w:sz w:val="16"/>
                <w:u w:val="none"/>
                <w:lang w:eastAsia="zh-CN"/>
              </w:rPr>
              <w:t>.婚前医学检查率。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0.7</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0.7753</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2"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continue"/>
            <w:tcBorders>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780" w:type="dxa"/>
            <w:gridSpan w:val="2"/>
            <w:vMerge w:val="continue"/>
            <w:tcBorders>
              <w:left w:val="single" w:color="000000" w:sz="4" w:space="0"/>
              <w:right w:val="single" w:color="000000" w:sz="4" w:space="0"/>
            </w:tcBorders>
            <w:vAlign w:val="center"/>
          </w:tcPr>
          <w:p>
            <w:pPr>
              <w:jc w:val="center"/>
              <w:rPr>
                <w:rFonts w:hint="default" w:ascii="宋体" w:hAnsi="宋体"/>
                <w:sz w:val="24"/>
              </w:rPr>
            </w:pP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w:t>
            </w:r>
            <w:r>
              <w:rPr>
                <w:rFonts w:hint="default" w:ascii="Calibri" w:hAnsi="宋体"/>
                <w:b w:val="0"/>
                <w:i w:val="0"/>
                <w:color w:val="000000"/>
                <w:sz w:val="16"/>
                <w:u w:val="none"/>
              </w:rPr>
              <w:t xml:space="preserve"> </w:t>
            </w:r>
            <w:r>
              <w:rPr>
                <w:rFonts w:hint="default" w:ascii="Arial Unicode MS" w:hAnsi="宋体"/>
                <w:b w:val="0"/>
                <w:i w:val="0"/>
                <w:color w:val="000000"/>
                <w:sz w:val="16"/>
                <w:u w:val="none"/>
              </w:rPr>
              <w:t>２</w:t>
            </w:r>
            <w:r>
              <w:rPr>
                <w:rFonts w:hint="default" w:ascii="宋体" w:hAnsi="宋体" w:eastAsia="宋体"/>
                <w:b w:val="0"/>
                <w:i w:val="0"/>
                <w:color w:val="000000"/>
                <w:sz w:val="16"/>
                <w:u w:val="none"/>
                <w:lang w:eastAsia="zh-CN"/>
              </w:rPr>
              <w:t>.目标人群孕前优生健康检查率。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0.8</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0.9374</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15"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continue"/>
            <w:tcBorders>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780" w:type="dxa"/>
            <w:gridSpan w:val="2"/>
            <w:vMerge w:val="continue"/>
            <w:tcBorders>
              <w:left w:val="single" w:color="000000" w:sz="4" w:space="0"/>
              <w:right w:val="single" w:color="000000" w:sz="4" w:space="0"/>
            </w:tcBorders>
            <w:vAlign w:val="center"/>
          </w:tcPr>
          <w:p>
            <w:pPr>
              <w:autoSpaceDN w:val="0"/>
              <w:jc w:val="center"/>
              <w:textAlignment w:val="center"/>
              <w:rPr>
                <w:rFonts w:hint="default" w:ascii="宋体" w:hAnsi="宋体"/>
                <w:sz w:val="24"/>
              </w:rPr>
            </w:pP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 3.产前筛查率。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0.8</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0.8724</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0"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continue"/>
            <w:tcBorders>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780" w:type="dxa"/>
            <w:gridSpan w:val="2"/>
            <w:vMerge w:val="continue"/>
            <w:tcBorders>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4.新生儿疾病筛查率。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102%</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0"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continue"/>
            <w:tcBorders>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780" w:type="dxa"/>
            <w:gridSpan w:val="2"/>
            <w:vMerge w:val="continue"/>
            <w:tcBorders>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5.新生儿听力筛查率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95.96%</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158"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continue"/>
            <w:tcBorders>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780"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质量指标</w:t>
            </w: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目标人群婚前医学检查、孕前优生健康检查等一级预防措施覆盖率、产前筛查等二级预防措施覆盖率、新生儿疾病筛查和诊治等三级预防措施覆盖率。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90"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auto"/>
              <w:rPr>
                <w:rFonts w:hint="eastAsia" w:ascii="宋体" w:hAnsi="宋体" w:eastAsia="等线"/>
                <w:sz w:val="24"/>
                <w:lang w:eastAsia="zh-CN"/>
              </w:rPr>
            </w:pPr>
            <w:r>
              <w:rPr>
                <w:rFonts w:hint="eastAsia" w:ascii="宋体" w:hAnsi="宋体" w:eastAsia="宋体"/>
                <w:b w:val="0"/>
                <w:i w:val="0"/>
                <w:color w:val="000000"/>
                <w:sz w:val="16"/>
                <w:u w:val="none"/>
                <w:lang w:eastAsia="zh-CN"/>
              </w:rPr>
              <w:t>预算执行指标（</w:t>
            </w:r>
            <w:r>
              <w:rPr>
                <w:rFonts w:hint="eastAsia" w:ascii="宋体" w:hAnsi="宋体" w:eastAsia="宋体"/>
                <w:b w:val="0"/>
                <w:i w:val="0"/>
                <w:color w:val="000000"/>
                <w:sz w:val="16"/>
                <w:u w:val="none"/>
                <w:lang w:val="en-US" w:eastAsia="zh-CN"/>
              </w:rPr>
              <w:t>10分</w:t>
            </w:r>
            <w:r>
              <w:rPr>
                <w:rFonts w:hint="eastAsia" w:ascii="宋体" w:hAnsi="宋体" w:eastAsia="宋体"/>
                <w:b w:val="0"/>
                <w:i w:val="0"/>
                <w:color w:val="000000"/>
                <w:sz w:val="16"/>
                <w:u w:val="none"/>
                <w:lang w:eastAsia="zh-CN"/>
              </w:rPr>
              <w:t>）</w:t>
            </w:r>
          </w:p>
        </w:tc>
        <w:tc>
          <w:tcPr>
            <w:tcW w:w="780"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w:t>
            </w: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年末预算执行率</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年末预算执行率达到</w:t>
            </w:r>
            <w:r>
              <w:rPr>
                <w:rFonts w:hint="default" w:ascii="Calibri" w:hAnsi="宋体"/>
                <w:b w:val="0"/>
                <w:i w:val="0"/>
                <w:color w:val="000000"/>
                <w:sz w:val="16"/>
                <w:u w:val="none"/>
              </w:rPr>
              <w:t>100%</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年末预算执行率达到62.74</w:t>
            </w:r>
            <w:r>
              <w:rPr>
                <w:rFonts w:hint="default" w:ascii="Calibri" w:hAnsi="宋体"/>
                <w:b w:val="0"/>
                <w:i w:val="0"/>
                <w:color w:val="000000"/>
                <w:sz w:val="16"/>
                <w:u w:val="none"/>
              </w:rPr>
              <w:t>%</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55"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效益指标（40）</w:t>
            </w:r>
          </w:p>
        </w:tc>
        <w:tc>
          <w:tcPr>
            <w:tcW w:w="780"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社会效益指标</w:t>
            </w: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目标人群知晓度及积极参与检查度。</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目标人群知道按照相应的时间节点按时参加各项检查。</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目标人群接受各项检查的检查率。</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21" w:hRule="atLeast"/>
        </w:trPr>
        <w:tc>
          <w:tcPr>
            <w:tcW w:w="1110" w:type="dxa"/>
            <w:vMerge w:val="continue"/>
            <w:tcBorders>
              <w:left w:val="single" w:color="000000" w:sz="4" w:space="0"/>
            </w:tcBorders>
            <w:vAlign w:val="center"/>
          </w:tcPr>
          <w:p>
            <w:pPr>
              <w:jc w:val="center"/>
              <w:rPr>
                <w:rFonts w:hint="default" w:ascii="宋体" w:hAnsi="宋体"/>
                <w:sz w:val="24"/>
              </w:rPr>
            </w:pPr>
          </w:p>
        </w:tc>
        <w:tc>
          <w:tcPr>
            <w:tcW w:w="1035"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满意度指标（</w:t>
            </w:r>
            <w:r>
              <w:rPr>
                <w:rFonts w:hint="eastAsia" w:ascii="宋体" w:hAnsi="宋体" w:eastAsia="宋体"/>
                <w:b w:val="0"/>
                <w:i w:val="0"/>
                <w:color w:val="000000"/>
                <w:sz w:val="16"/>
                <w:u w:val="none"/>
                <w:lang w:val="en-US" w:eastAsia="zh-CN"/>
              </w:rPr>
              <w:t>10分</w:t>
            </w:r>
            <w:r>
              <w:rPr>
                <w:rFonts w:hint="eastAsia" w:ascii="宋体" w:hAnsi="宋体" w:eastAsia="宋体"/>
                <w:b w:val="0"/>
                <w:i w:val="0"/>
                <w:color w:val="000000"/>
                <w:sz w:val="16"/>
                <w:u w:val="none"/>
                <w:lang w:eastAsia="zh-CN"/>
              </w:rPr>
              <w:t>）</w:t>
            </w:r>
          </w:p>
        </w:tc>
        <w:tc>
          <w:tcPr>
            <w:tcW w:w="780" w:type="dxa"/>
            <w:gridSpan w:val="2"/>
            <w:vMerge w:val="restart"/>
            <w:tcBorders>
              <w:top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满意度指标</w:t>
            </w: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指标１.目标人群出生缺陷防治项目知晓度。</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目标人群知晓度目标计划达到90%</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92%</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val="en-US" w:eastAsia="zh-CN"/>
              </w:rPr>
            </w:pPr>
            <w:r>
              <w:rPr>
                <w:rFonts w:hint="eastAsia" w:ascii="宋体" w:hAnsi="宋体" w:eastAsia="宋体"/>
                <w:b w:val="0"/>
                <w:i w:val="0"/>
                <w:color w:val="000000"/>
                <w:sz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46" w:hRule="atLeast"/>
        </w:trPr>
        <w:tc>
          <w:tcPr>
            <w:tcW w:w="1110" w:type="dxa"/>
            <w:vMerge w:val="continue"/>
            <w:tcBorders>
              <w:left w:val="single" w:color="000000" w:sz="4" w:space="0"/>
            </w:tcBorders>
            <w:vAlign w:val="center"/>
          </w:tcPr>
          <w:p>
            <w:pPr>
              <w:autoSpaceDN w:val="0"/>
              <w:jc w:val="center"/>
              <w:textAlignment w:val="center"/>
            </w:pPr>
          </w:p>
        </w:tc>
        <w:tc>
          <w:tcPr>
            <w:tcW w:w="1035" w:type="dxa"/>
            <w:vMerge w:val="continue"/>
            <w:tcBorders>
              <w:left w:val="single" w:color="000000" w:sz="4" w:space="0"/>
              <w:bottom w:val="single" w:color="000000" w:sz="4" w:space="0"/>
              <w:right w:val="single" w:color="000000" w:sz="4" w:space="0"/>
            </w:tcBorders>
            <w:vAlign w:val="center"/>
          </w:tcPr>
          <w:p>
            <w:pPr>
              <w:autoSpaceDN w:val="0"/>
              <w:jc w:val="center"/>
              <w:textAlignment w:val="center"/>
            </w:pPr>
          </w:p>
        </w:tc>
        <w:tc>
          <w:tcPr>
            <w:tcW w:w="780" w:type="dxa"/>
            <w:gridSpan w:val="2"/>
            <w:vMerge w:val="continue"/>
            <w:tcBorders>
              <w:bottom w:val="single" w:color="000000" w:sz="4" w:space="0"/>
              <w:right w:val="single" w:color="000000" w:sz="4" w:space="0"/>
            </w:tcBorders>
            <w:vAlign w:val="center"/>
          </w:tcPr>
          <w:p>
            <w:pPr>
              <w:autoSpaceDN w:val="0"/>
              <w:jc w:val="center"/>
              <w:textAlignment w:val="center"/>
            </w:pPr>
          </w:p>
        </w:tc>
        <w:tc>
          <w:tcPr>
            <w:tcW w:w="2874"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指标 ２.目标人群出生缺陷防治项目满意度。</w:t>
            </w:r>
          </w:p>
        </w:tc>
        <w:tc>
          <w:tcPr>
            <w:tcW w:w="1426"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目标人群满意度目标计划达到90%</w:t>
            </w:r>
          </w:p>
        </w:tc>
        <w:tc>
          <w:tcPr>
            <w:tcW w:w="10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91.3%</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eastAsia" w:ascii="宋体" w:hAnsi="宋体" w:eastAsia="宋体"/>
                <w:b w:val="0"/>
                <w:i w:val="0"/>
                <w:color w:val="000000"/>
                <w:sz w:val="16"/>
                <w:u w:val="none"/>
                <w:lang w:val="en-US" w:eastAsia="zh-CN"/>
              </w:rPr>
            </w:pPr>
            <w:r>
              <w:rPr>
                <w:rFonts w:hint="eastAsia" w:ascii="宋体" w:hAnsi="宋体" w:eastAsia="宋体"/>
                <w:b w:val="0"/>
                <w:i w:val="0"/>
                <w:color w:val="000000"/>
                <w:sz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99" w:hRule="atLeast"/>
        </w:trPr>
        <w:tc>
          <w:tcPr>
            <w:tcW w:w="1110" w:type="dxa"/>
            <w:vMerge w:val="continue"/>
            <w:tcBorders>
              <w:left w:val="single" w:color="000000" w:sz="4" w:space="0"/>
              <w:bottom w:val="single" w:color="000000" w:sz="4" w:space="0"/>
            </w:tcBorders>
            <w:vAlign w:val="center"/>
          </w:tcPr>
          <w:p>
            <w:pPr>
              <w:autoSpaceDN w:val="0"/>
              <w:jc w:val="center"/>
              <w:textAlignment w:val="center"/>
              <w:rPr>
                <w:rFonts w:hint="eastAsia" w:ascii="宋体" w:hAnsi="宋体" w:eastAsia="宋体"/>
                <w:b w:val="0"/>
                <w:i w:val="0"/>
                <w:color w:val="000000"/>
                <w:sz w:val="16"/>
                <w:u w:val="none"/>
                <w:lang w:eastAsia="zh-CN"/>
              </w:rPr>
            </w:pPr>
          </w:p>
        </w:tc>
        <w:tc>
          <w:tcPr>
            <w:tcW w:w="7155" w:type="dxa"/>
            <w:gridSpan w:val="11"/>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22"/>
                <w:u w:val="none"/>
                <w:lang w:eastAsia="zh-CN"/>
              </w:rPr>
            </w:pPr>
            <w:r>
              <w:rPr>
                <w:rFonts w:hint="eastAsia" w:ascii="宋体" w:hAnsi="宋体" w:eastAsia="宋体"/>
                <w:b w:val="0"/>
                <w:i w:val="0"/>
                <w:color w:val="000000"/>
                <w:sz w:val="16"/>
                <w:u w:val="none"/>
                <w:lang w:eastAsia="zh-CN"/>
              </w:rPr>
              <w:t>总分</w:t>
            </w:r>
          </w:p>
        </w:tc>
        <w:tc>
          <w:tcPr>
            <w:tcW w:w="184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22"/>
                <w:u w:val="none"/>
                <w:lang w:val="en-US" w:eastAsia="zh-CN"/>
              </w:rPr>
            </w:pPr>
            <w:r>
              <w:rPr>
                <w:rFonts w:hint="eastAsia" w:ascii="宋体" w:hAnsi="宋体" w:eastAsia="宋体"/>
                <w:b w:val="0"/>
                <w:i w:val="0"/>
                <w:color w:val="000000"/>
                <w:sz w:val="16"/>
                <w:u w:val="none"/>
                <w:lang w:val="en-US" w:eastAsia="zh-CN"/>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5" w:hRule="atLeast"/>
        </w:trPr>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仿宋_GB2312" w:hAnsi="仿宋_GB2312" w:eastAsia="仿宋_GB2312"/>
                <w:b w:val="0"/>
                <w:i w:val="0"/>
                <w:color w:val="000000"/>
                <w:sz w:val="22"/>
                <w:u w:val="none"/>
                <w:lang w:eastAsia="zh-CN"/>
              </w:rPr>
              <w:t>五、</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存在问题、原因及下一步整改措施</w:t>
            </w:r>
          </w:p>
        </w:tc>
        <w:tc>
          <w:tcPr>
            <w:tcW w:w="9000" w:type="dxa"/>
            <w:gridSpan w:val="1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22"/>
                <w:u w:val="none"/>
                <w:lang w:eastAsia="zh-CN"/>
              </w:rPr>
              <w:t>1.</w:t>
            </w:r>
            <w:r>
              <w:rPr>
                <w:rFonts w:hint="default" w:ascii="宋体" w:hAnsi="宋体" w:eastAsia="宋体"/>
                <w:b/>
                <w:i w:val="0"/>
                <w:color w:val="000000"/>
                <w:sz w:val="12"/>
                <w:u w:val="none"/>
                <w:lang w:eastAsia="zh-CN"/>
              </w:rPr>
              <w:t>县级财政配套资金普遍不到位。</w:t>
            </w:r>
            <w:r>
              <w:rPr>
                <w:rFonts w:hint="default" w:ascii="宋体" w:hAnsi="宋体" w:eastAsia="宋体"/>
                <w:b w:val="0"/>
                <w:i w:val="0"/>
                <w:color w:val="000000"/>
                <w:sz w:val="12"/>
                <w:u w:val="none"/>
                <w:lang w:eastAsia="zh-CN"/>
              </w:rPr>
              <w:t xml:space="preserve">根据《石家庄市新生儿出生缺陷干预工程实施方案》，免费婚前医学检查、免费产前筛查与免费新生儿疾病筛查市内区（含高新区）由市财政负担，其他县（市）及矿区由市、县两级财政各负担50%。实际执行情况，部分县又资金配套不到位。承担项目单位垫付资金，影响机构正常运转。                         </w:t>
            </w:r>
            <w:r>
              <w:rPr>
                <w:rFonts w:hint="default" w:ascii="宋体" w:hAnsi="宋体" w:eastAsia="宋体"/>
                <w:b/>
                <w:i w:val="0"/>
                <w:color w:val="000000"/>
                <w:sz w:val="12"/>
                <w:u w:val="none"/>
                <w:lang w:eastAsia="zh-CN"/>
              </w:rPr>
              <w:t>2.部门之间缺乏协调，影响工作效率。</w:t>
            </w:r>
            <w:r>
              <w:rPr>
                <w:rFonts w:hint="default" w:ascii="宋体" w:hAnsi="宋体" w:eastAsia="宋体"/>
                <w:b w:val="0"/>
                <w:i w:val="0"/>
                <w:color w:val="000000"/>
                <w:sz w:val="12"/>
                <w:u w:val="none"/>
                <w:lang w:eastAsia="zh-CN"/>
              </w:rPr>
              <w:t>婚检率县市区工作严重不平衡，农村婚检率不稳定，个别县滑坡严重。婚检与孕前优生健康检查属于两个信息系统，还没有融合。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00" w:hRule="atLeast"/>
        </w:trPr>
        <w:tc>
          <w:tcPr>
            <w:tcW w:w="1110" w:type="dxa"/>
            <w:vAlign w:val="center"/>
          </w:tcPr>
          <w:p>
            <w:pPr>
              <w:autoSpaceDN w:val="0"/>
              <w:jc w:val="left"/>
              <w:textAlignment w:val="center"/>
              <w:rPr>
                <w:rFonts w:hint="default" w:ascii="仿宋_GB2312" w:hAnsi="仿宋_GB2312" w:eastAsia="仿宋_GB2312"/>
                <w:b w:val="0"/>
                <w:i w:val="0"/>
                <w:color w:val="000000"/>
                <w:sz w:val="22"/>
                <w:u w:val="none"/>
                <w:lang w:eastAsia="zh-CN"/>
              </w:rPr>
            </w:pPr>
          </w:p>
        </w:tc>
        <w:tc>
          <w:tcPr>
            <w:tcW w:w="9000" w:type="dxa"/>
            <w:gridSpan w:val="12"/>
            <w:vAlign w:val="center"/>
          </w:tcPr>
          <w:p>
            <w:pPr>
              <w:autoSpaceDN w:val="0"/>
              <w:jc w:val="both"/>
              <w:textAlignment w:val="center"/>
              <w:rPr>
                <w:rFonts w:hint="default" w:ascii="宋体" w:hAnsi="宋体" w:eastAsia="宋体"/>
                <w:b w:val="0"/>
                <w:i w:val="0"/>
                <w:color w:val="000000"/>
                <w:sz w:val="22"/>
                <w:u w:val="none"/>
                <w:lang w:eastAsia="zh-CN"/>
              </w:rPr>
            </w:pPr>
          </w:p>
        </w:tc>
      </w:tr>
    </w:tbl>
    <w:p>
      <w:r>
        <w:br w:type="page"/>
      </w:r>
    </w:p>
    <w:tbl>
      <w:tblPr>
        <w:tblStyle w:val="6"/>
        <w:tblpPr w:leftFromText="180" w:rightFromText="180" w:vertAnchor="text" w:horzAnchor="page" w:tblpX="1012" w:tblpY="-30"/>
        <w:tblOverlap w:val="never"/>
        <w:tblW w:w="100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990"/>
        <w:gridCol w:w="1110"/>
        <w:gridCol w:w="1110"/>
        <w:gridCol w:w="1275"/>
        <w:gridCol w:w="1440"/>
        <w:gridCol w:w="1110"/>
        <w:gridCol w:w="1440"/>
        <w:gridCol w:w="16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97" w:hRule="atLeast"/>
        </w:trPr>
        <w:tc>
          <w:tcPr>
            <w:tcW w:w="990" w:type="dxa"/>
            <w:vAlign w:val="bottom"/>
          </w:tcPr>
          <w:p>
            <w:pPr>
              <w:autoSpaceDN w:val="0"/>
              <w:jc w:val="left"/>
              <w:textAlignment w:val="bottom"/>
              <w:rPr>
                <w:rFonts w:hint="default" w:ascii="仿宋_GB2312" w:hAnsi="仿宋_GB2312" w:eastAsia="仿宋_GB2312"/>
                <w:b w:val="0"/>
                <w:i w:val="0"/>
                <w:color w:val="000000"/>
                <w:sz w:val="22"/>
                <w:u w:val="none"/>
                <w:lang w:eastAsia="zh-CN"/>
              </w:rPr>
            </w:pPr>
            <w:r>
              <w:rPr>
                <w:rFonts w:hint="default" w:ascii="仿宋_GB2312" w:hAnsi="仿宋_GB2312" w:eastAsia="仿宋_GB2312"/>
                <w:b w:val="0"/>
                <w:i w:val="0"/>
                <w:color w:val="000000"/>
                <w:sz w:val="22"/>
                <w:u w:val="none"/>
                <w:lang w:eastAsia="zh-CN"/>
              </w:rPr>
              <w:t>附</w:t>
            </w:r>
            <w:r>
              <w:rPr>
                <w:rFonts w:hint="eastAsia" w:ascii="仿宋_GB2312" w:hAnsi="仿宋_GB2312" w:eastAsia="仿宋_GB2312"/>
                <w:b w:val="0"/>
                <w:i w:val="0"/>
                <w:color w:val="000000"/>
                <w:sz w:val="22"/>
                <w:u w:val="none"/>
                <w:lang w:eastAsia="zh-CN"/>
              </w:rPr>
              <w:t>表</w:t>
            </w:r>
            <w:r>
              <w:rPr>
                <w:rFonts w:hint="eastAsia" w:ascii="仿宋_GB2312" w:hAnsi="仿宋_GB2312" w:eastAsia="仿宋_GB2312"/>
                <w:b w:val="0"/>
                <w:i w:val="0"/>
                <w:color w:val="000000"/>
                <w:sz w:val="22"/>
                <w:u w:val="none"/>
                <w:lang w:val="en-US" w:eastAsia="zh-CN"/>
              </w:rPr>
              <w:t>3</w:t>
            </w:r>
            <w:r>
              <w:rPr>
                <w:rFonts w:hint="default" w:ascii="仿宋_GB2312" w:hAnsi="仿宋_GB2312" w:eastAsia="仿宋_GB2312"/>
                <w:b w:val="0"/>
                <w:i w:val="0"/>
                <w:color w:val="000000"/>
                <w:sz w:val="22"/>
                <w:u w:val="none"/>
                <w:lang w:eastAsia="zh-CN"/>
              </w:rPr>
              <w:t>：</w:t>
            </w:r>
          </w:p>
        </w:tc>
        <w:tc>
          <w:tcPr>
            <w:tcW w:w="111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11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27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44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11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44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605" w:type="dxa"/>
            <w:vAlign w:val="center"/>
          </w:tcPr>
          <w:p>
            <w:pPr>
              <w:autoSpaceDN w:val="0"/>
              <w:jc w:val="left"/>
              <w:textAlignment w:val="center"/>
              <w:rPr>
                <w:rFonts w:hint="default" w:ascii="宋体" w:hAnsi="宋体" w:eastAsia="宋体"/>
                <w:b w:val="0"/>
                <w:i w:val="0"/>
                <w:color w:val="000000"/>
                <w:sz w:val="22"/>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05" w:hRule="atLeast"/>
        </w:trPr>
        <w:tc>
          <w:tcPr>
            <w:tcW w:w="10080" w:type="dxa"/>
            <w:gridSpan w:val="8"/>
            <w:vAlign w:val="center"/>
          </w:tcPr>
          <w:p>
            <w:pPr>
              <w:autoSpaceDN w:val="0"/>
              <w:jc w:val="center"/>
              <w:textAlignment w:val="center"/>
              <w:rPr>
                <w:rFonts w:hint="default" w:ascii="仿宋_GB2312" w:hAnsi="仿宋_GB2312" w:eastAsia="仿宋_GB2312"/>
                <w:b w:val="0"/>
                <w:i w:val="0"/>
                <w:color w:val="000000"/>
                <w:sz w:val="28"/>
                <w:u w:val="none"/>
                <w:lang w:eastAsia="zh-CN"/>
              </w:rPr>
            </w:pPr>
            <w:r>
              <w:rPr>
                <w:rFonts w:hint="default" w:ascii="仿宋_GB2312" w:hAnsi="仿宋_GB2312" w:eastAsia="仿宋_GB2312"/>
                <w:b w:val="0"/>
                <w:i w:val="0"/>
                <w:color w:val="000000"/>
                <w:sz w:val="28"/>
                <w:u w:val="none"/>
                <w:lang w:eastAsia="zh-CN"/>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0" w:hRule="atLeast"/>
        </w:trPr>
        <w:tc>
          <w:tcPr>
            <w:tcW w:w="10080" w:type="dxa"/>
            <w:gridSpan w:val="8"/>
            <w:vAlign w:val="bottom"/>
          </w:tcPr>
          <w:p>
            <w:pPr>
              <w:autoSpaceDN w:val="0"/>
              <w:jc w:val="center"/>
              <w:textAlignment w:val="bottom"/>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60" w:hRule="atLeast"/>
        </w:trPr>
        <w:tc>
          <w:tcPr>
            <w:tcW w:w="990" w:type="dxa"/>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填报单位：</w:t>
            </w:r>
          </w:p>
        </w:tc>
        <w:tc>
          <w:tcPr>
            <w:tcW w:w="2220"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石家庄市卫生健康委员会</w:t>
            </w:r>
          </w:p>
        </w:tc>
        <w:tc>
          <w:tcPr>
            <w:tcW w:w="127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44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44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605" w:type="dxa"/>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95" w:hRule="atLeast"/>
        </w:trPr>
        <w:tc>
          <w:tcPr>
            <w:tcW w:w="990" w:type="dxa"/>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基本情况</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项目名称</w:t>
            </w:r>
          </w:p>
        </w:tc>
        <w:tc>
          <w:tcPr>
            <w:tcW w:w="238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计划生育专项补助资金</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实施(主管）单位</w:t>
            </w:r>
          </w:p>
        </w:tc>
        <w:tc>
          <w:tcPr>
            <w:tcW w:w="4155"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石家庄市卫生健康委员会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5" w:hRule="atLeast"/>
        </w:trPr>
        <w:tc>
          <w:tcPr>
            <w:tcW w:w="99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二、预算执行情况</w:t>
            </w: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预算安排情况（调整后）</w:t>
            </w: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资金到位情况</w:t>
            </w:r>
          </w:p>
        </w:tc>
        <w:tc>
          <w:tcPr>
            <w:tcW w:w="255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资金执行情况</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预算数：</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2272</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到位数：</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2272</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执行数：</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2062.1</w:t>
            </w:r>
          </w:p>
        </w:tc>
        <w:tc>
          <w:tcPr>
            <w:tcW w:w="160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50" w:hRule="atLeast"/>
        </w:trPr>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2272</w:t>
            </w: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2272</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2062.1</w:t>
            </w:r>
          </w:p>
        </w:tc>
        <w:tc>
          <w:tcPr>
            <w:tcW w:w="160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50" w:hRule="atLeast"/>
        </w:trPr>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27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60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99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三、目标完成情况</w:t>
            </w:r>
          </w:p>
        </w:tc>
        <w:tc>
          <w:tcPr>
            <w:tcW w:w="3495"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年度预期目标</w:t>
            </w:r>
          </w:p>
        </w:tc>
        <w:tc>
          <w:tcPr>
            <w:tcW w:w="399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具体完成情况</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5" w:hRule="atLeast"/>
        </w:trPr>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3495" w:type="dxa"/>
            <w:gridSpan w:val="3"/>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1、计划生育奖特扶对象资格确认准确。</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2、扶助资金足额发放。</w:t>
            </w:r>
          </w:p>
        </w:tc>
        <w:tc>
          <w:tcPr>
            <w:tcW w:w="3990" w:type="dxa"/>
            <w:gridSpan w:val="3"/>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3月完成扶助对象资格确认、信息录入工作，6月市级奖特扶资金以及独生子女伤残死亡家庭生活补贴、养老补贴足额发放到位。</w:t>
            </w:r>
          </w:p>
        </w:tc>
        <w:tc>
          <w:tcPr>
            <w:tcW w:w="160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50" w:hRule="atLeast"/>
        </w:trPr>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349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399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60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5" w:hRule="atLeast"/>
        </w:trPr>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349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399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160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990" w:type="dxa"/>
            <w:vMerge w:val="restart"/>
            <w:tcBorders>
              <w:top w:val="single" w:color="000000" w:sz="4" w:space="0"/>
              <w:left w:val="single" w:color="000000" w:sz="4" w:space="0"/>
              <w:bottom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四、</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年度绩效指标完成情况</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一级指标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二级指标</w:t>
            </w: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三级指标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预期指标值</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实际完成值</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30"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产出指标（40）</w:t>
            </w:r>
          </w:p>
        </w:tc>
        <w:tc>
          <w:tcPr>
            <w:tcW w:w="111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数量指标</w:t>
            </w: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扶助对象资格确认准确率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vMerge w:val="continue"/>
            <w:tcBorders>
              <w:top w:val="single" w:color="000000" w:sz="4" w:space="0"/>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扶助对象录入信息准确率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vMerge w:val="continue"/>
            <w:tcBorders>
              <w:top w:val="single" w:color="000000" w:sz="4" w:space="0"/>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11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sz w:val="24"/>
              </w:rPr>
            </w:pP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扶助资金发放及时率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5"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vMerge w:val="continue"/>
            <w:tcBorders>
              <w:top w:val="single" w:color="000000" w:sz="4" w:space="0"/>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成本指标</w:t>
            </w: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农村部分计划生育家庭奖励扶助金发放标准</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960元/年</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960元/年</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35"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tcBorders>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独生子女死亡家庭扶助资金发放标准</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450元/年</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450元/年</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90"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vMerge w:val="restart"/>
            <w:tcBorders>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独生子女伤残家庭扶助资金发放标准</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350元/年</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350元/年</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90"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vMerge w:val="continue"/>
            <w:tcBorders>
              <w:left w:val="single" w:color="000000" w:sz="4" w:space="0"/>
              <w:right w:val="single" w:color="000000" w:sz="4" w:space="0"/>
            </w:tcBorders>
            <w:vAlign w:val="center"/>
          </w:tcPr>
          <w:p>
            <w:pPr>
              <w:autoSpaceDN w:val="0"/>
              <w:jc w:val="center"/>
              <w:textAlignment w:val="auto"/>
              <w:rPr>
                <w:rFonts w:hint="default" w:ascii="宋体" w:hAnsi="宋体"/>
                <w:sz w:val="24"/>
              </w:rPr>
            </w:pPr>
          </w:p>
        </w:tc>
        <w:tc>
          <w:tcPr>
            <w:tcW w:w="1110" w:type="dxa"/>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w:t>
            </w: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预算资金全额发放</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效益指标（40）</w:t>
            </w:r>
          </w:p>
        </w:tc>
        <w:tc>
          <w:tcPr>
            <w:tcW w:w="1110" w:type="dxa"/>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社会效益指标</w:t>
            </w:r>
          </w:p>
        </w:tc>
        <w:tc>
          <w:tcPr>
            <w:tcW w:w="271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家庭发展能力</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缓解特扶家庭的经济压力</w:t>
            </w:r>
          </w:p>
        </w:tc>
        <w:tc>
          <w:tcPr>
            <w:tcW w:w="144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缓解了特扶家庭的经济压力</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990" w:type="dxa"/>
            <w:vMerge w:val="continue"/>
            <w:tcBorders>
              <w:top w:val="single" w:color="000000" w:sz="4" w:space="0"/>
              <w:left w:val="single" w:color="000000" w:sz="4" w:space="0"/>
              <w:bottom w:val="single" w:color="000000" w:sz="4" w:space="0"/>
            </w:tcBorders>
            <w:vAlign w:val="center"/>
          </w:tcPr>
          <w:p>
            <w:pPr>
              <w:jc w:val="center"/>
              <w:rPr>
                <w:rFonts w:hint="default" w:ascii="宋体" w:hAnsi="宋体"/>
                <w:sz w:val="24"/>
              </w:rPr>
            </w:pPr>
          </w:p>
        </w:tc>
        <w:tc>
          <w:tcPr>
            <w:tcW w:w="7485" w:type="dxa"/>
            <w:gridSpan w:val="6"/>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（10分）</w:t>
            </w:r>
          </w:p>
        </w:tc>
        <w:tc>
          <w:tcPr>
            <w:tcW w:w="1605"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8475" w:type="dxa"/>
            <w:gridSpan w:val="7"/>
            <w:tcBorders>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总分</w:t>
            </w:r>
          </w:p>
        </w:tc>
        <w:tc>
          <w:tcPr>
            <w:tcW w:w="1605" w:type="dxa"/>
            <w:tcBorders>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val="en-US" w:eastAsia="zh-CN"/>
              </w:rPr>
            </w:pPr>
            <w:r>
              <w:rPr>
                <w:rFonts w:hint="eastAsia" w:ascii="宋体" w:hAnsi="宋体" w:eastAsia="宋体"/>
                <w:b w:val="0"/>
                <w:i w:val="0"/>
                <w:color w:val="000000"/>
                <w:sz w:val="16"/>
                <w:u w:val="none"/>
                <w:lang w:val="en-US" w:eastAsia="zh-CN"/>
              </w:rPr>
              <w:t>97.5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00"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仿宋_GB2312" w:hAnsi="仿宋_GB2312" w:eastAsia="仿宋_GB2312"/>
                <w:b w:val="0"/>
                <w:i w:val="0"/>
                <w:color w:val="000000"/>
                <w:sz w:val="22"/>
                <w:u w:val="none"/>
                <w:lang w:eastAsia="zh-CN"/>
              </w:rPr>
            </w:pPr>
            <w:r>
              <w:rPr>
                <w:rFonts w:hint="default" w:ascii="仿宋_GB2312" w:hAnsi="仿宋_GB2312" w:eastAsia="仿宋_GB2312"/>
                <w:b w:val="0"/>
                <w:i w:val="0"/>
                <w:color w:val="000000"/>
                <w:sz w:val="22"/>
                <w:u w:val="none"/>
                <w:lang w:eastAsia="zh-CN"/>
              </w:rPr>
              <w:t>五、</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存在问题、原因及下一步整改措施</w:t>
            </w:r>
          </w:p>
        </w:tc>
        <w:tc>
          <w:tcPr>
            <w:tcW w:w="9090" w:type="dxa"/>
            <w:gridSpan w:val="7"/>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22"/>
                <w:u w:val="none"/>
                <w:lang w:eastAsia="zh-CN"/>
              </w:rPr>
            </w:pPr>
            <w:r>
              <w:rPr>
                <w:rFonts w:hint="eastAsia" w:ascii="宋体" w:hAnsi="宋体" w:eastAsia="宋体"/>
                <w:b w:val="0"/>
                <w:i w:val="0"/>
                <w:color w:val="000000"/>
                <w:sz w:val="16"/>
                <w:u w:val="none"/>
                <w:lang w:eastAsia="zh-CN"/>
              </w:rPr>
              <w:t>无</w:t>
            </w:r>
          </w:p>
        </w:tc>
      </w:tr>
    </w:tbl>
    <w:p>
      <w:pPr>
        <w:sectPr>
          <w:type w:val="continuous"/>
          <w:pgSz w:w="11906" w:h="16838"/>
          <w:pgMar w:top="1440" w:right="1800" w:bottom="1440" w:left="1800" w:header="851" w:footer="992" w:gutter="0"/>
          <w:pgBorders>
            <w:top w:val="none" w:sz="0" w:space="0"/>
            <w:left w:val="none" w:sz="0" w:space="0"/>
            <w:bottom w:val="none" w:sz="0" w:space="0"/>
            <w:right w:val="none" w:sz="0" w:space="0"/>
          </w:pgBorders>
          <w:pgNumType w:fmt="numberInDash"/>
          <w:cols w:space="720" w:num="1"/>
          <w:docGrid w:type="lines" w:linePitch="312" w:charSpace="0"/>
        </w:sectPr>
      </w:pPr>
      <w:r>
        <w:rPr>
          <w:rFonts w:hint="eastAsia"/>
          <w:lang w:val="en-US" w:eastAsia="zh-CN"/>
        </w:rPr>
        <w:t>:</w:t>
      </w:r>
    </w:p>
    <w:tbl>
      <w:tblPr>
        <w:tblStyle w:val="6"/>
        <w:tblW w:w="85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1020"/>
        <w:gridCol w:w="960"/>
        <w:gridCol w:w="960"/>
        <w:gridCol w:w="228"/>
        <w:gridCol w:w="867"/>
        <w:gridCol w:w="108"/>
        <w:gridCol w:w="987"/>
        <w:gridCol w:w="1110"/>
        <w:gridCol w:w="1110"/>
        <w:gridCol w:w="130"/>
        <w:gridCol w:w="11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0" w:hRule="atLeast"/>
        </w:trPr>
        <w:tc>
          <w:tcPr>
            <w:tcW w:w="1020" w:type="dxa"/>
            <w:vAlign w:val="bottom"/>
          </w:tcPr>
          <w:p>
            <w:pPr>
              <w:autoSpaceDN w:val="0"/>
              <w:jc w:val="left"/>
              <w:textAlignment w:val="bottom"/>
              <w:rPr>
                <w:rFonts w:hint="default" w:ascii="仿宋_GB2312" w:hAnsi="仿宋_GB2312" w:eastAsia="仿宋_GB2312"/>
                <w:b w:val="0"/>
                <w:i w:val="0"/>
                <w:color w:val="000000"/>
                <w:sz w:val="22"/>
                <w:szCs w:val="22"/>
                <w:u w:val="none"/>
                <w:lang w:eastAsia="zh-CN"/>
              </w:rPr>
            </w:pPr>
          </w:p>
          <w:p>
            <w:pPr>
              <w:autoSpaceDN w:val="0"/>
              <w:jc w:val="left"/>
              <w:textAlignment w:val="bottom"/>
              <w:rPr>
                <w:rFonts w:hint="default" w:ascii="仿宋_GB2312" w:hAnsi="仿宋_GB2312" w:eastAsia="仿宋_GB2312"/>
                <w:b w:val="0"/>
                <w:i w:val="0"/>
                <w:color w:val="000000"/>
                <w:sz w:val="20"/>
                <w:u w:val="none"/>
                <w:lang w:eastAsia="zh-CN"/>
              </w:rPr>
            </w:pPr>
            <w:r>
              <w:rPr>
                <w:rFonts w:hint="default" w:ascii="仿宋_GB2312" w:hAnsi="仿宋_GB2312" w:eastAsia="仿宋_GB2312"/>
                <w:b w:val="0"/>
                <w:i w:val="0"/>
                <w:color w:val="000000"/>
                <w:sz w:val="22"/>
                <w:szCs w:val="22"/>
                <w:u w:val="none"/>
                <w:lang w:eastAsia="zh-CN"/>
              </w:rPr>
              <w:t>附</w:t>
            </w:r>
            <w:r>
              <w:rPr>
                <w:rFonts w:hint="eastAsia" w:ascii="仿宋_GB2312" w:hAnsi="仿宋_GB2312" w:eastAsia="仿宋_GB2312"/>
                <w:b w:val="0"/>
                <w:i w:val="0"/>
                <w:color w:val="000000"/>
                <w:sz w:val="22"/>
                <w:szCs w:val="22"/>
                <w:u w:val="none"/>
                <w:lang w:eastAsia="zh-CN"/>
              </w:rPr>
              <w:t>表</w:t>
            </w:r>
            <w:r>
              <w:rPr>
                <w:rFonts w:hint="eastAsia" w:ascii="仿宋_GB2312" w:hAnsi="仿宋_GB2312" w:eastAsia="仿宋_GB2312"/>
                <w:b w:val="0"/>
                <w:i w:val="0"/>
                <w:color w:val="000000"/>
                <w:sz w:val="22"/>
                <w:szCs w:val="22"/>
                <w:u w:val="none"/>
                <w:lang w:val="en-US" w:eastAsia="zh-CN"/>
              </w:rPr>
              <w:t>4</w:t>
            </w:r>
            <w:r>
              <w:rPr>
                <w:rFonts w:hint="default" w:ascii="仿宋_GB2312" w:hAnsi="仿宋_GB2312" w:eastAsia="仿宋_GB2312"/>
                <w:b w:val="0"/>
                <w:i w:val="0"/>
                <w:color w:val="000000"/>
                <w:sz w:val="22"/>
                <w:szCs w:val="22"/>
                <w:u w:val="none"/>
                <w:lang w:eastAsia="zh-CN"/>
              </w:rPr>
              <w:t>：</w:t>
            </w:r>
          </w:p>
        </w:tc>
        <w:tc>
          <w:tcPr>
            <w:tcW w:w="96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96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095" w:type="dxa"/>
            <w:gridSpan w:val="2"/>
            <w:vAlign w:val="center"/>
          </w:tcPr>
          <w:p>
            <w:pPr>
              <w:autoSpaceDN w:val="0"/>
              <w:jc w:val="left"/>
              <w:textAlignment w:val="center"/>
              <w:rPr>
                <w:rFonts w:hint="default" w:ascii="宋体" w:hAnsi="宋体" w:eastAsia="宋体"/>
                <w:b w:val="0"/>
                <w:i w:val="0"/>
                <w:color w:val="000000"/>
                <w:sz w:val="22"/>
                <w:u w:val="none"/>
                <w:lang w:eastAsia="zh-CN"/>
              </w:rPr>
            </w:pPr>
          </w:p>
        </w:tc>
        <w:tc>
          <w:tcPr>
            <w:tcW w:w="1095" w:type="dxa"/>
            <w:gridSpan w:val="2"/>
            <w:vAlign w:val="center"/>
          </w:tcPr>
          <w:p>
            <w:pPr>
              <w:autoSpaceDN w:val="0"/>
              <w:jc w:val="left"/>
              <w:textAlignment w:val="center"/>
              <w:rPr>
                <w:rFonts w:hint="default" w:ascii="宋体" w:hAnsi="宋体" w:eastAsia="宋体"/>
                <w:b w:val="0"/>
                <w:i w:val="0"/>
                <w:color w:val="000000"/>
                <w:sz w:val="22"/>
                <w:u w:val="none"/>
                <w:lang w:eastAsia="zh-CN"/>
              </w:rPr>
            </w:pPr>
          </w:p>
        </w:tc>
        <w:tc>
          <w:tcPr>
            <w:tcW w:w="111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11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230" w:type="dxa"/>
            <w:gridSpan w:val="2"/>
            <w:vAlign w:val="center"/>
          </w:tcPr>
          <w:p>
            <w:pPr>
              <w:autoSpaceDN w:val="0"/>
              <w:jc w:val="left"/>
              <w:textAlignment w:val="center"/>
              <w:rPr>
                <w:rFonts w:hint="default" w:ascii="宋体" w:hAnsi="宋体" w:eastAsia="宋体"/>
                <w:b w:val="0"/>
                <w:i w:val="0"/>
                <w:color w:val="000000"/>
                <w:sz w:val="22"/>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05" w:hRule="atLeast"/>
        </w:trPr>
        <w:tc>
          <w:tcPr>
            <w:tcW w:w="8580" w:type="dxa"/>
            <w:gridSpan w:val="11"/>
            <w:vAlign w:val="center"/>
          </w:tcPr>
          <w:p>
            <w:pPr>
              <w:autoSpaceDN w:val="0"/>
              <w:jc w:val="center"/>
              <w:textAlignment w:val="center"/>
              <w:rPr>
                <w:rFonts w:hint="default" w:ascii="仿宋_GB2312" w:hAnsi="仿宋_GB2312" w:eastAsia="仿宋_GB2312"/>
                <w:b w:val="0"/>
                <w:i w:val="0"/>
                <w:color w:val="000000"/>
                <w:sz w:val="28"/>
                <w:u w:val="none"/>
                <w:lang w:eastAsia="zh-CN"/>
              </w:rPr>
            </w:pPr>
            <w:r>
              <w:rPr>
                <w:rFonts w:hint="default" w:ascii="仿宋_GB2312" w:hAnsi="仿宋_GB2312" w:eastAsia="仿宋_GB2312"/>
                <w:b w:val="0"/>
                <w:i w:val="0"/>
                <w:color w:val="000000"/>
                <w:sz w:val="28"/>
                <w:u w:val="none"/>
                <w:lang w:eastAsia="zh-CN"/>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90" w:hRule="atLeast"/>
        </w:trPr>
        <w:tc>
          <w:tcPr>
            <w:tcW w:w="8580" w:type="dxa"/>
            <w:gridSpan w:val="11"/>
            <w:vAlign w:val="bottom"/>
          </w:tcPr>
          <w:p>
            <w:pPr>
              <w:autoSpaceDN w:val="0"/>
              <w:jc w:val="center"/>
              <w:textAlignment w:val="bottom"/>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60" w:hRule="atLeast"/>
        </w:trPr>
        <w:tc>
          <w:tcPr>
            <w:tcW w:w="1020" w:type="dxa"/>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填报单位：</w:t>
            </w:r>
          </w:p>
        </w:tc>
        <w:tc>
          <w:tcPr>
            <w:tcW w:w="3123" w:type="dxa"/>
            <w:gridSpan w:val="5"/>
            <w:vAlign w:val="center"/>
          </w:tcPr>
          <w:p>
            <w:pPr>
              <w:autoSpaceDN w:val="0"/>
              <w:jc w:val="left"/>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石家庄市卫生健康委员会</w:t>
            </w:r>
          </w:p>
        </w:tc>
        <w:tc>
          <w:tcPr>
            <w:tcW w:w="987"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230"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95" w:hRule="atLeast"/>
        </w:trPr>
        <w:tc>
          <w:tcPr>
            <w:tcW w:w="1020" w:type="dxa"/>
            <w:tcBorders>
              <w:top w:val="single" w:color="000000" w:sz="4" w:space="0"/>
              <w:left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基本情况</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项目名称</w:t>
            </w:r>
          </w:p>
        </w:tc>
        <w:tc>
          <w:tcPr>
            <w:tcW w:w="2163"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计生特殊困难家庭“医养扶”专项经费</w:t>
            </w:r>
          </w:p>
        </w:tc>
        <w:tc>
          <w:tcPr>
            <w:tcW w:w="987"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实施(主管）单位</w:t>
            </w:r>
          </w:p>
        </w:tc>
        <w:tc>
          <w:tcPr>
            <w:tcW w:w="3450"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石家庄市卫生健康委员会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二、预算执行情况</w:t>
            </w:r>
          </w:p>
        </w:tc>
        <w:tc>
          <w:tcPr>
            <w:tcW w:w="192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预算安排情况（调整后）</w:t>
            </w:r>
          </w:p>
        </w:tc>
        <w:tc>
          <w:tcPr>
            <w:tcW w:w="2190"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资金到位情况</w:t>
            </w:r>
          </w:p>
        </w:tc>
        <w:tc>
          <w:tcPr>
            <w:tcW w:w="235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资金执行情况</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预算数：</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203"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到位数：</w:t>
            </w:r>
          </w:p>
        </w:tc>
        <w:tc>
          <w:tcPr>
            <w:tcW w:w="987"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执行数：</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94.52</w:t>
            </w:r>
          </w:p>
        </w:tc>
        <w:tc>
          <w:tcPr>
            <w:tcW w:w="110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96.45%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50" w:hRule="atLeast"/>
        </w:trPr>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righ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203"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righ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987"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righ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94.52</w:t>
            </w:r>
          </w:p>
        </w:tc>
        <w:tc>
          <w:tcPr>
            <w:tcW w:w="110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righ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Calibri" w:hAnsi="宋体"/>
                <w:b w:val="0"/>
                <w:i w:val="0"/>
                <w:color w:val="000000"/>
                <w:sz w:val="21"/>
                <w:u w:val="none"/>
              </w:rPr>
            </w:pPr>
          </w:p>
        </w:tc>
        <w:tc>
          <w:tcPr>
            <w:tcW w:w="1203"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righ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987" w:type="dxa"/>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righ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p>
        </w:tc>
        <w:tc>
          <w:tcPr>
            <w:tcW w:w="110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0" w:hRule="atLeast"/>
        </w:trPr>
        <w:tc>
          <w:tcPr>
            <w:tcW w:w="102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三、目标完成情况</w:t>
            </w:r>
          </w:p>
        </w:tc>
        <w:tc>
          <w:tcPr>
            <w:tcW w:w="3123" w:type="dxa"/>
            <w:gridSpan w:val="5"/>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年度预期目标</w:t>
            </w:r>
          </w:p>
        </w:tc>
        <w:tc>
          <w:tcPr>
            <w:tcW w:w="3337" w:type="dxa"/>
            <w:gridSpan w:val="4"/>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具体完成情况</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0" w:hRule="atLeast"/>
        </w:trPr>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3123" w:type="dxa"/>
            <w:gridSpan w:val="5"/>
            <w:vMerge w:val="restart"/>
            <w:tcBorders>
              <w:top w:val="single" w:color="000000" w:sz="4" w:space="0"/>
              <w:left w:val="single" w:color="000000" w:sz="4" w:space="0"/>
              <w:bottom w:val="single" w:color="000000" w:sz="4" w:space="0"/>
              <w:right w:val="single" w:color="000000" w:sz="4" w:space="0"/>
            </w:tcBorders>
            <w:vAlign w:val="top"/>
          </w:tcPr>
          <w:p>
            <w:pPr>
              <w:autoSpaceDN w:val="0"/>
              <w:jc w:val="left"/>
              <w:textAlignment w:val="top"/>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1、对计生特殊家庭父母投保住院护工补贴保险；2、对失独家庭开展入户慰问的暖心行动，对因大病等原因造成家庭经济困难的给予紧急救助，给予他们精神慰藉和经济帮扶。</w:t>
            </w:r>
          </w:p>
        </w:tc>
        <w:tc>
          <w:tcPr>
            <w:tcW w:w="3337" w:type="dxa"/>
            <w:gridSpan w:val="4"/>
            <w:vMerge w:val="restart"/>
            <w:tcBorders>
              <w:top w:val="single" w:color="000000" w:sz="4" w:space="0"/>
              <w:left w:val="single" w:color="000000" w:sz="4" w:space="0"/>
              <w:bottom w:val="single" w:color="000000" w:sz="4" w:space="0"/>
              <w:right w:val="single" w:color="000000" w:sz="4" w:space="0"/>
            </w:tcBorders>
            <w:vAlign w:val="top"/>
          </w:tcPr>
          <w:p>
            <w:pPr>
              <w:autoSpaceDN w:val="0"/>
              <w:jc w:val="left"/>
              <w:textAlignment w:val="top"/>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1、为全市3992名计生特殊困难家庭父母投保住院护工补贴保险；2、春节前对全市1900户失独家庭开展暖心行动，进行入户慰问；对5户患大病的失独家庭给予各0.2万元的资金救助。</w:t>
            </w:r>
          </w:p>
        </w:tc>
        <w:tc>
          <w:tcPr>
            <w:tcW w:w="110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96.45%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textAlignment w:val="auto"/>
              <w:rPr>
                <w:rFonts w:hint="default" w:ascii="宋体" w:hAnsi="宋体"/>
                <w:sz w:val="24"/>
              </w:rPr>
            </w:pPr>
          </w:p>
        </w:tc>
        <w:tc>
          <w:tcPr>
            <w:tcW w:w="3123" w:type="dxa"/>
            <w:gridSpan w:val="5"/>
            <w:vMerge w:val="continue"/>
            <w:tcBorders>
              <w:top w:val="single" w:color="000000" w:sz="4" w:space="0"/>
              <w:left w:val="single" w:color="000000" w:sz="4" w:space="0"/>
              <w:bottom w:val="single" w:color="000000" w:sz="4" w:space="0"/>
              <w:right w:val="single" w:color="000000" w:sz="4" w:space="0"/>
            </w:tcBorders>
            <w:vAlign w:val="top"/>
          </w:tcPr>
          <w:p>
            <w:pPr>
              <w:rPr>
                <w:rFonts w:hint="default" w:ascii="宋体" w:hAnsi="宋体"/>
                <w:sz w:val="24"/>
              </w:rPr>
            </w:pPr>
          </w:p>
        </w:tc>
        <w:tc>
          <w:tcPr>
            <w:tcW w:w="3337" w:type="dxa"/>
            <w:gridSpan w:val="4"/>
            <w:vMerge w:val="continue"/>
            <w:tcBorders>
              <w:top w:val="single" w:color="000000" w:sz="4" w:space="0"/>
              <w:left w:val="single" w:color="000000" w:sz="4" w:space="0"/>
              <w:bottom w:val="single" w:color="000000" w:sz="4" w:space="0"/>
              <w:right w:val="single" w:color="000000" w:sz="4" w:space="0"/>
            </w:tcBorders>
            <w:vAlign w:val="top"/>
          </w:tcPr>
          <w:p>
            <w:pPr>
              <w:rPr>
                <w:rFonts w:hint="default" w:ascii="宋体" w:hAnsi="宋体"/>
                <w:sz w:val="24"/>
              </w:rPr>
            </w:pPr>
          </w:p>
        </w:tc>
        <w:tc>
          <w:tcPr>
            <w:tcW w:w="110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40" w:hRule="atLeast"/>
        </w:trPr>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textAlignment w:val="auto"/>
              <w:rPr>
                <w:rFonts w:hint="default" w:ascii="宋体" w:hAnsi="宋体"/>
                <w:sz w:val="24"/>
              </w:rPr>
            </w:pPr>
          </w:p>
        </w:tc>
        <w:tc>
          <w:tcPr>
            <w:tcW w:w="3123" w:type="dxa"/>
            <w:gridSpan w:val="5"/>
            <w:vMerge w:val="continue"/>
            <w:tcBorders>
              <w:top w:val="single" w:color="000000" w:sz="4" w:space="0"/>
              <w:left w:val="single" w:color="000000" w:sz="4" w:space="0"/>
              <w:bottom w:val="single" w:color="000000" w:sz="4" w:space="0"/>
              <w:right w:val="single" w:color="000000" w:sz="4" w:space="0"/>
            </w:tcBorders>
            <w:vAlign w:val="top"/>
          </w:tcPr>
          <w:p>
            <w:pPr>
              <w:rPr>
                <w:rFonts w:hint="default" w:ascii="宋体" w:hAnsi="宋体"/>
                <w:sz w:val="24"/>
              </w:rPr>
            </w:pPr>
          </w:p>
        </w:tc>
        <w:tc>
          <w:tcPr>
            <w:tcW w:w="3337" w:type="dxa"/>
            <w:gridSpan w:val="4"/>
            <w:vMerge w:val="continue"/>
            <w:tcBorders>
              <w:top w:val="single" w:color="000000" w:sz="4" w:space="0"/>
              <w:left w:val="single" w:color="000000" w:sz="4" w:space="0"/>
              <w:bottom w:val="single" w:color="000000" w:sz="4" w:space="0"/>
              <w:right w:val="single" w:color="000000" w:sz="4" w:space="0"/>
            </w:tcBorders>
            <w:vAlign w:val="top"/>
          </w:tcPr>
          <w:p>
            <w:pPr>
              <w:rPr>
                <w:rFonts w:hint="default" w:ascii="宋体" w:hAnsi="宋体"/>
                <w:sz w:val="24"/>
              </w:rPr>
            </w:pPr>
          </w:p>
        </w:tc>
        <w:tc>
          <w:tcPr>
            <w:tcW w:w="1100"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restart"/>
            <w:tcBorders>
              <w:top w:val="single" w:color="000000" w:sz="4" w:space="0"/>
              <w:left w:val="single" w:color="000000" w:sz="4" w:space="0"/>
              <w:bottom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四、</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年度绩效指标完成情况</w:t>
            </w: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一级指标</w:t>
            </w:r>
          </w:p>
        </w:tc>
        <w:tc>
          <w:tcPr>
            <w:tcW w:w="1188"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二级指标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三级指标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预期指标值</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实际完成值</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630"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restart"/>
            <w:tcBorders>
              <w:top w:val="single" w:color="000000" w:sz="4" w:space="0"/>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产出指标（40）</w:t>
            </w:r>
          </w:p>
        </w:tc>
        <w:tc>
          <w:tcPr>
            <w:tcW w:w="1188" w:type="dxa"/>
            <w:gridSpan w:val="2"/>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数量指标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护工补贴保险知晓率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top w:val="single" w:color="000000" w:sz="4" w:space="0"/>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投保人数</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top w:val="single" w:color="000000" w:sz="4" w:space="0"/>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vMerge w:val="continue"/>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sz w:val="24"/>
              </w:rPr>
            </w:pP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计生特殊家庭给予紧急救助人数</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10-15户</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5</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top w:val="single" w:color="000000" w:sz="4" w:space="0"/>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vMerge w:val="continue"/>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sz w:val="24"/>
              </w:rPr>
            </w:pP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春节前慰问计生特殊家庭户数</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24"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预算执行率指标</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（10分）</w:t>
            </w:r>
          </w:p>
        </w:tc>
        <w:tc>
          <w:tcPr>
            <w:tcW w:w="1188" w:type="dxa"/>
            <w:gridSpan w:val="2"/>
            <w:tcBorders>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96.45%</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restart"/>
            <w:tcBorders>
              <w:left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效益指标（40）</w:t>
            </w:r>
          </w:p>
        </w:tc>
        <w:tc>
          <w:tcPr>
            <w:tcW w:w="1188" w:type="dxa"/>
            <w:gridSpan w:val="2"/>
            <w:vMerge w:val="restart"/>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经济效益指标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护工补贴保险赔率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104.20%</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vMerge w:val="continue"/>
            <w:tcBorders>
              <w:top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sz w:val="24"/>
              </w:rPr>
            </w:pP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计生特殊家庭父母投保率</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≧98%</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社会效益指标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家庭发展能力</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90%</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10"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生态效益指标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 １</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44"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vMerge w:val="continue"/>
            <w:tcBorders>
              <w:left w:val="single" w:color="000000" w:sz="4" w:space="0"/>
              <w:right w:val="single" w:color="000000" w:sz="4" w:space="0"/>
            </w:tcBorders>
            <w:vAlign w:val="center"/>
          </w:tcPr>
          <w:p>
            <w:pPr>
              <w:autoSpaceDN w:val="0"/>
              <w:textAlignment w:val="auto"/>
              <w:rPr>
                <w:rFonts w:hint="default" w:ascii="宋体" w:hAnsi="宋体"/>
                <w:sz w:val="24"/>
              </w:rPr>
            </w:pPr>
          </w:p>
        </w:tc>
        <w:tc>
          <w:tcPr>
            <w:tcW w:w="1188"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可持续影响指标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指标</w:t>
            </w:r>
            <w:r>
              <w:rPr>
                <w:rFonts w:hint="default" w:ascii="Calibri" w:hAnsi="宋体"/>
                <w:b w:val="0"/>
                <w:i w:val="0"/>
                <w:color w:val="000000"/>
                <w:sz w:val="16"/>
                <w:u w:val="none"/>
              </w:rPr>
              <w:t xml:space="preserve"> </w:t>
            </w:r>
            <w:r>
              <w:rPr>
                <w:rFonts w:hint="default" w:ascii="Arial Unicode MS" w:hAnsi="宋体"/>
                <w:b w:val="0"/>
                <w:i w:val="0"/>
                <w:color w:val="000000"/>
                <w:sz w:val="16"/>
                <w:u w:val="none"/>
              </w:rPr>
              <w:t>１</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96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（10分）</w:t>
            </w:r>
          </w:p>
        </w:tc>
        <w:tc>
          <w:tcPr>
            <w:tcW w:w="1188" w:type="dxa"/>
            <w:gridSpan w:val="2"/>
            <w:tcBorders>
              <w:top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p>
        </w:tc>
        <w:tc>
          <w:tcPr>
            <w:tcW w:w="1962"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群众满意度</w:t>
            </w:r>
          </w:p>
        </w:tc>
        <w:tc>
          <w:tcPr>
            <w:tcW w:w="111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w:t>
            </w:r>
          </w:p>
        </w:tc>
        <w:tc>
          <w:tcPr>
            <w:tcW w:w="124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95%</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20"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6460" w:type="dxa"/>
            <w:gridSpan w:val="9"/>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总分</w:t>
            </w:r>
          </w:p>
        </w:tc>
        <w:tc>
          <w:tcPr>
            <w:tcW w:w="110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Calibri" w:hAnsi="宋体"/>
                <w:b w:val="0"/>
                <w:i w:val="0"/>
                <w:color w:val="000000"/>
                <w:sz w:val="21"/>
                <w:u w:val="none"/>
              </w:rPr>
            </w:pPr>
            <w:r>
              <w:rPr>
                <w:rFonts w:hint="default" w:ascii="Calibri" w:hAnsi="宋体"/>
                <w:b w:val="0"/>
                <w:i w:val="0"/>
                <w:color w:val="000000"/>
                <w:sz w:val="21"/>
                <w:u w:val="none"/>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55" w:hRule="atLeast"/>
        </w:trPr>
        <w:tc>
          <w:tcPr>
            <w:tcW w:w="1020" w:type="dxa"/>
            <w:tcBorders>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五、</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存在问题、原因及下一步整改措施</w:t>
            </w:r>
          </w:p>
        </w:tc>
        <w:tc>
          <w:tcPr>
            <w:tcW w:w="7560" w:type="dxa"/>
            <w:gridSpan w:val="10"/>
            <w:tcBorders>
              <w:top w:val="single" w:color="000000" w:sz="4" w:space="0"/>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紧急救助资金未使用完，今后督导基层做好计生特殊家庭的随访力度，掌握他们的生活状况，发现有因大病住院的给予资金救助申请，市级审核后给予救助。</w:t>
            </w:r>
          </w:p>
        </w:tc>
      </w:tr>
    </w:tbl>
    <w:p>
      <w:pPr>
        <w:rPr>
          <w:rFonts w:hint="eastAsia"/>
          <w:lang w:val="en-US" w:eastAsia="zh-CN"/>
        </w:rPr>
      </w:pPr>
    </w:p>
    <w:tbl>
      <w:tblPr>
        <w:tblStyle w:val="6"/>
        <w:tblpPr w:leftFromText="180" w:rightFromText="180" w:vertAnchor="text" w:horzAnchor="page" w:tblpX="1127" w:tblpY="-19"/>
        <w:tblOverlap w:val="never"/>
        <w:tblW w:w="102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5" w:type="dxa"/>
          <w:bottom w:w="0" w:type="dxa"/>
          <w:right w:w="15" w:type="dxa"/>
        </w:tblCellMar>
      </w:tblPr>
      <w:tblGrid>
        <w:gridCol w:w="1061"/>
        <w:gridCol w:w="904"/>
        <w:gridCol w:w="171"/>
        <w:gridCol w:w="939"/>
        <w:gridCol w:w="1185"/>
        <w:gridCol w:w="314"/>
        <w:gridCol w:w="871"/>
        <w:gridCol w:w="1890"/>
        <w:gridCol w:w="1890"/>
        <w:gridCol w:w="9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10" w:hRule="atLeast"/>
        </w:trPr>
        <w:tc>
          <w:tcPr>
            <w:tcW w:w="3075" w:type="dxa"/>
            <w:gridSpan w:val="4"/>
            <w:vAlign w:val="bottom"/>
          </w:tcPr>
          <w:p>
            <w:pPr>
              <w:autoSpaceDN w:val="0"/>
              <w:jc w:val="left"/>
              <w:textAlignment w:val="center"/>
              <w:rPr>
                <w:rFonts w:hint="default" w:ascii="宋体" w:hAnsi="宋体" w:eastAsia="宋体"/>
                <w:b w:val="0"/>
                <w:i w:val="0"/>
                <w:color w:val="000000"/>
                <w:sz w:val="22"/>
                <w:szCs w:val="22"/>
                <w:u w:val="none"/>
                <w:lang w:eastAsia="zh-CN"/>
              </w:rPr>
            </w:pPr>
            <w:r>
              <w:rPr>
                <w:rFonts w:hint="eastAsia" w:ascii="仿宋_GB2312" w:hAnsi="仿宋_GB2312" w:eastAsia="仿宋_GB2312"/>
                <w:b w:val="0"/>
                <w:i w:val="0"/>
                <w:color w:val="000000"/>
                <w:sz w:val="22"/>
                <w:szCs w:val="22"/>
                <w:u w:val="none"/>
                <w:lang w:eastAsia="zh-CN"/>
              </w:rPr>
              <w:t>附表</w:t>
            </w:r>
            <w:r>
              <w:rPr>
                <w:rFonts w:hint="eastAsia" w:ascii="仿宋_GB2312" w:hAnsi="仿宋_GB2312" w:eastAsia="仿宋_GB2312"/>
                <w:b w:val="0"/>
                <w:i w:val="0"/>
                <w:color w:val="000000"/>
                <w:sz w:val="22"/>
                <w:szCs w:val="22"/>
                <w:u w:val="none"/>
                <w:lang w:val="en-US" w:eastAsia="zh-CN"/>
              </w:rPr>
              <w:t>5：</w:t>
            </w:r>
          </w:p>
        </w:tc>
        <w:tc>
          <w:tcPr>
            <w:tcW w:w="1185"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185" w:type="dxa"/>
            <w:gridSpan w:val="2"/>
            <w:vAlign w:val="center"/>
          </w:tcPr>
          <w:p>
            <w:pPr>
              <w:autoSpaceDN w:val="0"/>
              <w:jc w:val="left"/>
              <w:textAlignment w:val="center"/>
              <w:rPr>
                <w:rFonts w:hint="default" w:ascii="宋体" w:hAnsi="宋体" w:eastAsia="宋体"/>
                <w:b w:val="0"/>
                <w:i w:val="0"/>
                <w:color w:val="000000"/>
                <w:sz w:val="22"/>
                <w:u w:val="none"/>
                <w:lang w:eastAsia="zh-CN"/>
              </w:rPr>
            </w:pPr>
          </w:p>
        </w:tc>
        <w:tc>
          <w:tcPr>
            <w:tcW w:w="189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1890" w:type="dxa"/>
            <w:vAlign w:val="center"/>
          </w:tcPr>
          <w:p>
            <w:pPr>
              <w:autoSpaceDN w:val="0"/>
              <w:jc w:val="left"/>
              <w:textAlignment w:val="center"/>
              <w:rPr>
                <w:rFonts w:hint="default" w:ascii="宋体" w:hAnsi="宋体" w:eastAsia="宋体"/>
                <w:b w:val="0"/>
                <w:i w:val="0"/>
                <w:color w:val="000000"/>
                <w:sz w:val="22"/>
                <w:u w:val="none"/>
                <w:lang w:eastAsia="zh-CN"/>
              </w:rPr>
            </w:pPr>
          </w:p>
        </w:tc>
        <w:tc>
          <w:tcPr>
            <w:tcW w:w="990" w:type="dxa"/>
            <w:vAlign w:val="center"/>
          </w:tcPr>
          <w:p>
            <w:pPr>
              <w:autoSpaceDN w:val="0"/>
              <w:jc w:val="left"/>
              <w:textAlignment w:val="center"/>
              <w:rPr>
                <w:rFonts w:hint="default" w:ascii="宋体" w:hAnsi="宋体" w:eastAsia="宋体"/>
                <w:b w:val="0"/>
                <w:i w:val="0"/>
                <w:color w:val="000000"/>
                <w:sz w:val="22"/>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10" w:hRule="atLeast"/>
        </w:trPr>
        <w:tc>
          <w:tcPr>
            <w:tcW w:w="10215" w:type="dxa"/>
            <w:gridSpan w:val="10"/>
            <w:vAlign w:val="center"/>
          </w:tcPr>
          <w:p>
            <w:pPr>
              <w:autoSpaceDN w:val="0"/>
              <w:jc w:val="center"/>
              <w:textAlignment w:val="center"/>
              <w:rPr>
                <w:rFonts w:hint="default" w:ascii="方正小标宋_GBK" w:hAnsi="宋体"/>
                <w:b w:val="0"/>
                <w:i w:val="0"/>
                <w:color w:val="000000"/>
                <w:sz w:val="40"/>
                <w:u w:val="none"/>
              </w:rPr>
            </w:pPr>
            <w:r>
              <w:rPr>
                <w:rFonts w:hint="default" w:ascii="仿宋_GB2312" w:hAnsi="仿宋_GB2312" w:eastAsia="仿宋_GB2312"/>
                <w:b w:val="0"/>
                <w:i w:val="0"/>
                <w:color w:val="000000"/>
                <w:sz w:val="28"/>
                <w:u w:val="none"/>
                <w:lang w:eastAsia="zh-CN"/>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00" w:hRule="atLeast"/>
        </w:trPr>
        <w:tc>
          <w:tcPr>
            <w:tcW w:w="10215" w:type="dxa"/>
            <w:gridSpan w:val="10"/>
            <w:vAlign w:val="bottom"/>
          </w:tcPr>
          <w:p>
            <w:pPr>
              <w:autoSpaceDN w:val="0"/>
              <w:jc w:val="center"/>
              <w:textAlignment w:val="bottom"/>
              <w:rPr>
                <w:rFonts w:hint="default" w:ascii="宋体" w:hAnsi="宋体" w:eastAsia="宋体"/>
                <w:b w:val="0"/>
                <w:i w:val="0"/>
                <w:color w:val="000000"/>
                <w:sz w:val="20"/>
                <w:u w:val="none"/>
                <w:lang w:eastAsia="zh-CN"/>
              </w:rPr>
            </w:pPr>
            <w:r>
              <w:rPr>
                <w:rFonts w:hint="default" w:ascii="宋体" w:hAnsi="宋体" w:eastAsia="宋体"/>
                <w:b w:val="0"/>
                <w:i w:val="0"/>
                <w:color w:val="000000"/>
                <w:sz w:val="20"/>
                <w:u w:val="none"/>
                <w:lang w:eastAsia="zh-CN"/>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60" w:hRule="atLeast"/>
        </w:trPr>
        <w:tc>
          <w:tcPr>
            <w:tcW w:w="4574" w:type="dxa"/>
            <w:gridSpan w:val="6"/>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填报单位：</w:t>
            </w:r>
            <w:r>
              <w:rPr>
                <w:rFonts w:hint="eastAsia" w:ascii="宋体" w:hAnsi="宋体"/>
                <w:b w:val="0"/>
                <w:i w:val="0"/>
                <w:color w:val="000000"/>
                <w:sz w:val="16"/>
                <w:u w:val="none"/>
                <w:lang w:eastAsia="zh-CN"/>
              </w:rPr>
              <w:t>石家庄市卫生健康委员会</w:t>
            </w:r>
          </w:p>
        </w:tc>
        <w:tc>
          <w:tcPr>
            <w:tcW w:w="871"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89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2880"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24" w:hRule="atLeast"/>
        </w:trPr>
        <w:tc>
          <w:tcPr>
            <w:tcW w:w="1061" w:type="dxa"/>
            <w:tcBorders>
              <w:top w:val="single" w:color="000000" w:sz="4" w:space="0"/>
              <w:left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基本情况</w:t>
            </w: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项目名称</w:t>
            </w:r>
          </w:p>
        </w:tc>
        <w:tc>
          <w:tcPr>
            <w:tcW w:w="2438"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爱国卫生运动及卫生城创建工作经费</w:t>
            </w:r>
          </w:p>
        </w:tc>
        <w:tc>
          <w:tcPr>
            <w:tcW w:w="871"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实施(主管）单位</w:t>
            </w:r>
          </w:p>
        </w:tc>
        <w:tc>
          <w:tcPr>
            <w:tcW w:w="477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eastAsia" w:ascii="宋体" w:hAnsi="宋体" w:eastAsia="宋体"/>
                <w:b w:val="0"/>
                <w:i w:val="0"/>
                <w:color w:val="000000"/>
                <w:sz w:val="16"/>
                <w:u w:val="none"/>
                <w:lang w:eastAsia="zh-CN"/>
              </w:rPr>
              <w:t>石家庄市卫生健康委员会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61"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二、预算执行情况</w:t>
            </w:r>
          </w:p>
        </w:tc>
        <w:tc>
          <w:tcPr>
            <w:tcW w:w="2014"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预算安排情况（调整后）</w:t>
            </w:r>
          </w:p>
        </w:tc>
        <w:tc>
          <w:tcPr>
            <w:tcW w:w="2370" w:type="dxa"/>
            <w:gridSpan w:val="3"/>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资金到位情况</w:t>
            </w:r>
          </w:p>
        </w:tc>
        <w:tc>
          <w:tcPr>
            <w:tcW w:w="3780"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资金执行情况</w:t>
            </w:r>
          </w:p>
        </w:tc>
        <w:tc>
          <w:tcPr>
            <w:tcW w:w="9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14"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预算数：</w:t>
            </w:r>
          </w:p>
        </w:tc>
        <w:tc>
          <w:tcPr>
            <w:tcW w:w="939"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1186</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到位数：</w:t>
            </w:r>
          </w:p>
        </w:tc>
        <w:tc>
          <w:tcPr>
            <w:tcW w:w="871"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1186</w:t>
            </w:r>
          </w:p>
        </w:tc>
        <w:tc>
          <w:tcPr>
            <w:tcW w:w="18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执行数：</w:t>
            </w:r>
          </w:p>
        </w:tc>
        <w:tc>
          <w:tcPr>
            <w:tcW w:w="18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1110</w:t>
            </w:r>
          </w:p>
        </w:tc>
        <w:tc>
          <w:tcPr>
            <w:tcW w:w="990" w:type="dxa"/>
            <w:vMerge w:val="restart"/>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65"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939"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1186</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871"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1186</w:t>
            </w:r>
          </w:p>
        </w:tc>
        <w:tc>
          <w:tcPr>
            <w:tcW w:w="18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其中：财政资金</w:t>
            </w:r>
          </w:p>
        </w:tc>
        <w:tc>
          <w:tcPr>
            <w:tcW w:w="18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1110</w:t>
            </w:r>
          </w:p>
        </w:tc>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65"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rPr>
                <w:rFonts w:hint="default" w:ascii="宋体" w:hAnsi="宋体"/>
                <w:sz w:val="24"/>
              </w:rPr>
            </w:pP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939"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Calibri" w:hAnsi="宋体"/>
                <w:b w:val="0"/>
                <w:i w:val="0"/>
                <w:color w:val="000000"/>
                <w:sz w:val="21"/>
                <w:u w:val="none"/>
              </w:rPr>
            </w:pP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871"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18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其他</w:t>
            </w:r>
          </w:p>
        </w:tc>
        <w:tc>
          <w:tcPr>
            <w:tcW w:w="18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p>
        </w:tc>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61" w:type="dxa"/>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三、目标完成情况</w:t>
            </w:r>
          </w:p>
        </w:tc>
        <w:tc>
          <w:tcPr>
            <w:tcW w:w="3513" w:type="dxa"/>
            <w:gridSpan w:val="5"/>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年度预期目标</w:t>
            </w:r>
          </w:p>
        </w:tc>
        <w:tc>
          <w:tcPr>
            <w:tcW w:w="4651" w:type="dxa"/>
            <w:gridSpan w:val="3"/>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具体完成情况</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0"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3513" w:type="dxa"/>
            <w:gridSpan w:val="5"/>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1、通过采取多种措施推进卫生城创建，各项指标达到国家卫生城市标准，力争年底前顺利通过国家技术评估。</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2、通过积极组织各种宣传和各项活动推进爱国卫生工作深入开展。</w:t>
            </w:r>
          </w:p>
        </w:tc>
        <w:tc>
          <w:tcPr>
            <w:tcW w:w="4651"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爱国卫生工作深入开展</w:t>
            </w:r>
          </w:p>
        </w:tc>
        <w:tc>
          <w:tcPr>
            <w:tcW w:w="990" w:type="dxa"/>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textAlignment w:val="auto"/>
              <w:outlineLvl w:val="9"/>
              <w:rPr>
                <w:rFonts w:hint="default" w:ascii="宋体" w:hAnsi="宋体"/>
                <w:sz w:val="24"/>
              </w:rPr>
            </w:pPr>
          </w:p>
        </w:tc>
        <w:tc>
          <w:tcPr>
            <w:tcW w:w="3513" w:type="dxa"/>
            <w:gridSpan w:val="5"/>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c>
          <w:tcPr>
            <w:tcW w:w="465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03"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textAlignment w:val="auto"/>
              <w:outlineLvl w:val="9"/>
              <w:rPr>
                <w:rFonts w:hint="default" w:ascii="宋体" w:hAnsi="宋体"/>
                <w:sz w:val="24"/>
              </w:rPr>
            </w:pPr>
          </w:p>
        </w:tc>
        <w:tc>
          <w:tcPr>
            <w:tcW w:w="3513" w:type="dxa"/>
            <w:gridSpan w:val="5"/>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c>
          <w:tcPr>
            <w:tcW w:w="4651"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c>
          <w:tcPr>
            <w:tcW w:w="990"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10" w:hRule="atLeast"/>
        </w:trPr>
        <w:tc>
          <w:tcPr>
            <w:tcW w:w="1061" w:type="dxa"/>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四、</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年度绩效指标完成情况</w:t>
            </w: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一级指标</w:t>
            </w:r>
          </w:p>
        </w:tc>
        <w:tc>
          <w:tcPr>
            <w:tcW w:w="939"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二级指标</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三级指标</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预期指标值</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实际完成值</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64"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产出指标（40）</w:t>
            </w:r>
          </w:p>
        </w:tc>
        <w:tc>
          <w:tcPr>
            <w:tcW w:w="939" w:type="dxa"/>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数量指标</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鼠类密度控制水平</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不低于GB/T 27770-2011规定的C级要求）</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90"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auto"/>
              <w:outlineLvl w:val="9"/>
              <w:rPr>
                <w:rFonts w:hint="default" w:ascii="宋体" w:hAnsi="宋体"/>
                <w:sz w:val="24"/>
              </w:rPr>
            </w:pPr>
          </w:p>
        </w:tc>
        <w:tc>
          <w:tcPr>
            <w:tcW w:w="939"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jc w:val="center"/>
              <w:outlineLvl w:val="9"/>
              <w:rPr>
                <w:rFonts w:hint="default" w:ascii="宋体" w:hAnsi="宋体"/>
                <w:sz w:val="24"/>
              </w:rPr>
            </w:pP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蚊虫密度控制水平</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不低于GB/T27771-2011规定的C级要求</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20"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auto"/>
              <w:outlineLvl w:val="9"/>
              <w:rPr>
                <w:rFonts w:hint="default" w:ascii="宋体" w:hAnsi="宋体"/>
                <w:sz w:val="24"/>
              </w:rPr>
            </w:pPr>
          </w:p>
        </w:tc>
        <w:tc>
          <w:tcPr>
            <w:tcW w:w="939"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sz w:val="24"/>
              </w:rPr>
            </w:pP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蝇类密度控制水平</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蝇类密度控制水平不低于GB/T 27772-2011规定的C级要求。</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08"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auto"/>
              <w:outlineLvl w:val="9"/>
              <w:rPr>
                <w:rFonts w:hint="default" w:ascii="宋体" w:hAnsi="宋体"/>
                <w:sz w:val="24"/>
              </w:rPr>
            </w:pPr>
          </w:p>
        </w:tc>
        <w:tc>
          <w:tcPr>
            <w:tcW w:w="939"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sz w:val="24"/>
              </w:rPr>
            </w:pP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蟑螂密度控制水平</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蟑螂密度控制水平不低于GB/T 27773-2012规定的C级要求。</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05"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auto"/>
              <w:outlineLvl w:val="9"/>
              <w:rPr>
                <w:rFonts w:hint="default" w:ascii="宋体" w:hAnsi="宋体"/>
                <w:sz w:val="24"/>
              </w:rPr>
            </w:pPr>
          </w:p>
        </w:tc>
        <w:tc>
          <w:tcPr>
            <w:tcW w:w="939"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质量指标</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群众健康素养水平</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到2020年全市群众个人通过各种渠道获取的健康信息，以及对这些信息的正确理解，并运用这些信息维护和促进自身健康的能力与基本素质。</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511"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预算执行率指标（10分）</w:t>
            </w:r>
          </w:p>
        </w:tc>
        <w:tc>
          <w:tcPr>
            <w:tcW w:w="939" w:type="dxa"/>
            <w:tcBorders>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预算执行率</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年末执行进度100%</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20" w:hRule="atLeast"/>
        </w:trPr>
        <w:tc>
          <w:tcPr>
            <w:tcW w:w="1061" w:type="dxa"/>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效益指标（40）</w:t>
            </w:r>
          </w:p>
        </w:tc>
        <w:tc>
          <w:tcPr>
            <w:tcW w:w="939" w:type="dxa"/>
            <w:vMerge w:val="restart"/>
            <w:tcBorders>
              <w:top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社会效益指标</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受益人数</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国家卫生城市创建工作惠及全市十区受益人数</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353" w:hRule="atLeast"/>
        </w:trPr>
        <w:tc>
          <w:tcPr>
            <w:tcW w:w="1061" w:type="dxa"/>
            <w:vMerge w:val="continue"/>
            <w:tcBorders>
              <w:top w:val="single" w:color="000000" w:sz="4" w:space="0"/>
              <w:left w:val="single" w:color="000000" w:sz="4" w:space="0"/>
              <w:bottom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auto"/>
              <w:outlineLvl w:val="9"/>
              <w:rPr>
                <w:rFonts w:hint="default" w:ascii="宋体" w:hAnsi="宋体"/>
                <w:sz w:val="24"/>
              </w:rPr>
            </w:pPr>
          </w:p>
        </w:tc>
        <w:tc>
          <w:tcPr>
            <w:tcW w:w="939" w:type="dxa"/>
            <w:vMerge w:val="continue"/>
            <w:tcBorders>
              <w:top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sz w:val="24"/>
              </w:rPr>
            </w:pP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社会影响力</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卫生城创建得到广大受众的充分认可。</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440" w:hRule="atLeast"/>
        </w:trPr>
        <w:tc>
          <w:tcPr>
            <w:tcW w:w="1061" w:type="dxa"/>
            <w:vMerge w:val="continue"/>
            <w:tcBorders>
              <w:top w:val="single" w:color="000000" w:sz="4" w:space="0"/>
              <w:left w:val="single" w:color="000000" w:sz="4" w:space="0"/>
              <w:bottom w:val="single" w:color="000000" w:sz="4" w:space="0"/>
            </w:tcBorders>
            <w:vAlign w:val="center"/>
          </w:tcPr>
          <w:p>
            <w:pPr>
              <w:widowControl w:val="0"/>
              <w:wordWrap/>
              <w:adjustRightInd/>
              <w:snapToGrid/>
              <w:spacing w:before="0" w:after="0" w:line="300" w:lineRule="exact"/>
              <w:ind w:left="0" w:leftChars="0" w:right="0" w:firstLine="0" w:firstLineChars="0"/>
              <w:outlineLvl w:val="9"/>
              <w:rPr>
                <w:rFonts w:hint="default" w:ascii="宋体" w:hAnsi="宋体"/>
                <w:sz w:val="24"/>
              </w:rPr>
            </w:pPr>
          </w:p>
        </w:tc>
        <w:tc>
          <w:tcPr>
            <w:tcW w:w="1075"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r>
              <w:rPr>
                <w:rFonts w:hint="default" w:ascii="宋体" w:hAnsi="宋体" w:eastAsia="宋体"/>
                <w:b w:val="0"/>
                <w:i w:val="0"/>
                <w:color w:val="000000"/>
                <w:sz w:val="16"/>
                <w:u w:val="none"/>
                <w:lang w:eastAsia="zh-CN"/>
              </w:rPr>
              <w:br w:type="textWrapping"/>
            </w:r>
            <w:r>
              <w:rPr>
                <w:rFonts w:hint="default" w:ascii="宋体" w:hAnsi="宋体" w:eastAsia="宋体"/>
                <w:b w:val="0"/>
                <w:i w:val="0"/>
                <w:color w:val="000000"/>
                <w:sz w:val="16"/>
                <w:u w:val="none"/>
                <w:lang w:eastAsia="zh-CN"/>
              </w:rPr>
              <w:t>（10分）</w:t>
            </w:r>
          </w:p>
        </w:tc>
        <w:tc>
          <w:tcPr>
            <w:tcW w:w="939" w:type="dxa"/>
            <w:tcBorders>
              <w:top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满意度指标</w:t>
            </w:r>
          </w:p>
        </w:tc>
        <w:tc>
          <w:tcPr>
            <w:tcW w:w="1499"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满意率</w:t>
            </w:r>
          </w:p>
        </w:tc>
        <w:tc>
          <w:tcPr>
            <w:tcW w:w="2761" w:type="dxa"/>
            <w:gridSpan w:val="2"/>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市民对城市卫生管理满意比例</w:t>
            </w:r>
          </w:p>
        </w:tc>
        <w:tc>
          <w:tcPr>
            <w:tcW w:w="18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c>
          <w:tcPr>
            <w:tcW w:w="990" w:type="dxa"/>
            <w:tcBorders>
              <w:top w:val="single" w:color="000000" w:sz="4" w:space="0"/>
              <w:left w:val="single" w:color="000000" w:sz="4" w:space="0"/>
              <w:bottom w:val="single" w:color="000000" w:sz="4" w:space="0"/>
              <w:right w:val="single" w:color="000000" w:sz="4" w:space="0"/>
            </w:tcBorders>
            <w:vAlign w:val="center"/>
          </w:tcPr>
          <w:p>
            <w:pPr>
              <w:widowControl w:val="0"/>
              <w:wordWrap/>
              <w:autoSpaceDN w:val="0"/>
              <w:adjustRightInd/>
              <w:snapToGrid/>
              <w:spacing w:before="0" w:after="0" w:line="300" w:lineRule="exact"/>
              <w:ind w:left="0" w:leftChars="0" w:right="0" w:firstLine="0" w:firstLineChars="0"/>
              <w:jc w:val="center"/>
              <w:textAlignment w:val="center"/>
              <w:outlineLvl w:val="9"/>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127" w:hRule="atLeast"/>
        </w:trPr>
        <w:tc>
          <w:tcPr>
            <w:tcW w:w="1061" w:type="dxa"/>
            <w:vMerge w:val="continue"/>
            <w:tcBorders>
              <w:top w:val="single" w:color="000000" w:sz="4" w:space="0"/>
              <w:left w:val="single" w:color="000000" w:sz="4" w:space="0"/>
              <w:bottom w:val="single" w:color="000000" w:sz="4" w:space="0"/>
            </w:tcBorders>
            <w:vAlign w:val="center"/>
          </w:tcPr>
          <w:p>
            <w:pPr>
              <w:rPr>
                <w:rFonts w:hint="default" w:ascii="宋体" w:hAnsi="宋体"/>
                <w:sz w:val="24"/>
              </w:rPr>
            </w:pPr>
          </w:p>
        </w:tc>
        <w:tc>
          <w:tcPr>
            <w:tcW w:w="8164" w:type="dxa"/>
            <w:gridSpan w:val="8"/>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总分</w:t>
            </w:r>
          </w:p>
        </w:tc>
        <w:tc>
          <w:tcPr>
            <w:tcW w:w="990" w:type="dxa"/>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874" w:hRule="atLeast"/>
        </w:trPr>
        <w:tc>
          <w:tcPr>
            <w:tcW w:w="1061" w:type="dxa"/>
            <w:tcBorders>
              <w:left w:val="single" w:color="000000" w:sz="4" w:space="0"/>
              <w:bottom w:val="single" w:color="000000" w:sz="4" w:space="0"/>
              <w:right w:val="single" w:color="000000" w:sz="4" w:space="0"/>
            </w:tcBorders>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五、</w:t>
            </w:r>
            <w:r>
              <w:rPr>
                <w:rFonts w:hint="default" w:ascii="Calibri" w:hAnsi="宋体"/>
                <w:b w:val="0"/>
                <w:i w:val="0"/>
                <w:color w:val="000000"/>
                <w:sz w:val="16"/>
                <w:u w:val="none"/>
              </w:rPr>
              <w:t xml:space="preserve"> </w:t>
            </w:r>
            <w:r>
              <w:rPr>
                <w:rFonts w:hint="default" w:ascii="宋体" w:hAnsi="宋体" w:eastAsia="宋体"/>
                <w:b w:val="0"/>
                <w:i w:val="0"/>
                <w:color w:val="000000"/>
                <w:sz w:val="16"/>
                <w:u w:val="none"/>
                <w:lang w:eastAsia="zh-CN"/>
              </w:rPr>
              <w:t>存在问题、原因及下一步整改措施</w:t>
            </w:r>
          </w:p>
        </w:tc>
        <w:tc>
          <w:tcPr>
            <w:tcW w:w="9154" w:type="dxa"/>
            <w:gridSpan w:val="9"/>
            <w:tcBorders>
              <w:top w:val="single" w:color="000000" w:sz="4" w:space="0"/>
              <w:left w:val="single" w:color="000000" w:sz="4" w:space="0"/>
              <w:bottom w:val="single" w:color="000000" w:sz="4" w:space="0"/>
              <w:right w:val="single" w:color="000000" w:sz="4" w:space="0"/>
            </w:tcBorders>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年末资金未使用完，资金结转至2020年。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5" w:type="dxa"/>
            <w:bottom w:w="0" w:type="dxa"/>
            <w:right w:w="15" w:type="dxa"/>
          </w:tblCellMar>
        </w:tblPrEx>
        <w:trPr>
          <w:trHeight w:val="285" w:hRule="atLeast"/>
        </w:trPr>
        <w:tc>
          <w:tcPr>
            <w:tcW w:w="1965" w:type="dxa"/>
            <w:gridSpan w:val="2"/>
            <w:vAlign w:val="center"/>
          </w:tcPr>
          <w:p>
            <w:pPr>
              <w:autoSpaceDN w:val="0"/>
              <w:jc w:val="center"/>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填报人：曹菲</w:t>
            </w:r>
          </w:p>
        </w:tc>
        <w:tc>
          <w:tcPr>
            <w:tcW w:w="1110" w:type="dxa"/>
            <w:gridSpan w:val="2"/>
            <w:vAlign w:val="center"/>
          </w:tcPr>
          <w:p>
            <w:pPr>
              <w:autoSpaceDN w:val="0"/>
              <w:jc w:val="center"/>
              <w:textAlignment w:val="center"/>
              <w:rPr>
                <w:rFonts w:hint="default" w:ascii="宋体" w:hAnsi="宋体" w:eastAsia="宋体"/>
                <w:b w:val="0"/>
                <w:i w:val="0"/>
                <w:color w:val="000000"/>
                <w:sz w:val="16"/>
                <w:u w:val="none"/>
                <w:lang w:eastAsia="zh-CN"/>
              </w:rPr>
            </w:pPr>
          </w:p>
        </w:tc>
        <w:tc>
          <w:tcPr>
            <w:tcW w:w="1185"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185" w:type="dxa"/>
            <w:gridSpan w:val="2"/>
            <w:vAlign w:val="center"/>
          </w:tcPr>
          <w:p>
            <w:pPr>
              <w:autoSpaceDN w:val="0"/>
              <w:jc w:val="center"/>
              <w:textAlignment w:val="center"/>
              <w:rPr>
                <w:rFonts w:hint="default" w:ascii="宋体" w:hAnsi="宋体" w:eastAsia="宋体"/>
                <w:b w:val="0"/>
                <w:i w:val="0"/>
                <w:color w:val="000000"/>
                <w:sz w:val="16"/>
                <w:u w:val="none"/>
                <w:lang w:eastAsia="zh-CN"/>
              </w:rPr>
            </w:pPr>
          </w:p>
        </w:tc>
        <w:tc>
          <w:tcPr>
            <w:tcW w:w="1890" w:type="dxa"/>
            <w:vAlign w:val="center"/>
          </w:tcPr>
          <w:p>
            <w:pPr>
              <w:autoSpaceDN w:val="0"/>
              <w:jc w:val="center"/>
              <w:textAlignment w:val="center"/>
              <w:rPr>
                <w:rFonts w:hint="default" w:ascii="宋体" w:hAnsi="宋体" w:eastAsia="宋体"/>
                <w:b w:val="0"/>
                <w:i w:val="0"/>
                <w:color w:val="000000"/>
                <w:sz w:val="16"/>
                <w:u w:val="none"/>
                <w:lang w:eastAsia="zh-CN"/>
              </w:rPr>
            </w:pPr>
          </w:p>
        </w:tc>
        <w:tc>
          <w:tcPr>
            <w:tcW w:w="1890" w:type="dxa"/>
            <w:vAlign w:val="center"/>
          </w:tcPr>
          <w:p>
            <w:pPr>
              <w:autoSpaceDN w:val="0"/>
              <w:jc w:val="left"/>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联系电话：</w:t>
            </w:r>
          </w:p>
        </w:tc>
        <w:tc>
          <w:tcPr>
            <w:tcW w:w="990" w:type="dxa"/>
            <w:vAlign w:val="center"/>
          </w:tcPr>
          <w:p>
            <w:pPr>
              <w:autoSpaceDN w:val="0"/>
              <w:jc w:val="both"/>
              <w:textAlignment w:val="center"/>
              <w:rPr>
                <w:rFonts w:hint="default" w:ascii="宋体" w:hAnsi="宋体" w:eastAsia="宋体"/>
                <w:b w:val="0"/>
                <w:i w:val="0"/>
                <w:color w:val="000000"/>
                <w:sz w:val="16"/>
                <w:u w:val="none"/>
                <w:lang w:eastAsia="zh-CN"/>
              </w:rPr>
            </w:pPr>
            <w:r>
              <w:rPr>
                <w:rFonts w:hint="default" w:ascii="宋体" w:hAnsi="宋体" w:eastAsia="宋体"/>
                <w:b w:val="0"/>
                <w:i w:val="0"/>
                <w:color w:val="000000"/>
                <w:sz w:val="16"/>
                <w:u w:val="none"/>
                <w:lang w:eastAsia="zh-CN"/>
              </w:rPr>
              <w:t>66537669</w:t>
            </w:r>
          </w:p>
        </w:tc>
      </w:tr>
    </w:tbl>
    <w:p>
      <w:pPr>
        <w:sectPr>
          <w:pgSz w:w="11906" w:h="16838"/>
          <w:pgMar w:top="1440" w:right="1800" w:bottom="1440" w:left="1800"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rFonts w:ascii="等线" w:hAnsi="等线" w:eastAsia="等线" w:cs="黑体"/>
          <w:kern w:val="2"/>
          <w:sz w:val="72"/>
          <w:szCs w:val="22"/>
          <w:lang w:val="en-US" w:eastAsia="zh-CN" w:bidi="ar-SA"/>
        </w:rPr>
        <w:pict>
          <v:rect id="文本框 188" o:spid="_x0000_s1035" o:spt="1" style="position:absolute;left:0pt;margin-left:-80.1pt;margin-top:34.8pt;height:263.1pt;width:613.65pt;z-index:251669504;mso-width-relative:page;mso-height-relative:page;" fillcolor="#FFD966" filled="t" o:preferrelative="t" stroked="t" coordsize="21600,21600">
            <v:path/>
            <v:fill type="pattern" on="t" color2="#FFFFFF" o:opacity2="65536f" focussize="0,0" r:id="rId23"/>
            <v:stroke weight="0.5pt" color="#FFD966" color2="#FFFFFF" opacity="65536f" miterlimit="2"/>
            <v:imagedata gain="65536f" blacklevel="0f" gamma="0" o:title=""/>
            <o:lock v:ext="edit" position="f" selection="f" grouping="f" rotation="f" cropping="f" text="f" aspectratio="f"/>
            <v:textbox>
              <w:txbxContent>
                <w:p>
                  <w:pPr>
                    <w:widowControl/>
                    <w:jc w:val="center"/>
                  </w:pPr>
                  <w:r>
                    <w:rPr>
                      <w:rFonts w:hint="eastAsia" w:ascii="黑体" w:hAnsi="黑体" w:eastAsia="黑体" w:cs="黑体"/>
                      <w:color w:val="000000"/>
                      <w:sz w:val="90"/>
                      <w:szCs w:val="90"/>
                    </w:rPr>
                    <w:t>第三部分 相关名词解释</w:t>
                  </w:r>
                </w:p>
              </w:txbxContent>
            </v:textbox>
          </v:rect>
        </w:pict>
      </w:r>
    </w:p>
    <w:p/>
    <w:p/>
    <w:p/>
    <w:p/>
    <w:p/>
    <w:p/>
    <w:p/>
    <w:p/>
    <w:p/>
    <w:p/>
    <w:p/>
    <w:p>
      <w:pPr>
        <w:tabs>
          <w:tab w:val="left" w:pos="886"/>
        </w:tabs>
        <w:jc w:val="left"/>
        <w:sectPr>
          <w:headerReference r:id="rId16"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72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17"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720" w:num="1"/>
          <w:docGrid w:type="lines" w:linePitch="312" w:charSpace="0"/>
        </w:sectPr>
      </w:pPr>
    </w:p>
    <w:p/>
    <w:p>
      <w:pPr>
        <w:tabs>
          <w:tab w:val="left" w:pos="235"/>
        </w:tabs>
        <w:jc w:val="left"/>
        <w:sectPr>
          <w:headerReference r:id="rId18"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720" w:num="1"/>
          <w:docGrid w:type="lines" w:linePitch="312" w:charSpace="0"/>
        </w:sectPr>
      </w:pPr>
      <w:r>
        <w:rPr>
          <w:rFonts w:ascii="等线" w:hAnsi="等线" w:eastAsia="等线" w:cs="黑体"/>
          <w:kern w:val="2"/>
          <w:sz w:val="72"/>
          <w:szCs w:val="22"/>
          <w:lang w:val="en-US" w:eastAsia="zh-CN" w:bidi="ar-SA"/>
        </w:rPr>
        <w:pict>
          <v:rect id="文本框 229" o:spid="_x0000_s1036" o:spt="1" style="position:absolute;left:0pt;margin-left:-81.7pt;margin-top:111.85pt;height:263.1pt;width:613.65pt;z-index:251670528;mso-width-relative:page;mso-height-relative:page;" fillcolor="#FFD966" filled="t" o:preferrelative="t" stroked="t" coordsize="21600,21600">
            <v:path/>
            <v:fill type="pattern" on="t" color2="#FFFFFF" o:opacity2="65536f" focussize="0,0" r:id="rId23"/>
            <v:stroke weight="0.5pt" color="#FFD966" color2="#FFFFFF" opacity="65536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pPr>
                    <w:widowControl/>
                    <w:jc w:val="center"/>
                  </w:pPr>
                  <w:r>
                    <w:rPr>
                      <w:rFonts w:hint="eastAsia" w:ascii="黑体" w:hAnsi="黑体" w:eastAsia="黑体" w:cs="黑体"/>
                      <w:color w:val="000000"/>
                      <w:sz w:val="90"/>
                      <w:szCs w:val="90"/>
                    </w:rPr>
                    <w:t>2019年度部门决算报表</w:t>
                  </w:r>
                </w:p>
              </w:txbxContent>
            </v:textbox>
          </v:rect>
        </w:pict>
      </w:r>
    </w:p>
    <w:tbl>
      <w:tblPr>
        <w:tblStyle w:val="6"/>
        <w:tblpPr w:leftFromText="180" w:rightFromText="180" w:vertAnchor="text" w:horzAnchor="page" w:tblpXSpec="center" w:tblpY="31"/>
        <w:tblOverlap w:val="never"/>
        <w:tblW w:w="95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236"/>
        <w:gridCol w:w="492"/>
        <w:gridCol w:w="239"/>
        <w:gridCol w:w="799"/>
        <w:gridCol w:w="3062"/>
        <w:gridCol w:w="513"/>
        <w:gridCol w:w="11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9" w:hRule="atLeast"/>
          <w:jc w:val="center"/>
        </w:trPr>
        <w:tc>
          <w:tcPr>
            <w:tcW w:w="9517" w:type="dxa"/>
            <w:gridSpan w:val="7"/>
            <w:tcBorders>
              <w:top w:val="nil"/>
              <w:left w:val="nil"/>
              <w:bottom w:val="nil"/>
              <w:right w:val="nil"/>
            </w:tcBorders>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1"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51"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1" w:hRule="atLeast"/>
          <w:jc w:val="center"/>
        </w:trPr>
        <w:tc>
          <w:tcPr>
            <w:tcW w:w="3967"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7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51"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4" w:hRule="atLeast"/>
          <w:jc w:val="center"/>
        </w:trPr>
        <w:tc>
          <w:tcPr>
            <w:tcW w:w="4766"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75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82,655.99</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559,149.16</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7,673.10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13,515.97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572,726.45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649,478.25</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587,260.22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69.90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52,019.45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142,015.94</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152,284.43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9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038"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791,564.10</w:t>
            </w:r>
          </w:p>
        </w:tc>
        <w:tc>
          <w:tcPr>
            <w:tcW w:w="30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1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17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791,564.10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3" w:hRule="atLeast"/>
          <w:jc w:val="center"/>
        </w:trPr>
        <w:tc>
          <w:tcPr>
            <w:tcW w:w="9517" w:type="dxa"/>
            <w:gridSpan w:val="7"/>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6"/>
        <w:tblW w:w="95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09"/>
        <w:gridCol w:w="59"/>
        <w:gridCol w:w="58"/>
        <w:gridCol w:w="1456"/>
        <w:gridCol w:w="999"/>
        <w:gridCol w:w="999"/>
        <w:gridCol w:w="999"/>
        <w:gridCol w:w="999"/>
        <w:gridCol w:w="999"/>
        <w:gridCol w:w="999"/>
        <w:gridCol w:w="10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10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5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0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jc w:val="center"/>
        </w:trPr>
        <w:tc>
          <w:tcPr>
            <w:tcW w:w="3581"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002"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258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9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99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99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99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99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5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jc w:val="center"/>
        </w:trPr>
        <w:tc>
          <w:tcPr>
            <w:tcW w:w="112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5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258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258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649,478.25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82,655.99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559,149.16</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7,673.10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一般公共服务支出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其他一般公共服务支出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2019999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其他一般公共服务支出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教育支出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20508</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进修及培训</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2050803</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培训支出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135.20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135.20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科学技术支出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405.61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110.00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科学技术管理事务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2060199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其他科学技术管理事务支出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20604</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技术研究与开发</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110.00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110.00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2060402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应用技术研究与开发</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社会保障和就业支出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13,758.21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13,758.21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20805</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行政事业单位离退休</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13,713.02</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13,713.02</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归口管理的行政单位离退休</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221.47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221.47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事业单位离退休</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3,207.34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3,207.34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2080505</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机关事业单位基本养老保险缴费支出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8,513.18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8,513.18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机关事业单位职业年金缴费支出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1,771.03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1,771.03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其他社会保障和就业支出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45.19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45.19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2089901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其他社会保障和就业支出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45.19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45.19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卫生健康支出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634,477.31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67,950.66</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558,853.55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7,673.10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卫生健康管理事务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4,189.03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4,176.88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行政运行</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2,104.57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2,092.42</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一般行政管理事务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其他卫生健康管理事务支出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2,082.57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2,082.57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公立医院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598,841.73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33,166.77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558,024.55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7,650.42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综合医院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321,377.17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19,057.24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299,506.98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2,812.95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中医（民族）医院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79,924.34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2,541.03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76,195.12</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1,188.18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2100203</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传染病医院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37,097.55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3,162.39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33,408.01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527.16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2100204</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职业病防治医院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1,979.11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1,398.99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570.76</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2100205</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精神病医院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12,656.78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2,255.03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10,277.31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124.44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妇产医院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99,655.77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1,900.98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94,830.48</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2,924.31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2100208</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其他专科医院</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45,731.01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2,431.11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43,235.89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64.01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其他公立医院支出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420.00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420.00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21003</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基层医疗卫生机构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2100301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城市社区卫生机构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21004</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公共卫生</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21,348.03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20,519.03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829.00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疾病预防控制机构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4,797.74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4,797.74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卫生监督机构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2,149.76</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2,149.76</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2100405</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应急救治机构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3,351.97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2,522.97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829.00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2100407</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其他专业公共卫生机构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808.10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808.10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2100408</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基本公共卫生服务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2,561.95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2,561.95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重大公共卫生专项</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6,502.89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6,502.89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其他公共卫生支出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1,175.60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1,175.60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中医药</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561.40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561.40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2100601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中医（民族医）药专项</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383.40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383.40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2100699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其他中医药支出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21007</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计划生育事务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1,276.07</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1,265.54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10.53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2100716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计划生育机构</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1,016.60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1,016.60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2100717</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计划生育服务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143.36</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142.83</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0.53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其他计划生育事务支出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116.11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106.11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行政事业单位医疗</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7,514.24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7,514.24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行政单位医疗</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56.61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56.61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事业单位医疗</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4,789.25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4,789.25</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2101103</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公务员医疗补助</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45.99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45.99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其他行政事业单位医疗支出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2,622.39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2,622.39</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21013</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医疗救助</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2101301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城乡医疗救助</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老龄卫生健康事务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2101601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老龄卫生健康事务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21099</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其他卫生健康支出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430.00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430.00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2109901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其他卫生健康支出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430.00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430.00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住房保障支出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22102</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住房改革支出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2210201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住房公积金</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224</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灾害防治及应急管理支出</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22401</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应急管理事务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112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2240106</w:t>
            </w:r>
          </w:p>
        </w:tc>
        <w:tc>
          <w:tcPr>
            <w:tcW w:w="145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安全监管</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004"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587,260.22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550,044.68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37,215.54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一般公共服务支出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1.02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政府办公厅（室）及相关机构事务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2010308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信访事务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其他一般公共服务支出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1.02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0.76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2019999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其他一般公共服务支出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0.76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教育支出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进修及培训</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2050803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培训支出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科学技术支出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178.68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143.48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35.20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科学技术管理事务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143.48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143.48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2060199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其他科学技术管理事务支出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143.48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143.48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技术研究与开发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33.97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33.97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2060402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应用技术研究与开发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33.97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33.97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科技交流与合作</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2060801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国际交流与合作</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社会保障和就业支出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13,515.97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13,512.80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行政事业单位离退休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13,467.61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13,467.61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归口管理的行政单位离退休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221.47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221.47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事业单位离退休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2,961.93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2,961.93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机关事业单位基本养老保险缴费支出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8,513.18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8,513.18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机关事业单位职业年金缴费支出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1,771.03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1,771.03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20811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残疾人事业</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2081104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残疾人康复</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其他社会保障和就业支出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45.19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45.19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2089901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其他社会保障和就业支出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45.19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45.19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卫生健康支出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572,726.45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535,694.25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37,032.20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卫生健康管理事务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4,045.93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1,964.85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2,081.08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行政运行</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2,187.74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1,964.85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222.88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一般行政管理事务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其他卫生健康管理事务支出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1,856.32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1,856.32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公立医院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539,268.11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517,774.33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21,493.78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综合医院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297,852.97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291,181.31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6,671.67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中医（民族）医院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67,940.00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66,510.28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1,429.72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传染病医院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35,527.77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30,336.57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5,191.20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职业病防治医院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2,055.21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1,922.01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133.20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精神病医院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14,349.88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12,517.53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1,832.34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妇产医院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79,878.15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75,066.47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4,811.68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其他专科医院</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41,410.64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40,240.16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1,170.48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其他公立医院支出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253.49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253.49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基层医疗卫生机构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24.20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24.20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2100301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城市社区卫生机构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2100399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其他基层医疗卫生机构支出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公共卫生</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19,680.07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7,990.58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11,689.49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疾病预防控制机构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4,861.05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3,774.92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1,086.13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卫生监督机构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2,167.16</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1,971.07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196.09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2100405</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应急救治机构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3,345.41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1,932.87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1,412.54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其他专业公共卫生机构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819.63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311.71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507.92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2100408</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基本公共卫生服务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703.30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703.30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重大公共卫生专项</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6,778.03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6,778.03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其他公共卫生支出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1,005.49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1,005.49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中医药</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474.65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474.65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2100601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中医（民族医）药专项</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2100699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其他中医药支出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289.35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289.35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计划生育事务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1,393.34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911.03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482.31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2100716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计划生育机构</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1,060.64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911.03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149.61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2100717</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计划生育服务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184.80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184.80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其他计划生育事务支出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147.90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147.90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行政事业单位医疗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7,085.23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7,053.45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行政单位医疗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56.61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56.61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事业单位医疗</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4,763.73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4,763.73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公务员医疗补助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45.99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45.99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其他行政事业单位医疗支出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2,218.90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2,187.12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31.78</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21013</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医疗救助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2101301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城乡医疗救助</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老龄卫生健康事务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2101601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老龄卫生健康事务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21099</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其他卫生健康支出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2109901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其他卫生健康支出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450.30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节能环保支出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21110</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能源节约利用</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2111001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能源节约利用</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住房保障支出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22102</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住房改革支出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2210201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住房公积金</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224</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灾害防治及应急管理支出</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22401</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应急管理事务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2240106</w:t>
            </w: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安全监管</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95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817"/>
        <w:gridCol w:w="105"/>
        <w:gridCol w:w="307"/>
        <w:gridCol w:w="118"/>
        <w:gridCol w:w="882"/>
        <w:gridCol w:w="2300"/>
        <w:gridCol w:w="426"/>
        <w:gridCol w:w="87"/>
        <w:gridCol w:w="420"/>
        <w:gridCol w:w="555"/>
        <w:gridCol w:w="987"/>
        <w:gridCol w:w="5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6" w:hRule="atLeast"/>
          <w:jc w:val="center"/>
        </w:trPr>
        <w:tc>
          <w:tcPr>
            <w:tcW w:w="9520" w:type="dxa"/>
            <w:gridSpan w:val="12"/>
            <w:tcBorders>
              <w:top w:val="nil"/>
              <w:left w:val="nil"/>
              <w:bottom w:val="nil"/>
              <w:right w:val="nil"/>
            </w:tcBorders>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922"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5"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88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72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4229"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2726"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4229"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291" w:type="dxa"/>
            <w:gridSpan w:val="7"/>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817"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12"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00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30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13"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7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8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51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817"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12"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0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3"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8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82,655.99</w:t>
            </w: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3.18</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3.18</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35.20</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35.20</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13,515.97</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13,515.97</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60,467.52</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60,467.52</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Cs w:val="21"/>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82,655.99</w:t>
            </w: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74,857.81</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74,857.81</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17,733.97</w:t>
            </w: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25,532.15</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25,532.15</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17,733.97</w:t>
            </w: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2817"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1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00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100,389.97</w:t>
            </w:r>
          </w:p>
        </w:tc>
        <w:tc>
          <w:tcPr>
            <w:tcW w:w="230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1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75"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100,389.97</w:t>
            </w:r>
          </w:p>
        </w:tc>
        <w:tc>
          <w:tcPr>
            <w:tcW w:w="98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100,389.97</w:t>
            </w:r>
          </w:p>
        </w:tc>
        <w:tc>
          <w:tcPr>
            <w:tcW w:w="51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9520" w:type="dxa"/>
            <w:gridSpan w:val="12"/>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99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88"/>
        <w:gridCol w:w="386"/>
        <w:gridCol w:w="67"/>
        <w:gridCol w:w="67"/>
        <w:gridCol w:w="1695"/>
        <w:gridCol w:w="2329"/>
        <w:gridCol w:w="2329"/>
        <w:gridCol w:w="23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174"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332" w:type="dxa"/>
            <w:gridSpan w:val="6"/>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4658"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003"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8"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合计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74,857.81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43,915.86</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b/>
                <w:color w:val="000000"/>
                <w:sz w:val="22"/>
              </w:rPr>
            </w:pPr>
            <w:r>
              <w:rPr>
                <w:rFonts w:hint="default" w:ascii="宋体" w:hAnsi="宋体" w:eastAsia="宋体"/>
                <w:b/>
                <w:i w:val="0"/>
                <w:color w:val="000000"/>
                <w:sz w:val="20"/>
                <w:u w:val="none"/>
                <w:lang w:eastAsia="zh-CN"/>
              </w:rPr>
              <w:t>30,941.96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一般公共服务支出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1.02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20103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政府办公厅（室）及相关机构事务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2010308</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信访事务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20199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其他一般公共服务支出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1.78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1.02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0.76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2019999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其他一般公共服务支出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0.76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教育支出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20508</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进修及培训</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2050803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培训支出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134.58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科学技术支出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35.20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35.20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基础研究</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2060203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自然科学基金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20604</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技术研究与开发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33.97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33.97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2060402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应用技术研究与开发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33.97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33.97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20608</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科技交流与合作</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2060801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国际交流与合作</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社会保障和就业支出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13,515.97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13,512.80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20805</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行政事业单位离退休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13,467.61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13,467.61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归口管理的行政单位离退休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221.47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221.47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事业单位离退休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2,961.93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2,961.93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2080505</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机关事业单位基本养老保险缴费支出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8,513.18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8,513.18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2080506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机关事业单位职业年金缴费支出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1,771.03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1,771.03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20811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残疾人事业</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2081104</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残疾人康复</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20899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其他社会保障和就业支出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45.19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45.19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2089901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其他社会保障和就业支出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45.19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45.19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卫生健康支出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60,467.52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29,708.90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30,758.62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卫生健康管理事务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4,033.78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1,964.85</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2,068.93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行政运行</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2,175.59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1,964.85</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一般行政管理事务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2100199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其他卫生健康管理事务支出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1,856.32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1,856.32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公立医院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27,737.94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11,788.99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15,948.95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综合医院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13,194.96</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6,523.29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6,671.67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中医（民族）医院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2,544.18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1,114.46</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1,429.72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传染病医院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4,624.53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905.88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3,718.65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2100204</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职业病防治医院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1,405.19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1,271.99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133.20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2100205</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精神病医院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2,535.48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1,832.34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妇产医院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1,403.73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664.33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739.40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2100208</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其他专科医院</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1,776.38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605.90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1,170.48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2100299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其他公立医院支出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253.49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253.49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基层医疗卫生机构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24.20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24.20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2100301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城市社区卫生机构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2100399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其他基层医疗卫生机构支出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12.00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21004</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公共卫生</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18,971.80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7,990.58</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10,981.22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疾病预防控制机构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4,861.05</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3,774.92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1,086.13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卫生监督机构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2,167.16</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1,971.07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196.09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2100405</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应急救治机构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2,637.14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1,932.87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704.27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2100407</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其他专业公共卫生机构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819.63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311.71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507.92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2100408</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基本公共卫生服务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703.30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2100409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重大公共卫生专项</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6,778.03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6,778.03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2100499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其他公共卫生支出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1,005.49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1,005.49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中医药</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474.65</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474.65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2100601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中医（民族医）药专项</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185.30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185.30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2100699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其他中医药支出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289.35</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289.35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21007</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计划生育事务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1,386.66</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911.03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475.64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2100716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计划生育机构</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1,060.64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911.03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149.61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2100717</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计划生育服务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184.80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2100799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其他计划生育事务支出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141.22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141.22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行政事业单位医疗</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7,083.57</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7,053.45</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30.12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行政单位医疗</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56.61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56.61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事业单位医疗</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4,763.73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4,763.73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2101103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公务员医疗补助</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45.99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45.99</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2101199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其他行政事业单位医疗支出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2,217.23</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2,187.12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30.12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21013</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医疗救助</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295.61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2101301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城乡医疗救助</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295.61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21016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老龄卫生健康事务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9.00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2101601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老龄卫生健康事务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21099</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其他卫生健康支出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450.30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450.30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2109901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其他卫生健康支出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450.30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450.30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节能环保支出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21110</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能源节约利用</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2111001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能源节约利用</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住房保障支出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22102</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住房改革支出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693.14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2210201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住房公积金</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693.14</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224</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灾害防治及应急管理支出</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22401</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应急管理事务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i w:val="0"/>
                <w:color w:val="000000"/>
                <w:sz w:val="20"/>
                <w:u w:val="none"/>
                <w:lang w:eastAsia="zh-CN"/>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7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2240106</w:t>
            </w:r>
          </w:p>
        </w:tc>
        <w:tc>
          <w:tcPr>
            <w:tcW w:w="2215" w:type="dxa"/>
            <w:gridSpan w:val="4"/>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 xml:space="preserve">  安全监管</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7.00</w:t>
            </w:r>
          </w:p>
        </w:tc>
      </w:tr>
    </w:tbl>
    <w:p>
      <w:r>
        <w:rPr>
          <w:rFonts w:hint="eastAsia" w:ascii="宋体" w:hAnsi="宋体" w:eastAsia="宋体" w:cs="宋体"/>
          <w:color w:val="000000"/>
          <w:kern w:val="0"/>
          <w:sz w:val="22"/>
        </w:rPr>
        <w:t>注：本表反映部门本年度一般公共预算财政拨款支出情况。</w:t>
      </w:r>
      <w:r>
        <w:br w:type="page"/>
      </w:r>
    </w:p>
    <w:tbl>
      <w:tblPr>
        <w:tblStyle w:val="6"/>
        <w:tblW w:w="100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6"/>
        <w:gridCol w:w="1711"/>
        <w:gridCol w:w="221"/>
        <w:gridCol w:w="783"/>
        <w:gridCol w:w="655"/>
        <w:gridCol w:w="1599"/>
        <w:gridCol w:w="768"/>
        <w:gridCol w:w="161"/>
        <w:gridCol w:w="583"/>
        <w:gridCol w:w="1891"/>
        <w:gridCol w:w="7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2" w:hRule="atLeast"/>
          <w:jc w:val="center"/>
        </w:trPr>
        <w:tc>
          <w:tcPr>
            <w:tcW w:w="10000" w:type="dxa"/>
            <w:gridSpan w:val="11"/>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32"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9" w:hRule="atLeast"/>
          <w:jc w:val="center"/>
        </w:trPr>
        <w:tc>
          <w:tcPr>
            <w:tcW w:w="3611"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3611"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7"/>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71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4"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2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5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71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004"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2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33,449.92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1,097.23</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7,247.15</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115.62</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1,445.94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3.16</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1,695.78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0.03</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2,362.52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3.36</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6,657.58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11.89</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2,583.11</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76.57</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7,929.85</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113.40</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285.98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2.56</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329.22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77.80</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904.08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50.51</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2,008.70</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0.66</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9,364.96</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7.50</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218.70</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20.00</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2,449.94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1.54</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1.92</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18.49</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4,067.24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0.29</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14.88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37.69</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81.70</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976.34</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65.25</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289.94</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1,619.38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77.32</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71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00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92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3.49</w:t>
            </w:r>
          </w:p>
        </w:tc>
        <w:tc>
          <w:tcPr>
            <w:tcW w:w="5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gridSpan w:val="2"/>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55.05</w:t>
            </w:r>
          </w:p>
        </w:tc>
        <w:tc>
          <w:tcPr>
            <w:tcW w:w="744" w:type="dxa"/>
            <w:gridSpan w:val="2"/>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2828"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42,814.88</w:t>
            </w:r>
          </w:p>
        </w:tc>
        <w:tc>
          <w:tcPr>
            <w:tcW w:w="5657"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0"/>
                <w:szCs w:val="20"/>
              </w:rPr>
            </w:pPr>
            <w:r>
              <w:rPr>
                <w:rFonts w:hint="default" w:ascii="宋体" w:hAnsi="宋体" w:eastAsia="宋体"/>
                <w:b w:val="0"/>
                <w:i w:val="0"/>
                <w:color w:val="000000"/>
                <w:sz w:val="20"/>
                <w:u w:val="none"/>
                <w:lang w:eastAsia="zh-CN"/>
              </w:rPr>
              <w:t>1,100.98</w:t>
            </w:r>
          </w:p>
        </w:tc>
      </w:tr>
    </w:tbl>
    <w:p>
      <w:r>
        <w:br w:type="page"/>
      </w:r>
    </w:p>
    <w:tbl>
      <w:tblPr>
        <w:tblStyle w:val="6"/>
        <w:tblW w:w="92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1686"/>
        <w:gridCol w:w="1565"/>
        <w:gridCol w:w="1565"/>
        <w:gridCol w:w="1565"/>
        <w:gridCol w:w="15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429.48</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415.12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415.12</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293.36</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1.88</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289.94</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289.94</w:t>
            </w:r>
          </w:p>
        </w:tc>
        <w:tc>
          <w:tcPr>
            <w:tcW w:w="1572" w:type="dxa"/>
            <w:tcBorders>
              <w:top w:val="nil"/>
              <w:left w:val="nil"/>
              <w:bottom w:val="single" w:color="auto" w:sz="4" w:space="0"/>
              <w:right w:val="single" w:color="auto" w:sz="4" w:space="0"/>
            </w:tcBorders>
            <w:tcMar>
              <w:top w:w="15" w:type="dxa"/>
              <w:left w:w="15" w:type="dxa"/>
              <w:right w:w="15" w:type="dxa"/>
            </w:tcMar>
            <w:vAlign w:val="center"/>
          </w:tcPr>
          <w:p>
            <w:pPr>
              <w:autoSpaceDN w:val="0"/>
              <w:jc w:val="right"/>
              <w:textAlignment w:val="center"/>
              <w:rPr>
                <w:rFonts w:ascii="宋体" w:hAnsi="宋体" w:eastAsia="宋体" w:cs="宋体"/>
                <w:color w:val="000000"/>
                <w:sz w:val="22"/>
              </w:rPr>
            </w:pPr>
            <w:r>
              <w:rPr>
                <w:rFonts w:hint="default" w:ascii="宋体" w:hAnsi="宋体" w:eastAsia="宋体"/>
                <w:b w:val="0"/>
                <w:i w:val="0"/>
                <w:color w:val="000000"/>
                <w:sz w:val="20"/>
                <w:u w:val="none"/>
                <w:lang w:eastAsia="zh-CN"/>
              </w:rPr>
              <w:t>1.54</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3760" w:type="dxa"/>
            <w:gridSpan w:val="5"/>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r>
        <w:br w:type="page"/>
      </w:r>
    </w:p>
    <w:tbl>
      <w:tblPr>
        <w:tblStyle w:val="6"/>
        <w:tblW w:w="99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88"/>
        <w:gridCol w:w="74"/>
        <w:gridCol w:w="74"/>
        <w:gridCol w:w="3798"/>
        <w:gridCol w:w="961"/>
        <w:gridCol w:w="1861"/>
        <w:gridCol w:w="18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0"/>
                <w:szCs w:val="20"/>
                <w:lang w:eastAsia="zh-CN"/>
              </w:rPr>
              <w:t>石家庄市卫生健康委员会（汇总）</w:t>
            </w: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3"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r>
        <w:br w:type="page"/>
      </w:r>
    </w:p>
    <w:p>
      <w:r>
        <w:rPr>
          <w:rFonts w:ascii="等线" w:hAnsi="等线" w:eastAsia="等线" w:cs="黑体"/>
          <w:kern w:val="2"/>
          <w:sz w:val="21"/>
          <w:szCs w:val="22"/>
          <w:lang w:val="en-US" w:eastAsia="zh-CN" w:bidi="ar-SA"/>
        </w:rPr>
        <w:pict>
          <v:rect id="矩形 40" o:spid="_x0000_s1037" o:spt="1" style="position:absolute;left:0pt;margin-left:-70.15pt;margin-top:-84.9pt;height:841.15pt;width:595.1pt;z-index:251671552;mso-width-relative:page;mso-height-relative:page;" fillcolor="#FFC000" filled="t" o:preferrelative="t" stroked="f" coordsize="21600,21600">
            <v:path/>
            <v:fill on="t" focussize="0,0"/>
            <v:stroke on="f"/>
            <v:imagedata gain="65536f" blacklevel="0f" gamma="0" o:title=""/>
            <o:lock v:ext="edit" position="f" selection="f" grouping="f" rotation="f" cropping="f" text="f" aspectratio="f"/>
          </v:rect>
        </w:pict>
      </w:r>
    </w:p>
    <w:sectPr>
      <w:headerReference r:id="rId20" w:type="first"/>
      <w:headerReference r:id="rId19" w:type="default"/>
      <w:footerReference r:id="rId21"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10" w:usb3="00000000" w:csb0="00040000" w:csb1="00000000"/>
  </w:font>
  <w:font w:name="Yu Gothic UI Semibold">
    <w:altName w:val="Meiryo"/>
    <w:panose1 w:val="00000000000000000000"/>
    <w:charset w:val="80"/>
    <w:family w:val="auto"/>
    <w:pitch w:val="default"/>
    <w:sig w:usb0="00000000" w:usb1="00000000" w:usb2="00000016" w:usb3="00000000" w:csb0="2002009F" w:csb1="00000000"/>
  </w:font>
  <w:font w:name="思源黑体 HW Bold">
    <w:altName w:val="黑体"/>
    <w:panose1 w:val="00000000000000000000"/>
    <w:charset w:val="86"/>
    <w:family w:val="auto"/>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auto"/>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3000509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2" o:spid="_x0000_s2064" o:spt="1" style="position:absolute;left:0pt;margin-left:209.65pt;margin-top:-12.6pt;height:14.3pt;width:30.6pt;mso-position-horizontal-relative:margin;z-index:25166336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t>2</w:t>
                </w:r>
                <w:r>
                  <w:rPr>
                    <w:rFonts w:ascii="Times New Roman" w:hAnsi="Times New Roman" w:cs="Times New Roman"/>
                    <w:sz w:val="24"/>
                    <w:szCs w:val="24"/>
                  </w:rPr>
                  <w:fldChar w:fldCharType="end"/>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3" o:spid="_x0000_s2056" o:spt="1" style="position:absolute;left:0pt;margin-left:206.55pt;margin-top:-22.1pt;height:35.15pt;width:34pt;mso-position-horizontal-relative:margin;z-index:25166438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t>1</w:t>
                </w:r>
                <w:r>
                  <w:rPr>
                    <w:rFonts w:ascii="Times New Roman" w:hAnsi="Times New Roman" w:cs="Times New Roman"/>
                    <w:sz w:val="24"/>
                    <w:szCs w:val="24"/>
                  </w:rPr>
                  <w:fldChar w:fldCharType="end"/>
                </w:r>
              </w:p>
            </w:txbxContent>
          </v:textbox>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等线" w:hAnsi="等线" w:eastAsia="等线" w:cs="黑体"/>
        <w:kern w:val="2"/>
        <w:sz w:val="18"/>
        <w:szCs w:val="18"/>
        <w:lang w:val="en-US" w:eastAsia="zh-CN" w:bidi="ar-SA"/>
      </w:rPr>
      <w:pict>
        <v:rect id="文本框 45" o:spid="_x0000_s2084" o:spt="1" style="position:absolute;left:0pt;margin-left:209.15pt;margin-top:-5.65pt;height:18.7pt;width:144pt;mso-position-horizontal-relative:margin;mso-wrap-style:none;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t>29</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25" o:spid="_x0000_s2049" o:spt="203" style="position:absolute;left:0pt;margin-top:29.75pt;height:32pt;width:157.5pt;mso-position-horizontal:left;mso-position-horizontal-relative:page;mso-position-vertical-relative:page;z-index:251660288;mso-width-relative:page;mso-height-relative:page;" coordorigin="1337,880" coordsize="3151,641">
          <o:lock v:ext="edit" position="f" selection="f" grouping="f" rotation="f" cropping="f" text="f" aspectratio="f"/>
          <v:rect id="矩形 1026" o:spid="_x0000_s2050"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27" o:spid="_x0000_s2051"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028" o:spid="_x0000_s2052" o:spt="203" style="position:absolute;left:0pt;margin-top:-58.6pt;height:58.95pt;width:595.3pt;mso-position-horizontal:center;mso-position-horizontal-relative:page;mso-position-vertical-relative:page;z-index:251659264;mso-width-relative:page;mso-height-relative:page;" coordorigin="881,505" coordsize="11931,1179">
          <o:lock v:ext="edit" position="f" selection="f" grouping="f" rotation="f" cropping="f" text="f" aspectratio="f"/>
          <v:rect id="矩形 1029" o:spid="_x0000_s2053"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54"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55"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68" o:spid="_x0000_s2077" o:spt="203" style="position:absolute;left:0pt;margin-left:2.5pt;margin-top:28.75pt;height:35.25pt;width:594.8pt;mso-position-horizontal-relative:page;mso-position-vertical-relative:page;z-index:251668480;mso-width-relative:page;mso-height-relative:page;" coordorigin="878,302" coordsize="11897,705">
          <o:lock v:ext="edit" position="f" selection="f" grouping="f" rotation="f" cropping="f" text="f" aspectratio="f"/>
          <v:rect id="矩形 1096" o:spid="_x0000_s2078" o:spt="1" style="position:absolute;left:878;top:920;height:87;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79" style="position:absolute;left:10148;top:410;height:516;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80" style="position:absolute;left:10437;top:302;height:663;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72" o:spid="_x0000_s2081" o:spt="203" style="position:absolute;left:0pt;margin-left:0pt;margin-top:29.75pt;height:32pt;width:280pt;mso-position-horizontal-relative:page;mso-position-vertical-relative:page;z-index:251669504;mso-width-relative:page;mso-height-relative:page;" coordorigin="2377,880" coordsize="5602,641">
          <o:lock v:ext="edit" position="f" selection="f" grouping="f" rotation="f" cropping="f" text="f" aspectratio="f"/>
          <v:rect id="矩形 1100" o:spid="_x0000_s2082" o:spt="1" style="position:absolute;left:2491;top:880;height:641;width:5488;"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rect>
          <v:rect id="矩形 1101" o:spid="_x0000_s2083" o:spt="1" style="position:absolute;left:2377;top:1044;height:330;width:211;"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76" o:spid="_x0000_s2070" o:spt="203" style="position:absolute;left:0pt;margin-left:0.75pt;margin-top:24.2pt;height:38.05pt;width:595.3pt;mso-position-horizontal-relative:page;mso-position-vertical-relative:page;z-index:251665408;mso-width-relative:page;mso-height-relative:page;" coordorigin="881,326" coordsize="11931,761">
          <o:lock v:ext="edit" position="f" selection="f" grouping="f" rotation="f" cropping="f" text="f" aspectratio="f"/>
          <v:rect id="矩形 1104" o:spid="_x0000_s2071" o:spt="1" style="position:absolute;left:881;top:993;height:94;width:11925;"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72" style="position:absolute;left:10177;top:443;height:556;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73" style="position:absolute;left:10467;top:326;height:715;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80" o:spid="_x0000_s2074" o:spt="203" style="position:absolute;left:0pt;margin-top:29.75pt;height:32pt;width:254.25pt;mso-position-horizontal:left;mso-position-horizontal-relative:page;mso-position-vertical-relative:page;z-index:251666432;mso-width-relative:page;mso-height-relative:page;" coordorigin="2158,880" coordsize="5087,641">
          <o:lock v:ext="edit" position="f" selection="f" grouping="f" rotation="f" cropping="f" text="f" aspectratio="f"/>
          <v:rect id="矩形 1108" o:spid="_x0000_s2075" o:spt="1" style="position:absolute;left:2262;top:880;height:641;width:4983;"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矩形 1109" o:spid="_x0000_s2076" o:spt="1" style="position:absolute;left:2158;top:1044;height:330;width:192;"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p>
    <w:pPr>
      <w:pStyle w:val="5"/>
    </w:pPr>
  </w:p>
  <w:p>
    <w:pPr>
      <w:pStyle w:val="5"/>
    </w:pPr>
  </w:p>
  <w:p>
    <w:pPr>
      <w:pStyle w:val="5"/>
    </w:pPr>
    <w:r>
      <w:rPr>
        <w:rFonts w:ascii="等线" w:hAnsi="等线" w:eastAsia="等线" w:cs="黑体"/>
        <w:kern w:val="2"/>
        <w:sz w:val="18"/>
        <w:szCs w:val="18"/>
        <w:lang w:val="en-US" w:eastAsia="zh-CN" w:bidi="ar-SA"/>
      </w:rPr>
      <w:pict>
        <v:group id="组合 1043" o:spid="_x0000_s2057" o:spt="203" style="position:absolute;left:0pt;margin-left:0pt;margin-top:53.75pt;height:31.5pt;width:594.8pt;mso-position-horizontal-relative:page;mso-position-vertical-relative:page;z-index:251661312;mso-width-relative:page;mso-height-relative:page;" coordorigin="878,270" coordsize="11897,630">
          <o:lock v:ext="edit" position="f" selection="f" grouping="f" rotation="f" cropping="f" text="f" aspectratio="f"/>
          <v:rect id="矩形 1044" o:spid="_x0000_s2058" o:spt="1" style="position:absolute;left:878;top:822;height:78;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59" style="position:absolute;left:10148;top:367;height:460;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60" style="position:absolute;left:10437;top:270;height:59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047" o:spid="_x0000_s2061" o:spt="203" style="position:absolute;left:0pt;margin-left:-1.8pt;margin-top:47.15pt;height:32pt;width:235.7pt;mso-position-horizontal-relative:page;mso-position-vertical-relative:page;z-index:251662336;mso-width-relative:page;mso-height-relative:page;" coordorigin="2001,880" coordsize="4715,641">
          <o:lock v:ext="edit" position="f" selection="f" grouping="f" rotation="f" cropping="f" text="f" aspectratio="f"/>
          <v:rect id="矩形 1048" o:spid="_x0000_s2062"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矩形 1049" o:spid="_x0000_s2063"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group id="组合 1061" o:spid="_x0000_s2065" o:spt="203" style="position:absolute;left:0pt;margin-left:-1.8pt;margin-top:59pt;height:32.8pt;width:596.85pt;mso-position-horizontal-relative:page;mso-position-vertical-relative:page;z-index:251670528;mso-width-relative:page;mso-height-relative:page;" coordorigin="878,281" coordsize="11937,656">
          <o:lock v:ext="edit" position="f" selection="f" grouping="f" rotation="f" cropping="f" text="f" aspectratio="f"/>
          <v:rect id="矩形 1089" o:spid="_x0000_s2066" o:spt="1" style="position:absolute;left:878;top:856;height:81;width:11892;" fillcolor="#FFD966" filled="t" o:preferrelative="t" stroked="f" coordsize="21600,21600">
            <v:path/>
            <v:fill on="t" focussize="0,0"/>
            <v:stroke on="f"/>
            <v:imagedata gain="65536f" blacklevel="0f" gamma="0" o:title=""/>
            <o:lock v:ext="edit" position="f" selection="f" grouping="f" rotation="f" cropping="f" text="f" aspectratio="f"/>
          </v:rect>
          <v:shape id="未知" o:spid="_x0000_s2067" style="position:absolute;left:10148;top:382;height:479;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未知" o:spid="_x0000_s2068" style="position:absolute;left:10437;top:281;height:616;width:2378;"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rect id="文本框 6" o:spid="_x0000_s2069" o:spt="1" style="position:absolute;left:0pt;margin-left:-83.75pt;margin-top:17.55pt;height:32.05pt;width:231pt;z-index:25167155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ascii="等线" w:hAnsi="等线" w:eastAsia="等线" w:cs="黑体"/>
                    <w:kern w:val="2"/>
                    <w:sz w:val="21"/>
                    <w:szCs w:val="22"/>
                    <w:lang w:val="en-US" w:eastAsia="zh-CN" w:bidi="ar-SA"/>
                  </w:rPr>
                  <w:pict>
                    <v:shape id="_x0000_i1025" o:spt="75" type="#_x0000_t75" style="height:16.5pt;width:8.25pt;" fillcolor="#FFFFFF" filled="f" o:preferrelative="t" stroked="f" coordsize="21600,21600">
                      <v:path/>
                      <v:fill on="f" color2="#FFFFFF" focussize="0,0"/>
                      <v:stroke on="f"/>
                      <v:imagedata r:id="rId1" gain="65536f" blacklevel="0f" gamma="0" o:title=""/>
                      <o:lock v:ext="edit" position="f" selection="f" grouping="f" rotation="f" cropping="f" text="f" aspectratio="t"/>
                      <w10:wrap type="none"/>
                      <w10:anchorlock/>
                    </v:shape>
                  </w:pict>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rect>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decimal"/>
      <w:suff w:val="nothing"/>
      <w:lvlText w:val="%1."/>
      <w:lvlJc w:val="left"/>
    </w:lvl>
  </w:abstractNum>
  <w:abstractNum w:abstractNumId="1">
    <w:nsid w:val="0000000B"/>
    <w:multiLevelType w:val="singleLevel"/>
    <w:tmpl w:val="0000000B"/>
    <w:lvl w:ilvl="0" w:tentative="0">
      <w:start w:val="5"/>
      <w:numFmt w:val="decimal"/>
      <w:suff w:val="nothing"/>
      <w:lvlText w:val="（%1）"/>
      <w:lvlJc w:val="left"/>
    </w:lvl>
  </w:abstractNum>
  <w:abstractNum w:abstractNumId="2">
    <w:nsid w:val="0000000C"/>
    <w:multiLevelType w:val="singleLevel"/>
    <w:tmpl w:val="0000000C"/>
    <w:lvl w:ilvl="0" w:tentative="0">
      <w:start w:val="3"/>
      <w:numFmt w:val="chineseCounting"/>
      <w:suff w:val="nothing"/>
      <w:lvlText w:val="（%1）"/>
      <w:lvlJc w:val="left"/>
      <w:rPr>
        <w:rFonts w:hint="eastAsia"/>
      </w:rPr>
    </w:lvl>
  </w:abstractNum>
  <w:abstractNum w:abstractNumId="3">
    <w:nsid w:val="0000000D"/>
    <w:multiLevelType w:val="singleLevel"/>
    <w:tmpl w:val="0000000D"/>
    <w:lvl w:ilvl="0" w:tentative="0">
      <w:start w:val="1"/>
      <w:numFmt w:val="decimal"/>
      <w:suff w:val="nothing"/>
      <w:lvlText w:val="（%1）"/>
      <w:lvlJc w:val="left"/>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TRjODI1NmQzZTY1OGI1ZDc3MDY3NjcyYzdlMWM4MTEifQ=="/>
  </w:docVars>
  <w:rsids>
    <w:rsidRoot w:val="00000000"/>
    <w:rsid w:val="6F5801B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qFormat/>
    <w:uiPriority w:val="0"/>
    <w:rPr>
      <w:rFonts w:ascii="仿宋_GB2312" w:hAnsi="仿宋_GB2312" w:eastAsia="仿宋_GB2312" w:cs="仿宋_GB2312"/>
      <w:sz w:val="32"/>
      <w:szCs w:val="32"/>
      <w:lang w:val="zh-CN" w:bidi="zh-CN"/>
    </w:rPr>
  </w:style>
  <w:style w:type="paragraph" w:styleId="4">
    <w:name w:val="footer"/>
    <w:basedOn w:val="1"/>
    <w:link w:val="8"/>
    <w:qFormat/>
    <w:uiPriority w:val="0"/>
    <w:pPr>
      <w:tabs>
        <w:tab w:val="center" w:pos="4153"/>
        <w:tab w:val="right" w:pos="8306"/>
      </w:tabs>
      <w:snapToGrid w:val="0"/>
      <w:jc w:val="left"/>
    </w:pPr>
    <w:rPr>
      <w:sz w:val="18"/>
      <w:szCs w:val="18"/>
    </w:rPr>
  </w:style>
  <w:style w:type="paragraph" w:styleId="5">
    <w:name w:val="header"/>
    <w:basedOn w:val="1"/>
    <w:link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ascii="等线" w:hAnsi="等线" w:eastAsia="等线"/>
      <w:sz w:val="18"/>
      <w:szCs w:val="18"/>
    </w:rPr>
  </w:style>
  <w:style w:type="character" w:customStyle="1" w:styleId="8">
    <w:name w:val="页脚 Char"/>
    <w:basedOn w:val="7"/>
    <w:link w:val="4"/>
    <w:semiHidden/>
    <w:uiPriority w:val="0"/>
    <w:rPr>
      <w:sz w:val="18"/>
      <w:szCs w:val="18"/>
    </w:rPr>
  </w:style>
  <w:style w:type="character" w:customStyle="1" w:styleId="9">
    <w:name w:val="页眉 Char"/>
    <w:basedOn w:val="7"/>
    <w:link w:val="5"/>
    <w:semiHidden/>
    <w:uiPriority w:val="0"/>
    <w:rPr>
      <w:rFonts w:ascii="等线" w:hAnsi="等线" w:eastAsia="等线"/>
      <w:sz w:val="18"/>
      <w:szCs w:val="18"/>
    </w:rPr>
  </w:style>
  <w:style w:type="paragraph" w:customStyle="1" w:styleId="10">
    <w:name w:val="批注框文本 Char Char"/>
    <w:basedOn w:val="1"/>
    <w:link w:val="13"/>
    <w:qFormat/>
    <w:uiPriority w:val="0"/>
    <w:rPr>
      <w:rFonts w:ascii="等线" w:hAnsi="等线" w:eastAsia="等线" w:cs="黑体"/>
      <w:kern w:val="2"/>
      <w:sz w:val="18"/>
      <w:szCs w:val="18"/>
    </w:rPr>
  </w:style>
  <w:style w:type="paragraph" w:customStyle="1" w:styleId="11">
    <w:name w:val="列出段落1"/>
    <w:basedOn w:val="1"/>
    <w:uiPriority w:val="0"/>
    <w:pPr>
      <w:spacing w:before="2"/>
      <w:ind w:left="119" w:right="434" w:firstLine="643"/>
    </w:pPr>
    <w:rPr>
      <w:rFonts w:ascii="仿宋_GB2312" w:hAnsi="仿宋_GB2312" w:eastAsia="仿宋_GB2312" w:cs="仿宋_GB2312"/>
      <w:lang w:val="zh-CN" w:bidi="zh-CN"/>
    </w:rPr>
  </w:style>
  <w:style w:type="paragraph" w:customStyle="1" w:styleId="12">
    <w:name w:val="无间隔1"/>
    <w:qFormat/>
    <w:uiPriority w:val="0"/>
    <w:pPr>
      <w:ind w:firstLine="200" w:firstLineChars="200"/>
    </w:pPr>
    <w:rPr>
      <w:rFonts w:ascii="Calibri" w:hAnsi="Calibri" w:eastAsia="仿宋_GB2312" w:cs="Calibri"/>
      <w:sz w:val="30"/>
      <w:szCs w:val="22"/>
      <w:lang w:val="en-US" w:eastAsia="zh-CN" w:bidi="ar-SA"/>
    </w:rPr>
  </w:style>
  <w:style w:type="character" w:customStyle="1" w:styleId="13">
    <w:name w:val="批注框文本 Char Char Char Char"/>
    <w:basedOn w:val="7"/>
    <w:link w:val="10"/>
    <w:semiHidden/>
    <w:qFormat/>
    <w:uiPriority w:val="0"/>
    <w:rPr>
      <w:rFonts w:ascii="等线" w:hAnsi="等线" w:eastAsia="等线"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bmp"/><Relationship Id="rId22" Type="http://schemas.openxmlformats.org/officeDocument/2006/relationships/theme" Target="theme/theme1.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9.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050" textRotate="1"/>
    <customShpInfo spid="_x0000_s2051" textRotate="1"/>
    <customShpInfo spid="_x0000_s2049"/>
    <customShpInfo spid="_x0000_s2053" textRotate="1"/>
    <customShpInfo spid="_x0000_s2054" textRotate="1"/>
    <customShpInfo spid="_x0000_s2055" textRotate="1"/>
    <customShpInfo spid="_x0000_s2052"/>
    <customShpInfo spid="_x0000_s2058" textRotate="1"/>
    <customShpInfo spid="_x0000_s2059" textRotate="1"/>
    <customShpInfo spid="_x0000_s2060" textRotate="1"/>
    <customShpInfo spid="_x0000_s2057"/>
    <customShpInfo spid="_x0000_s2062" textRotate="1"/>
    <customShpInfo spid="_x0000_s2063" textRotate="1"/>
    <customShpInfo spid="_x0000_s2061"/>
    <customShpInfo spid="_x0000_s2064" textRotate="1"/>
    <customShpInfo spid="_x0000_s2056" textRotate="1"/>
    <customShpInfo spid="_x0000_s2066" textRotate="1"/>
    <customShpInfo spid="_x0000_s2067" textRotate="1"/>
    <customShpInfo spid="_x0000_s2068" textRotate="1"/>
    <customShpInfo spid="_x0000_s2065"/>
    <customShpInfo spid="_x0000_s2069" textRotate="1"/>
    <customShpInfo spid="_x0000_s2078" textRotate="1"/>
    <customShpInfo spid="_x0000_s2079" textRotate="1"/>
    <customShpInfo spid="_x0000_s2080" textRotate="1"/>
    <customShpInfo spid="_x0000_s2077"/>
    <customShpInfo spid="_x0000_s2082" textRotate="1"/>
    <customShpInfo spid="_x0000_s2083" textRotate="1"/>
    <customShpInfo spid="_x0000_s2081"/>
    <customShpInfo spid="_x0000_s2071" textRotate="1"/>
    <customShpInfo spid="_x0000_s2072" textRotate="1"/>
    <customShpInfo spid="_x0000_s2073" textRotate="1"/>
    <customShpInfo spid="_x0000_s2070"/>
    <customShpInfo spid="_x0000_s2075" textRotate="1"/>
    <customShpInfo spid="_x0000_s2076" textRotate="1"/>
    <customShpInfo spid="_x0000_s2074"/>
    <customShpInfo spid="_x0000_s2084" textRotate="1"/>
    <customShpInfo spid="_x0000_s1029" textRotate="1"/>
    <customShpInfo spid="_x0000_s1026" textRotate="1"/>
    <customShpInfo spid="_x0000_s1031" textRotate="1"/>
    <customShpInfo spid="_x0000_s1030" textRotate="1"/>
    <customShpInfo spid="_x0000_s1081" textRotate="1"/>
    <customShpInfo spid="_x0000_s1082" textRotate="1"/>
    <customShpInfo spid="_x0000_s1027"/>
    <customShpInfo spid="_x0000_s1083" textRotate="1"/>
    <customShpInfo spid="_x0000_s1084" textRotate="1"/>
    <customShpInfo spid="_x0000_s1025"/>
    <customShpInfo spid="_x0000_s1028" textRotate="1"/>
    <customShpInfo spid="_x0000_s1032" textRotate="1"/>
    <customShpInfo spid="_x0000_s1033" textRotate="1"/>
    <customShpInfo spid="_x0000_s1034" textRotate="1"/>
    <customShpInfo spid="_x0000_s1038"/>
    <customShpInfo spid="_x0000_s1039"/>
    <customShpInfo spid="_x0000_s1040"/>
    <customShpInfo spid="_x0000_s1041"/>
    <customShpInfo spid="_x0000_s1042"/>
    <customShpInfo spid="_x0000_s1035" textRotate="1"/>
    <customShpInfo spid="_x0000_s1036" textRotate="1"/>
    <customShpInfo spid="_x0000_s103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51</Pages>
  <Words>15902</Words>
  <Characters>22061</Characters>
  <Lines>79</Lines>
  <Paragraphs>22</Paragraphs>
  <TotalTime>0</TotalTime>
  <ScaleCrop>false</ScaleCrop>
  <LinksUpToDate>false</LinksUpToDate>
  <CharactersWithSpaces>22612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2020-08-29T22:30:00Z</dcterms:created>
  <dc:creator>王明新TIAD</dc:creator>
  <cp:lastModifiedBy>wyr</cp:lastModifiedBy>
  <cp:lastPrinted>2020-09-05T17:29:00Z</cp:lastPrinted>
  <dcterms:modified xsi:type="dcterms:W3CDTF">2023-06-07T07:28:01Z</dcterms:modified>
  <dc:title>user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28F2039923CF46B781DA91E001E534B7_12</vt:lpwstr>
  </property>
</Properties>
</file>