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jc w:val="center"/>
        <w:outlineLvl w:val="0"/>
        <w:rPr>
          <w:rFonts w:ascii="宋体" w:hAnsi="宋体" w:cs="宋体"/>
          <w:b/>
          <w:bCs/>
          <w:kern w:val="0"/>
          <w:sz w:val="44"/>
          <w:szCs w:val="44"/>
        </w:rPr>
      </w:pPr>
      <w:r>
        <w:rPr>
          <w:rFonts w:hint="eastAsia" w:ascii="宋体" w:hAnsi="宋体" w:cs="宋体"/>
          <w:b/>
          <w:bCs/>
          <w:kern w:val="0"/>
          <w:sz w:val="44"/>
          <w:szCs w:val="44"/>
        </w:rPr>
        <w:t>石家庄市政府投资项目代建中心</w:t>
      </w:r>
    </w:p>
    <w:p>
      <w:pPr>
        <w:adjustRightInd w:val="0"/>
        <w:snapToGrid w:val="0"/>
        <w:spacing w:line="560" w:lineRule="exact"/>
        <w:jc w:val="center"/>
        <w:outlineLvl w:val="0"/>
        <w:rPr>
          <w:rFonts w:ascii="宋体" w:hAnsi="宋体" w:cs="宋体"/>
          <w:b/>
          <w:bCs/>
          <w:kern w:val="0"/>
          <w:sz w:val="44"/>
          <w:szCs w:val="44"/>
        </w:rPr>
      </w:pPr>
      <w:r>
        <w:rPr>
          <w:rFonts w:hint="eastAsia" w:ascii="宋体" w:hAnsi="宋体" w:cs="宋体"/>
          <w:b/>
          <w:bCs/>
          <w:kern w:val="0"/>
          <w:sz w:val="44"/>
          <w:szCs w:val="44"/>
        </w:rPr>
        <w:t>2022年度整体支出绩效自评报告</w:t>
      </w:r>
    </w:p>
    <w:p>
      <w:pPr>
        <w:adjustRightInd w:val="0"/>
        <w:snapToGrid w:val="0"/>
        <w:spacing w:line="560" w:lineRule="exact"/>
        <w:jc w:val="center"/>
        <w:rPr>
          <w:rFonts w:ascii="华文楷体" w:eastAsia="华文楷体"/>
          <w:kern w:val="0"/>
          <w:sz w:val="32"/>
          <w:szCs w:val="32"/>
        </w:rPr>
      </w:pPr>
    </w:p>
    <w:p>
      <w:pPr>
        <w:adjustRightInd w:val="0"/>
        <w:snapToGrid w:val="0"/>
        <w:spacing w:line="560" w:lineRule="exact"/>
        <w:ind w:firstLine="640" w:firstLineChars="200"/>
        <w:rPr>
          <w:rFonts w:ascii="仿宋" w:hAnsi="仿宋" w:eastAsia="仿宋"/>
          <w:kern w:val="0"/>
          <w:sz w:val="32"/>
          <w:szCs w:val="32"/>
        </w:rPr>
      </w:pPr>
      <w:r>
        <w:rPr>
          <w:rFonts w:hint="eastAsia" w:ascii="仿宋" w:hAnsi="仿宋" w:eastAsia="仿宋"/>
          <w:kern w:val="0"/>
          <w:sz w:val="32"/>
          <w:szCs w:val="32"/>
        </w:rPr>
        <w:t>为贯彻落实石家庄市委、市政府《关于全面落实预算绩效管理的实施意见》（石发〔2019〕8号）文件精神，遵循“科学性、规范性、客观性和公正性”的原则，石家庄市政府投资项目代建中心对2022年部门整体支出情况实施了绩效自评价，形成了部门整体支出绩效自评报告，现将自评情况汇报如下：</w:t>
      </w:r>
    </w:p>
    <w:p>
      <w:pPr>
        <w:adjustRightInd w:val="0"/>
        <w:snapToGrid w:val="0"/>
        <w:spacing w:line="560" w:lineRule="exact"/>
        <w:ind w:firstLine="640" w:firstLineChars="200"/>
        <w:outlineLvl w:val="0"/>
        <w:rPr>
          <w:rFonts w:ascii="黑体" w:hAnsi="黑体" w:eastAsia="黑体"/>
          <w:b/>
          <w:bCs/>
          <w:kern w:val="0"/>
          <w:sz w:val="32"/>
          <w:szCs w:val="36"/>
        </w:rPr>
      </w:pPr>
      <w:r>
        <w:rPr>
          <w:rFonts w:hint="eastAsia" w:ascii="黑体" w:hAnsi="黑体" w:eastAsia="黑体"/>
          <w:kern w:val="0"/>
          <w:sz w:val="32"/>
          <w:szCs w:val="32"/>
        </w:rPr>
        <w:t>一、部门</w:t>
      </w:r>
      <w:r>
        <w:rPr>
          <w:rFonts w:hint="eastAsia" w:ascii="黑体" w:hAnsi="黑体" w:eastAsia="黑体"/>
          <w:kern w:val="0"/>
          <w:sz w:val="32"/>
          <w:szCs w:val="36"/>
        </w:rPr>
        <w:t>基本情况</w:t>
      </w:r>
    </w:p>
    <w:p>
      <w:pPr>
        <w:adjustRightInd w:val="0"/>
        <w:snapToGrid w:val="0"/>
        <w:spacing w:line="560" w:lineRule="exact"/>
        <w:ind w:firstLine="640" w:firstLineChars="200"/>
        <w:outlineLvl w:val="1"/>
        <w:rPr>
          <w:rFonts w:ascii="楷体" w:hAnsi="楷体" w:eastAsia="楷体" w:cs="楷体_GB2312"/>
          <w:bCs/>
          <w:kern w:val="0"/>
          <w:sz w:val="32"/>
          <w:szCs w:val="32"/>
        </w:rPr>
      </w:pPr>
      <w:r>
        <w:rPr>
          <w:rFonts w:hint="eastAsia" w:ascii="楷体" w:hAnsi="楷体" w:eastAsia="楷体" w:cs="楷体_GB2312"/>
          <w:bCs/>
          <w:kern w:val="0"/>
          <w:sz w:val="32"/>
          <w:szCs w:val="32"/>
        </w:rPr>
        <w:t>（一）部门概况</w:t>
      </w:r>
    </w:p>
    <w:p>
      <w:pPr>
        <w:adjustRightInd w:val="0"/>
        <w:snapToGrid w:val="0"/>
        <w:spacing w:line="560" w:lineRule="exact"/>
        <w:ind w:firstLine="640" w:firstLineChars="200"/>
        <w:outlineLvl w:val="2"/>
        <w:rPr>
          <w:rFonts w:ascii="仿宋" w:hAnsi="仿宋" w:eastAsia="仿宋" w:cs="仿宋"/>
          <w:kern w:val="0"/>
          <w:sz w:val="32"/>
          <w:szCs w:val="32"/>
        </w:rPr>
      </w:pPr>
      <w:r>
        <w:rPr>
          <w:rFonts w:hint="eastAsia" w:ascii="仿宋" w:hAnsi="仿宋" w:eastAsia="仿宋" w:cs="仿宋"/>
          <w:kern w:val="0"/>
          <w:sz w:val="32"/>
          <w:szCs w:val="32"/>
        </w:rPr>
        <w:t>1.部门职能</w:t>
      </w:r>
    </w:p>
    <w:p>
      <w:pPr>
        <w:adjustRightInd w:val="0"/>
        <w:snapToGrid w:val="0"/>
        <w:spacing w:line="560" w:lineRule="exact"/>
        <w:ind w:firstLine="640" w:firstLineChars="200"/>
        <w:rPr>
          <w:rFonts w:ascii="仿宋" w:hAnsi="仿宋" w:eastAsia="仿宋" w:cs="仿宋"/>
          <w:kern w:val="0"/>
          <w:sz w:val="32"/>
          <w:szCs w:val="32"/>
        </w:rPr>
      </w:pPr>
      <w:r>
        <w:rPr>
          <w:rFonts w:hint="eastAsia" w:ascii="仿宋" w:hAnsi="仿宋" w:eastAsia="仿宋" w:cs="仿宋"/>
          <w:kern w:val="0"/>
          <w:sz w:val="32"/>
          <w:szCs w:val="32"/>
        </w:rPr>
        <w:t>根据《石家庄市机构编制委员会关于组建市政府投资项目代建中心的批复》（石机编</w:t>
      </w:r>
      <w:r>
        <w:rPr>
          <w:rFonts w:hint="eastAsia" w:ascii="仿宋" w:hAnsi="仿宋" w:eastAsia="仿宋" w:cs="仿宋"/>
          <w:kern w:val="0"/>
          <w:sz w:val="32"/>
          <w:szCs w:val="32"/>
          <w:lang w:eastAsia="zh-CN"/>
        </w:rPr>
        <w:t>〔</w:t>
      </w:r>
      <w:r>
        <w:rPr>
          <w:rFonts w:hint="eastAsia" w:ascii="仿宋" w:hAnsi="仿宋" w:eastAsia="仿宋" w:cs="仿宋"/>
          <w:kern w:val="0"/>
          <w:sz w:val="32"/>
          <w:szCs w:val="32"/>
        </w:rPr>
        <w:t>2017</w:t>
      </w:r>
      <w:r>
        <w:rPr>
          <w:rFonts w:hint="eastAsia" w:ascii="仿宋" w:hAnsi="仿宋" w:eastAsia="仿宋"/>
          <w:kern w:val="0"/>
          <w:sz w:val="32"/>
          <w:szCs w:val="32"/>
        </w:rPr>
        <w:t>〕</w:t>
      </w:r>
      <w:r>
        <w:rPr>
          <w:rFonts w:hint="eastAsia" w:ascii="仿宋" w:hAnsi="仿宋" w:eastAsia="仿宋" w:cs="仿宋"/>
          <w:kern w:val="0"/>
          <w:sz w:val="32"/>
          <w:szCs w:val="32"/>
        </w:rPr>
        <w:t>2号）和《石家庄市政府投资项目代建中心职能配置、内设机构和人员编制规定》，石家庄市政府投资项目代建中心（以下简称“我单位”或“中心”）成立于2017年，是直属市政府的正处级事业单位（公益一类），负责政府投资代建项目</w:t>
      </w:r>
      <w:r>
        <w:rPr>
          <w:rStyle w:val="16"/>
          <w:rFonts w:hint="eastAsia" w:ascii="仿宋" w:hAnsi="仿宋" w:eastAsia="仿宋" w:cs="仿宋"/>
          <w:kern w:val="0"/>
          <w:sz w:val="32"/>
          <w:szCs w:val="32"/>
        </w:rPr>
        <w:footnoteReference w:id="0"/>
      </w:r>
      <w:r>
        <w:rPr>
          <w:rFonts w:hint="eastAsia" w:ascii="仿宋" w:hAnsi="仿宋" w:eastAsia="仿宋" w:cs="仿宋"/>
          <w:kern w:val="0"/>
          <w:sz w:val="32"/>
          <w:szCs w:val="32"/>
        </w:rPr>
        <w:t>的建设管理，项目可行性研究报告批复后，代建管理机构履行项目建设管理单位职责实行代建，完成项目竣工验收后移交项目使用单位。</w:t>
      </w:r>
    </w:p>
    <w:p>
      <w:pPr>
        <w:adjustRightInd w:val="0"/>
        <w:snapToGrid w:val="0"/>
        <w:spacing w:line="560" w:lineRule="exact"/>
        <w:ind w:firstLine="640" w:firstLineChars="200"/>
        <w:outlineLvl w:val="2"/>
        <w:rPr>
          <w:rFonts w:ascii="仿宋" w:hAnsi="仿宋" w:eastAsia="仿宋" w:cs="仿宋"/>
          <w:kern w:val="0"/>
          <w:sz w:val="32"/>
          <w:szCs w:val="32"/>
        </w:rPr>
      </w:pPr>
      <w:r>
        <w:rPr>
          <w:rFonts w:hint="eastAsia" w:ascii="仿宋" w:hAnsi="仿宋" w:eastAsia="仿宋" w:cs="仿宋"/>
          <w:kern w:val="0"/>
          <w:sz w:val="32"/>
          <w:szCs w:val="32"/>
        </w:rPr>
        <w:t>2.组织机构</w:t>
      </w:r>
    </w:p>
    <w:p>
      <w:pPr>
        <w:adjustRightInd w:val="0"/>
        <w:snapToGrid w:val="0"/>
        <w:spacing w:line="560" w:lineRule="exact"/>
        <w:ind w:firstLine="640" w:firstLineChars="200"/>
        <w:rPr>
          <w:rFonts w:ascii="仿宋" w:hAnsi="仿宋" w:eastAsia="仿宋" w:cs="仿宋"/>
          <w:kern w:val="0"/>
          <w:sz w:val="32"/>
          <w:szCs w:val="32"/>
        </w:rPr>
      </w:pPr>
      <w:r>
        <w:rPr>
          <w:rFonts w:hint="eastAsia" w:ascii="仿宋" w:hAnsi="仿宋" w:eastAsia="仿宋" w:cs="仿宋"/>
          <w:kern w:val="0"/>
          <w:sz w:val="32"/>
          <w:szCs w:val="32"/>
        </w:rPr>
        <w:t>我单位内设10个科室，其中包括办公室、计划财务和后评价科、审计科、工程技术科（总工办）、招标合同科、造价审查科、工程一科、工程二科、工程三科、项目审核科。各科室主要职责见表1。</w:t>
      </w:r>
    </w:p>
    <w:p>
      <w:pPr>
        <w:adjustRightInd w:val="0"/>
        <w:snapToGrid w:val="0"/>
        <w:spacing w:line="560" w:lineRule="exact"/>
        <w:jc w:val="center"/>
        <w:rPr>
          <w:rFonts w:ascii="黑体" w:hAnsi="黑体" w:eastAsia="黑体"/>
          <w:kern w:val="0"/>
          <w:sz w:val="28"/>
          <w:szCs w:val="28"/>
        </w:rPr>
      </w:pPr>
      <w:r>
        <w:rPr>
          <w:rFonts w:hint="eastAsia" w:ascii="黑体" w:hAnsi="黑体" w:eastAsia="黑体"/>
          <w:kern w:val="0"/>
          <w:sz w:val="28"/>
          <w:szCs w:val="28"/>
        </w:rPr>
        <w:t>表1：各科室职责一览表</w:t>
      </w:r>
    </w:p>
    <w:tbl>
      <w:tblPr>
        <w:tblStyle w:val="12"/>
        <w:tblW w:w="4997" w:type="pct"/>
        <w:jc w:val="center"/>
        <w:tblLayout w:type="autofit"/>
        <w:tblCellMar>
          <w:top w:w="0" w:type="dxa"/>
          <w:left w:w="108" w:type="dxa"/>
          <w:bottom w:w="0" w:type="dxa"/>
          <w:right w:w="108" w:type="dxa"/>
        </w:tblCellMar>
      </w:tblPr>
      <w:tblGrid>
        <w:gridCol w:w="750"/>
        <w:gridCol w:w="1596"/>
        <w:gridCol w:w="6710"/>
      </w:tblGrid>
      <w:tr>
        <w:tblPrEx>
          <w:tblCellMar>
            <w:top w:w="0" w:type="dxa"/>
            <w:left w:w="108" w:type="dxa"/>
            <w:bottom w:w="0" w:type="dxa"/>
            <w:right w:w="108" w:type="dxa"/>
          </w:tblCellMar>
        </w:tblPrEx>
        <w:trPr>
          <w:trHeight w:val="567" w:hRule="atLeast"/>
          <w:tblHeader/>
          <w:jc w:val="center"/>
        </w:trPr>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ascii="宋体" w:hAnsi="宋体" w:cs="宋体"/>
                <w:b/>
                <w:bCs/>
                <w:color w:val="000000"/>
                <w:kern w:val="0"/>
                <w:sz w:val="20"/>
                <w:szCs w:val="20"/>
              </w:rPr>
            </w:pPr>
            <w:r>
              <w:rPr>
                <w:rFonts w:hint="eastAsia" w:ascii="宋体" w:hAnsi="宋体" w:cs="宋体"/>
                <w:b/>
                <w:bCs/>
                <w:color w:val="000000"/>
                <w:kern w:val="0"/>
                <w:sz w:val="20"/>
                <w:szCs w:val="20"/>
                <w:lang w:bidi="ar"/>
              </w:rPr>
              <w:t>序号</w:t>
            </w:r>
          </w:p>
        </w:tc>
        <w:tc>
          <w:tcPr>
            <w:tcW w:w="881"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ascii="宋体" w:hAnsi="宋体" w:cs="宋体"/>
                <w:b/>
                <w:bCs/>
                <w:color w:val="000000"/>
                <w:kern w:val="0"/>
                <w:sz w:val="20"/>
                <w:szCs w:val="20"/>
              </w:rPr>
            </w:pPr>
            <w:r>
              <w:rPr>
                <w:rFonts w:hint="eastAsia" w:ascii="宋体" w:hAnsi="宋体" w:cs="宋体"/>
                <w:b/>
                <w:bCs/>
                <w:color w:val="000000"/>
                <w:kern w:val="0"/>
                <w:sz w:val="20"/>
                <w:szCs w:val="20"/>
                <w:lang w:bidi="ar"/>
              </w:rPr>
              <w:t>科室</w:t>
            </w:r>
          </w:p>
        </w:tc>
        <w:tc>
          <w:tcPr>
            <w:tcW w:w="3704"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ascii="宋体" w:hAnsi="宋体" w:cs="宋体"/>
                <w:b/>
                <w:bCs/>
                <w:color w:val="000000"/>
                <w:kern w:val="0"/>
                <w:sz w:val="20"/>
                <w:szCs w:val="20"/>
              </w:rPr>
            </w:pPr>
            <w:r>
              <w:rPr>
                <w:rFonts w:hint="eastAsia" w:ascii="宋体" w:hAnsi="宋体" w:cs="宋体"/>
                <w:b/>
                <w:bCs/>
                <w:color w:val="000000"/>
                <w:kern w:val="0"/>
                <w:sz w:val="20"/>
                <w:szCs w:val="20"/>
                <w:lang w:bidi="ar"/>
              </w:rPr>
              <w:t>科室职责</w:t>
            </w:r>
          </w:p>
        </w:tc>
      </w:tr>
      <w:tr>
        <w:tblPrEx>
          <w:tblCellMar>
            <w:top w:w="0" w:type="dxa"/>
            <w:left w:w="108" w:type="dxa"/>
            <w:bottom w:w="0" w:type="dxa"/>
            <w:right w:w="108" w:type="dxa"/>
          </w:tblCellMar>
        </w:tblPrEx>
        <w:trPr>
          <w:trHeight w:val="2721" w:hRule="atLeast"/>
          <w:jc w:val="center"/>
        </w:trPr>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1</w:t>
            </w:r>
          </w:p>
        </w:tc>
        <w:tc>
          <w:tcPr>
            <w:tcW w:w="881"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办公室</w:t>
            </w:r>
          </w:p>
        </w:tc>
        <w:tc>
          <w:tcPr>
            <w:tcW w:w="3704"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left"/>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负责中心日常工作的综合协调和督查督办；负责中心文电运转、会务组织、机要保密、档案管理、信访维稳、安全稳定、国家安全、重大风险防范、政务公开、后勤保障等工作；负责起草中心重要文件、综合文稿和领导讲话；负责中心国有资产管理工作；负责承办人大代表建议、政协委员提案答复工作；负责新闻宣传、网站建设等工作；负责中心老干部服务工作，指导所属单位老干部服务工作；负责中心和所属单位的机构编制、人事管理、教育培训工作；负责所属单位领导班子建设和科级干部管理；负责中心平安建设、意识形态工作；负责中心及直属单位党群工作；负责中心及下属单位的内部纪检监察工作；负责监督各项招标事宜；负责中心党组交办的其他工作。</w:t>
            </w:r>
          </w:p>
        </w:tc>
      </w:tr>
      <w:tr>
        <w:tblPrEx>
          <w:tblCellMar>
            <w:top w:w="0" w:type="dxa"/>
            <w:left w:w="108" w:type="dxa"/>
            <w:bottom w:w="0" w:type="dxa"/>
            <w:right w:w="108" w:type="dxa"/>
          </w:tblCellMar>
        </w:tblPrEx>
        <w:trPr>
          <w:trHeight w:val="2154" w:hRule="atLeast"/>
          <w:jc w:val="center"/>
        </w:trPr>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2</w:t>
            </w:r>
          </w:p>
        </w:tc>
        <w:tc>
          <w:tcPr>
            <w:tcW w:w="881"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计划财务和后评价科</w:t>
            </w:r>
          </w:p>
        </w:tc>
        <w:tc>
          <w:tcPr>
            <w:tcW w:w="3704"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left"/>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负责中心财务、代建项目资金的管理、预决算编报和银行账户管理有关事宜；负责编报代建项目用款计划；负责与市财政局接洽代建项目工程款拨入事宜；负责代建项目工程款拨付工作；负责代建项目履约保证金等资金的管理工作；负责新承接代建项目的对接沟通工作；负责中心人员工资福利管理、报批、发放及各类社会保险和公积金核算缴存工作；负责中心内控工作；负责中心及代建项目预算绩效评价工作；牵头负责代建项目保障农民工工资支付和根治拖欠农民工工资工作；负责中心党组交办的其他工作。</w:t>
            </w:r>
          </w:p>
        </w:tc>
      </w:tr>
      <w:tr>
        <w:tblPrEx>
          <w:tblCellMar>
            <w:top w:w="0" w:type="dxa"/>
            <w:left w:w="108" w:type="dxa"/>
            <w:bottom w:w="0" w:type="dxa"/>
            <w:right w:w="108" w:type="dxa"/>
          </w:tblCellMar>
        </w:tblPrEx>
        <w:trPr>
          <w:trHeight w:val="1757" w:hRule="atLeast"/>
          <w:jc w:val="center"/>
        </w:trPr>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3</w:t>
            </w:r>
          </w:p>
        </w:tc>
        <w:tc>
          <w:tcPr>
            <w:tcW w:w="881"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审计科</w:t>
            </w:r>
          </w:p>
        </w:tc>
        <w:tc>
          <w:tcPr>
            <w:tcW w:w="3704"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left"/>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负责本单位及代建项目财务收支的审计工作；负责对重点代建项目进行跟踪审计；负责对各科室和下属单位贯彻落实国家、省、市重大政策措施及中心重大决策部署情况和执行国家基本建设程序、招投标等法律法规情况进行审计及审计调查；负责依法依规组织对参建单位项目管理工作进行审计及审计调查；在市审计机关的指导下开展相关审计工作；配合市纪委监委派驻机构做好纪检监察工作；负责中心党组交办的其他工作。</w:t>
            </w:r>
          </w:p>
        </w:tc>
      </w:tr>
      <w:tr>
        <w:tblPrEx>
          <w:tblCellMar>
            <w:top w:w="0" w:type="dxa"/>
            <w:left w:w="108" w:type="dxa"/>
            <w:bottom w:w="0" w:type="dxa"/>
            <w:right w:w="108" w:type="dxa"/>
          </w:tblCellMar>
        </w:tblPrEx>
        <w:trPr>
          <w:trHeight w:val="2835" w:hRule="atLeast"/>
          <w:jc w:val="center"/>
        </w:trPr>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4</w:t>
            </w:r>
          </w:p>
        </w:tc>
        <w:tc>
          <w:tcPr>
            <w:tcW w:w="881"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工程技术科</w:t>
            </w:r>
          </w:p>
          <w:p>
            <w:pPr>
              <w:adjustRightInd w:val="0"/>
              <w:snapToGrid w:val="0"/>
              <w:jc w:val="center"/>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（总工办）</w:t>
            </w:r>
          </w:p>
        </w:tc>
        <w:tc>
          <w:tcPr>
            <w:tcW w:w="3704"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left"/>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负责中心技术委员会的日常工作；牵头负责设计变更的管理工作；牵头负责代建项目工地标准化管理、大气污染防治和安全、质量等监督管理工作；负责项目管理交流、管理制度的制定，以及落实情况的督导、考核、检查与奖惩；对索赔、工期延期等问题进行审核；负责新技术、新工艺、新材料在代建项目中的推广与应用；负责组织工程技术培训与考察、业务对外交流活动；负责工程设备材料库的管理工作；负责项目成果、奖项的申报及管理工作；负责代建项目工程档案的管理工作，指导工程科室办理项目档案移交工作；负责中心专业工程技术人员的调配工作；创办工程信息简报；参与制定重大施工技术方案和重大质量事故的处理方案；参与代建项目竣工验收工作；负责中心党组交办的其他工作。</w:t>
            </w:r>
          </w:p>
        </w:tc>
      </w:tr>
      <w:tr>
        <w:tblPrEx>
          <w:tblCellMar>
            <w:top w:w="0" w:type="dxa"/>
            <w:left w:w="108" w:type="dxa"/>
            <w:bottom w:w="0" w:type="dxa"/>
            <w:right w:w="108" w:type="dxa"/>
          </w:tblCellMar>
        </w:tblPrEx>
        <w:trPr>
          <w:trHeight w:val="1757" w:hRule="atLeast"/>
          <w:jc w:val="center"/>
        </w:trPr>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5</w:t>
            </w:r>
          </w:p>
        </w:tc>
        <w:tc>
          <w:tcPr>
            <w:tcW w:w="881"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招标合同科</w:t>
            </w:r>
          </w:p>
        </w:tc>
        <w:tc>
          <w:tcPr>
            <w:tcW w:w="3704"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left"/>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负责中心招标采购委员会的日常工作；负责项目施工招标标段划分工作；负责结合项目进度计划编制招标（采购）方案；负责代建项目的勘察、设计、施工、监理、重要设备和材料的招标（采购）工作；负责合同（协议）审查、编号、登记及备案工作；负责招标代理机构的管理工作；负责中心法律顾问的沟通联络工作；负责处理合同争议理赔；负责中心党组交办的其他工作。</w:t>
            </w:r>
          </w:p>
        </w:tc>
      </w:tr>
      <w:tr>
        <w:tblPrEx>
          <w:tblCellMar>
            <w:top w:w="0" w:type="dxa"/>
            <w:left w:w="108" w:type="dxa"/>
            <w:bottom w:w="0" w:type="dxa"/>
            <w:right w:w="108" w:type="dxa"/>
          </w:tblCellMar>
        </w:tblPrEx>
        <w:trPr>
          <w:trHeight w:val="1417" w:hRule="atLeast"/>
          <w:jc w:val="center"/>
        </w:trPr>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6</w:t>
            </w:r>
          </w:p>
        </w:tc>
        <w:tc>
          <w:tcPr>
            <w:tcW w:w="881"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造价审查科</w:t>
            </w:r>
          </w:p>
        </w:tc>
        <w:tc>
          <w:tcPr>
            <w:tcW w:w="3704"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left"/>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负责代建项目工程量、工程款审核，配合编制代建项目用款计划；指导代建项目投资估算、工程概算的编制工作；负责因造价引起的合同争议的初步审核；负责对代建项目结算进行审核及报审；负责工程造价信息采集与建筑材料及设备的价格审核工作；负责委托造价咨询机构进行咨询服务；参与设计变更及签证工作；负责中心党组交办的其他工作。</w:t>
            </w:r>
          </w:p>
        </w:tc>
      </w:tr>
      <w:tr>
        <w:tblPrEx>
          <w:tblCellMar>
            <w:top w:w="0" w:type="dxa"/>
            <w:left w:w="108" w:type="dxa"/>
            <w:bottom w:w="0" w:type="dxa"/>
            <w:right w:w="108" w:type="dxa"/>
          </w:tblCellMar>
        </w:tblPrEx>
        <w:trPr>
          <w:trHeight w:val="3047" w:hRule="atLeast"/>
          <w:jc w:val="center"/>
        </w:trPr>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7</w:t>
            </w:r>
          </w:p>
        </w:tc>
        <w:tc>
          <w:tcPr>
            <w:tcW w:w="881"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工程一科</w:t>
            </w:r>
          </w:p>
        </w:tc>
        <w:tc>
          <w:tcPr>
            <w:tcW w:w="3704"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left"/>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负责代建项目的初步设计文件或概算编制，并配合使用单位做好报审工作；负责代建项目技术方案的论证工作；负责代建项目施工图设计及预算编制，组织报审；负责代建工程合同的起草、签订工作；负责代建项目相关审批、基础设施接入、报验等手续办理工作；负责代建项目建设全过程管理；负责代建项目工地标准化管理、大气污染防治和安全、质量等监督管理工作；负责代建项目保障农民工工资支付和根治拖欠农民工工资监督管理工作；负责提出代建项目用款计划，参与代建项目结算、决算工作；负责监督合同履约情况，并及时提出反馈意见；负责监督协调代建项目农民工工资支付工作；负责监督参建单位履行职责，将代建过程中的违法、违规行为及时报告有关行政主管部门；负责组织代建项目竣工验收、使用移交等工作；负责中心党组交办的其他工作。</w:t>
            </w:r>
          </w:p>
        </w:tc>
      </w:tr>
      <w:tr>
        <w:tblPrEx>
          <w:tblCellMar>
            <w:top w:w="0" w:type="dxa"/>
            <w:left w:w="108" w:type="dxa"/>
            <w:bottom w:w="0" w:type="dxa"/>
            <w:right w:w="108" w:type="dxa"/>
          </w:tblCellMar>
        </w:tblPrEx>
        <w:trPr>
          <w:trHeight w:val="567" w:hRule="atLeast"/>
          <w:jc w:val="center"/>
        </w:trPr>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8</w:t>
            </w:r>
          </w:p>
        </w:tc>
        <w:tc>
          <w:tcPr>
            <w:tcW w:w="881"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工程二科</w:t>
            </w:r>
          </w:p>
        </w:tc>
        <w:tc>
          <w:tcPr>
            <w:tcW w:w="3704"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left"/>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同工程一科。</w:t>
            </w:r>
          </w:p>
        </w:tc>
      </w:tr>
      <w:tr>
        <w:tblPrEx>
          <w:tblCellMar>
            <w:top w:w="0" w:type="dxa"/>
            <w:left w:w="108" w:type="dxa"/>
            <w:bottom w:w="0" w:type="dxa"/>
            <w:right w:w="108" w:type="dxa"/>
          </w:tblCellMar>
        </w:tblPrEx>
        <w:trPr>
          <w:trHeight w:val="567" w:hRule="atLeast"/>
          <w:jc w:val="center"/>
        </w:trPr>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9</w:t>
            </w:r>
          </w:p>
        </w:tc>
        <w:tc>
          <w:tcPr>
            <w:tcW w:w="881"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工程三科</w:t>
            </w:r>
          </w:p>
        </w:tc>
        <w:tc>
          <w:tcPr>
            <w:tcW w:w="3704"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left"/>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同工程一科。</w:t>
            </w:r>
          </w:p>
        </w:tc>
      </w:tr>
      <w:tr>
        <w:tblPrEx>
          <w:tblCellMar>
            <w:top w:w="0" w:type="dxa"/>
            <w:left w:w="108" w:type="dxa"/>
            <w:bottom w:w="0" w:type="dxa"/>
            <w:right w:w="108" w:type="dxa"/>
          </w:tblCellMar>
        </w:tblPrEx>
        <w:trPr>
          <w:trHeight w:val="567" w:hRule="atLeast"/>
          <w:jc w:val="center"/>
        </w:trPr>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10</w:t>
            </w:r>
          </w:p>
        </w:tc>
        <w:tc>
          <w:tcPr>
            <w:tcW w:w="881"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项目审核科</w:t>
            </w:r>
          </w:p>
        </w:tc>
        <w:tc>
          <w:tcPr>
            <w:tcW w:w="3704"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left"/>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同工程一科。</w:t>
            </w:r>
          </w:p>
        </w:tc>
      </w:tr>
    </w:tbl>
    <w:p>
      <w:pPr>
        <w:adjustRightInd w:val="0"/>
        <w:snapToGrid w:val="0"/>
        <w:ind w:firstLine="560" w:firstLineChars="200"/>
        <w:rPr>
          <w:rFonts w:ascii="仿宋" w:hAnsi="仿宋" w:eastAsia="仿宋" w:cs="仿宋"/>
          <w:kern w:val="0"/>
          <w:sz w:val="28"/>
          <w:szCs w:val="28"/>
        </w:rPr>
      </w:pPr>
    </w:p>
    <w:p>
      <w:pPr>
        <w:adjustRightInd w:val="0"/>
        <w:snapToGrid w:val="0"/>
        <w:spacing w:line="560" w:lineRule="exact"/>
        <w:ind w:firstLine="640" w:firstLineChars="200"/>
        <w:outlineLvl w:val="2"/>
        <w:rPr>
          <w:rFonts w:ascii="仿宋" w:hAnsi="仿宋" w:eastAsia="仿宋" w:cs="仿宋"/>
          <w:kern w:val="0"/>
          <w:sz w:val="32"/>
          <w:szCs w:val="32"/>
        </w:rPr>
      </w:pPr>
      <w:r>
        <w:rPr>
          <w:rFonts w:hint="eastAsia" w:ascii="仿宋" w:hAnsi="仿宋" w:eastAsia="仿宋" w:cs="仿宋"/>
          <w:kern w:val="0"/>
          <w:sz w:val="32"/>
          <w:szCs w:val="32"/>
        </w:rPr>
        <w:t>3.人员情况</w:t>
      </w:r>
    </w:p>
    <w:p>
      <w:pPr>
        <w:adjustRightInd w:val="0"/>
        <w:snapToGrid w:val="0"/>
        <w:spacing w:line="560" w:lineRule="exact"/>
        <w:ind w:firstLine="640" w:firstLineChars="200"/>
        <w:rPr>
          <w:rFonts w:ascii="仿宋" w:hAnsi="仿宋" w:eastAsia="仿宋" w:cs="仿宋"/>
          <w:kern w:val="0"/>
          <w:sz w:val="32"/>
          <w:szCs w:val="32"/>
        </w:rPr>
      </w:pPr>
      <w:bookmarkStart w:id="0" w:name="_Toc456965831"/>
      <w:r>
        <w:rPr>
          <w:rFonts w:hint="eastAsia" w:ascii="仿宋" w:hAnsi="仿宋" w:eastAsia="仿宋" w:cs="仿宋"/>
          <w:kern w:val="0"/>
          <w:sz w:val="32"/>
          <w:szCs w:val="32"/>
        </w:rPr>
        <w:t>截至2022年末，我单位实有人员115人。其中在职人员104人（在编人员54人、劳务派遣人员50人），离退休人员11人。</w:t>
      </w:r>
      <w:bookmarkEnd w:id="0"/>
    </w:p>
    <w:p>
      <w:pPr>
        <w:adjustRightInd w:val="0"/>
        <w:snapToGrid w:val="0"/>
        <w:spacing w:line="560" w:lineRule="exact"/>
        <w:ind w:firstLine="640" w:firstLineChars="200"/>
        <w:outlineLvl w:val="2"/>
        <w:rPr>
          <w:rFonts w:ascii="仿宋" w:hAnsi="仿宋" w:eastAsia="仿宋" w:cs="仿宋"/>
          <w:kern w:val="0"/>
          <w:sz w:val="32"/>
          <w:szCs w:val="32"/>
        </w:rPr>
      </w:pPr>
      <w:r>
        <w:rPr>
          <w:rFonts w:hint="eastAsia" w:ascii="仿宋" w:hAnsi="仿宋" w:eastAsia="仿宋" w:cs="仿宋"/>
          <w:kern w:val="0"/>
          <w:sz w:val="32"/>
          <w:szCs w:val="32"/>
        </w:rPr>
        <w:t>4.部门资产</w:t>
      </w:r>
    </w:p>
    <w:p>
      <w:pPr>
        <w:adjustRightInd w:val="0"/>
        <w:snapToGrid w:val="0"/>
        <w:spacing w:line="560" w:lineRule="exact"/>
        <w:ind w:firstLine="640" w:firstLineChars="200"/>
        <w:rPr>
          <w:rFonts w:ascii="仿宋" w:hAnsi="仿宋" w:eastAsia="仿宋" w:cs="仿宋"/>
          <w:kern w:val="0"/>
          <w:sz w:val="32"/>
          <w:szCs w:val="32"/>
        </w:rPr>
      </w:pPr>
      <w:r>
        <w:rPr>
          <w:rFonts w:hint="eastAsia" w:ascii="仿宋" w:hAnsi="仿宋" w:eastAsia="仿宋" w:cs="仿宋"/>
          <w:kern w:val="0"/>
          <w:sz w:val="32"/>
          <w:szCs w:val="32"/>
        </w:rPr>
        <w:t>截至2022年12月31日，单位资产总额307914.38</w:t>
      </w:r>
      <w:r>
        <w:rPr>
          <w:rStyle w:val="16"/>
          <w:rFonts w:hint="eastAsia" w:ascii="仿宋" w:hAnsi="仿宋" w:eastAsia="仿宋" w:cs="仿宋"/>
          <w:kern w:val="0"/>
          <w:sz w:val="32"/>
          <w:szCs w:val="32"/>
        </w:rPr>
        <w:footnoteReference w:id="1"/>
      </w:r>
      <w:r>
        <w:rPr>
          <w:rFonts w:hint="eastAsia" w:ascii="仿宋" w:hAnsi="仿宋" w:eastAsia="仿宋" w:cs="仿宋"/>
          <w:kern w:val="0"/>
          <w:sz w:val="32"/>
          <w:szCs w:val="32"/>
        </w:rPr>
        <w:t>万元，其中流动资产9893.34万元，占99.00%，固定资产100.31万元，占1.00%。固定资产主要是办公家具、办公设备等。</w:t>
      </w:r>
    </w:p>
    <w:p>
      <w:pPr>
        <w:adjustRightInd w:val="0"/>
        <w:snapToGrid w:val="0"/>
        <w:spacing w:line="560" w:lineRule="exact"/>
        <w:ind w:firstLine="640" w:firstLineChars="200"/>
        <w:outlineLvl w:val="1"/>
        <w:rPr>
          <w:rFonts w:ascii="楷体" w:hAnsi="楷体" w:eastAsia="楷体" w:cs="楷体_GB2312"/>
          <w:bCs/>
          <w:kern w:val="0"/>
          <w:sz w:val="32"/>
          <w:szCs w:val="32"/>
        </w:rPr>
      </w:pPr>
      <w:r>
        <w:rPr>
          <w:rFonts w:hint="eastAsia" w:ascii="楷体" w:hAnsi="楷体" w:eastAsia="楷体" w:cs="楷体_GB2312"/>
          <w:bCs/>
          <w:kern w:val="0"/>
          <w:sz w:val="32"/>
          <w:szCs w:val="32"/>
        </w:rPr>
        <w:t>（二）部门收支预决算情况</w:t>
      </w:r>
    </w:p>
    <w:p>
      <w:pPr>
        <w:adjustRightInd w:val="0"/>
        <w:snapToGrid w:val="0"/>
        <w:spacing w:line="560" w:lineRule="exact"/>
        <w:ind w:firstLine="640" w:firstLineChars="200"/>
        <w:outlineLvl w:val="2"/>
        <w:rPr>
          <w:rFonts w:ascii="仿宋" w:hAnsi="仿宋" w:eastAsia="仿宋" w:cs="楷体_GB2312"/>
          <w:snapToGrid w:val="0"/>
          <w:kern w:val="0"/>
          <w:sz w:val="32"/>
          <w:szCs w:val="32"/>
        </w:rPr>
      </w:pPr>
      <w:r>
        <w:rPr>
          <w:rFonts w:hint="eastAsia" w:ascii="仿宋" w:hAnsi="仿宋" w:eastAsia="仿宋" w:cs="楷体_GB2312"/>
          <w:snapToGrid w:val="0"/>
          <w:kern w:val="0"/>
          <w:sz w:val="32"/>
          <w:szCs w:val="32"/>
        </w:rPr>
        <w:t>1.预算安排情况</w:t>
      </w:r>
    </w:p>
    <w:p>
      <w:pPr>
        <w:adjustRightInd w:val="0"/>
        <w:snapToGrid w:val="0"/>
        <w:spacing w:line="560" w:lineRule="exact"/>
        <w:ind w:firstLine="640" w:firstLineChars="200"/>
        <w:rPr>
          <w:rFonts w:ascii="仿宋" w:hAnsi="仿宋" w:eastAsia="仿宋" w:cs="仿宋"/>
          <w:snapToGrid w:val="0"/>
          <w:kern w:val="0"/>
          <w:sz w:val="32"/>
          <w:szCs w:val="32"/>
        </w:rPr>
      </w:pPr>
      <w:r>
        <w:rPr>
          <w:rFonts w:hint="eastAsia" w:ascii="仿宋" w:hAnsi="仿宋" w:eastAsia="仿宋"/>
          <w:snapToGrid w:val="0"/>
          <w:kern w:val="0"/>
          <w:sz w:val="32"/>
          <w:szCs w:val="32"/>
        </w:rPr>
        <w:t>2022年部门预算收入56449.60万元。其中，本年收入49492.90万元，包括一般公共预算收入21575.97万元，政府性基金预算收入16996.34万元，其他收入10920.59万元；上年结转6956.70万元。</w:t>
      </w:r>
    </w:p>
    <w:p>
      <w:pPr>
        <w:adjustRightInd w:val="0"/>
        <w:snapToGrid w:val="0"/>
        <w:spacing w:line="560" w:lineRule="exact"/>
        <w:ind w:firstLine="640" w:firstLineChars="200"/>
        <w:outlineLvl w:val="2"/>
        <w:rPr>
          <w:rFonts w:ascii="仿宋" w:hAnsi="仿宋" w:eastAsia="仿宋" w:cs="仿宋"/>
          <w:snapToGrid w:val="0"/>
          <w:kern w:val="0"/>
          <w:sz w:val="32"/>
          <w:szCs w:val="32"/>
        </w:rPr>
      </w:pPr>
      <w:r>
        <w:rPr>
          <w:rFonts w:hint="eastAsia" w:ascii="仿宋" w:hAnsi="仿宋" w:eastAsia="仿宋" w:cs="仿宋"/>
          <w:snapToGrid w:val="0"/>
          <w:kern w:val="0"/>
          <w:sz w:val="32"/>
          <w:szCs w:val="32"/>
        </w:rPr>
        <w:t>2.预算执行情况</w:t>
      </w:r>
    </w:p>
    <w:p>
      <w:pPr>
        <w:adjustRightInd w:val="0"/>
        <w:snapToGrid w:val="0"/>
        <w:spacing w:line="560" w:lineRule="exact"/>
        <w:ind w:firstLine="640" w:firstLineChars="200"/>
        <w:rPr>
          <w:rFonts w:ascii="仿宋" w:hAnsi="仿宋" w:eastAsia="仿宋" w:cs="仿宋"/>
          <w:snapToGrid w:val="0"/>
          <w:kern w:val="0"/>
          <w:sz w:val="32"/>
          <w:szCs w:val="32"/>
        </w:rPr>
      </w:pPr>
      <w:r>
        <w:rPr>
          <w:rFonts w:hint="eastAsia" w:ascii="仿宋" w:hAnsi="仿宋" w:eastAsia="仿宋"/>
          <w:iCs/>
          <w:snapToGrid w:val="0"/>
          <w:kern w:val="0"/>
          <w:sz w:val="32"/>
          <w:szCs w:val="32"/>
        </w:rPr>
        <w:t>截至2022年12月31日，本单位实际支出53156.37万元</w:t>
      </w:r>
      <w:r>
        <w:rPr>
          <w:rFonts w:hint="eastAsia" w:ascii="仿宋" w:hAnsi="仿宋" w:eastAsia="仿宋"/>
          <w:iCs/>
          <w:snapToGrid w:val="0"/>
          <w:kern w:val="0"/>
          <w:sz w:val="32"/>
          <w:szCs w:val="32"/>
          <w:lang w:eastAsia="zh-CN"/>
        </w:rPr>
        <w:t>。</w:t>
      </w:r>
      <w:r>
        <w:rPr>
          <w:rFonts w:hint="eastAsia" w:ascii="仿宋" w:hAnsi="仿宋" w:eastAsia="仿宋"/>
          <w:iCs/>
          <w:snapToGrid w:val="0"/>
          <w:kern w:val="0"/>
          <w:sz w:val="32"/>
          <w:szCs w:val="32"/>
        </w:rPr>
        <w:t>其中，</w:t>
      </w:r>
      <w:r>
        <w:rPr>
          <w:rFonts w:hint="eastAsia" w:ascii="仿宋" w:hAnsi="仿宋" w:eastAsia="仿宋"/>
          <w:snapToGrid w:val="0"/>
          <w:kern w:val="0"/>
          <w:sz w:val="32"/>
          <w:szCs w:val="32"/>
        </w:rPr>
        <w:t>基本支出1413.74万元，包括人员经费1338.58万元和日常公用经费75.16万元；项目支出51742.63万元</w:t>
      </w:r>
      <w:r>
        <w:rPr>
          <w:rFonts w:hint="eastAsia" w:ascii="仿宋" w:hAnsi="仿宋" w:eastAsia="仿宋"/>
          <w:iCs/>
          <w:snapToGrid w:val="0"/>
          <w:kern w:val="0"/>
          <w:sz w:val="32"/>
          <w:szCs w:val="32"/>
        </w:rPr>
        <w:t>，年末结转结余3293.23万元。</w:t>
      </w:r>
      <w:r>
        <w:rPr>
          <w:rFonts w:hint="eastAsia" w:ascii="仿宋" w:hAnsi="仿宋" w:eastAsia="仿宋" w:cs="仿宋"/>
          <w:snapToGrid w:val="0"/>
          <w:kern w:val="0"/>
          <w:sz w:val="32"/>
          <w:szCs w:val="32"/>
        </w:rPr>
        <w:t>部门预算调整及执行情况见表2。</w:t>
      </w:r>
    </w:p>
    <w:p>
      <w:pPr>
        <w:adjustRightInd w:val="0"/>
        <w:snapToGrid w:val="0"/>
        <w:spacing w:line="560" w:lineRule="exact"/>
        <w:jc w:val="center"/>
        <w:rPr>
          <w:rFonts w:ascii="黑体" w:hAnsi="黑体" w:eastAsia="黑体"/>
          <w:bCs/>
          <w:snapToGrid w:val="0"/>
          <w:kern w:val="0"/>
          <w:sz w:val="28"/>
          <w:szCs w:val="28"/>
        </w:rPr>
      </w:pPr>
      <w:r>
        <w:rPr>
          <w:rFonts w:ascii="黑体" w:hAnsi="黑体" w:eastAsia="黑体"/>
          <w:bCs/>
          <w:snapToGrid w:val="0"/>
          <w:kern w:val="0"/>
          <w:sz w:val="28"/>
          <w:szCs w:val="28"/>
        </w:rPr>
        <w:t>表</w:t>
      </w:r>
      <w:r>
        <w:rPr>
          <w:rFonts w:hint="eastAsia" w:ascii="黑体" w:hAnsi="黑体" w:eastAsia="黑体"/>
          <w:bCs/>
          <w:snapToGrid w:val="0"/>
          <w:kern w:val="0"/>
          <w:sz w:val="28"/>
          <w:szCs w:val="28"/>
        </w:rPr>
        <w:t>2</w:t>
      </w:r>
      <w:r>
        <w:rPr>
          <w:rFonts w:ascii="黑体" w:hAnsi="黑体" w:eastAsia="黑体"/>
          <w:bCs/>
          <w:snapToGrid w:val="0"/>
          <w:kern w:val="0"/>
          <w:sz w:val="28"/>
          <w:szCs w:val="28"/>
        </w:rPr>
        <w:t>：</w:t>
      </w:r>
      <w:r>
        <w:rPr>
          <w:rFonts w:hint="eastAsia" w:ascii="黑体" w:hAnsi="黑体" w:eastAsia="黑体"/>
          <w:bCs/>
          <w:snapToGrid w:val="0"/>
          <w:kern w:val="0"/>
          <w:sz w:val="28"/>
          <w:szCs w:val="28"/>
        </w:rPr>
        <w:t>2022</w:t>
      </w:r>
      <w:r>
        <w:rPr>
          <w:rFonts w:ascii="黑体" w:hAnsi="黑体" w:eastAsia="黑体"/>
          <w:bCs/>
          <w:snapToGrid w:val="0"/>
          <w:kern w:val="0"/>
          <w:sz w:val="28"/>
          <w:szCs w:val="28"/>
        </w:rPr>
        <w:t>年度</w:t>
      </w:r>
      <w:r>
        <w:rPr>
          <w:rFonts w:hint="eastAsia" w:ascii="黑体" w:hAnsi="黑体" w:eastAsia="黑体"/>
          <w:bCs/>
          <w:snapToGrid w:val="0"/>
          <w:kern w:val="0"/>
          <w:sz w:val="28"/>
          <w:szCs w:val="28"/>
        </w:rPr>
        <w:t>部门</w:t>
      </w:r>
      <w:r>
        <w:rPr>
          <w:rFonts w:ascii="黑体" w:hAnsi="黑体" w:eastAsia="黑体"/>
          <w:bCs/>
          <w:snapToGrid w:val="0"/>
          <w:kern w:val="0"/>
          <w:sz w:val="28"/>
          <w:szCs w:val="28"/>
        </w:rPr>
        <w:t>预算</w:t>
      </w:r>
      <w:r>
        <w:rPr>
          <w:rFonts w:hint="eastAsia" w:ascii="黑体" w:hAnsi="黑体" w:eastAsia="黑体"/>
          <w:bCs/>
          <w:snapToGrid w:val="0"/>
          <w:kern w:val="0"/>
          <w:sz w:val="28"/>
          <w:szCs w:val="28"/>
        </w:rPr>
        <w:t>调整及执行</w:t>
      </w:r>
      <w:r>
        <w:rPr>
          <w:rFonts w:ascii="黑体" w:hAnsi="黑体" w:eastAsia="黑体"/>
          <w:bCs/>
          <w:snapToGrid w:val="0"/>
          <w:kern w:val="0"/>
          <w:sz w:val="28"/>
          <w:szCs w:val="28"/>
        </w:rPr>
        <w:t>情况表</w:t>
      </w:r>
    </w:p>
    <w:p>
      <w:pPr>
        <w:adjustRightInd w:val="0"/>
        <w:snapToGrid w:val="0"/>
        <w:spacing w:line="560" w:lineRule="exact"/>
        <w:jc w:val="right"/>
        <w:rPr>
          <w:rFonts w:ascii="宋体" w:hAnsi="宋体"/>
          <w:bCs/>
          <w:snapToGrid w:val="0"/>
          <w:kern w:val="0"/>
          <w:sz w:val="20"/>
          <w:szCs w:val="20"/>
        </w:rPr>
      </w:pPr>
      <w:r>
        <w:rPr>
          <w:rFonts w:hint="eastAsia" w:ascii="黑体" w:hAnsi="黑体" w:eastAsia="黑体"/>
          <w:bCs/>
          <w:snapToGrid w:val="0"/>
          <w:kern w:val="0"/>
          <w:sz w:val="20"/>
          <w:szCs w:val="20"/>
        </w:rPr>
        <w:t>单位：万元</w:t>
      </w:r>
    </w:p>
    <w:tbl>
      <w:tblPr>
        <w:tblStyle w:val="12"/>
        <w:tblW w:w="4997" w:type="pct"/>
        <w:tblInd w:w="0" w:type="dxa"/>
        <w:tblLayout w:type="autofit"/>
        <w:tblCellMar>
          <w:top w:w="0" w:type="dxa"/>
          <w:left w:w="108" w:type="dxa"/>
          <w:bottom w:w="0" w:type="dxa"/>
          <w:right w:w="108" w:type="dxa"/>
        </w:tblCellMar>
      </w:tblPr>
      <w:tblGrid>
        <w:gridCol w:w="1044"/>
        <w:gridCol w:w="1305"/>
        <w:gridCol w:w="1622"/>
        <w:gridCol w:w="1303"/>
        <w:gridCol w:w="1174"/>
        <w:gridCol w:w="1304"/>
        <w:gridCol w:w="1304"/>
      </w:tblGrid>
      <w:tr>
        <w:tblPrEx>
          <w:tblCellMar>
            <w:top w:w="0" w:type="dxa"/>
            <w:left w:w="108" w:type="dxa"/>
            <w:bottom w:w="0" w:type="dxa"/>
            <w:right w:w="108" w:type="dxa"/>
          </w:tblCellMar>
        </w:tblPrEx>
        <w:trPr>
          <w:trHeight w:val="543" w:hRule="atLeast"/>
        </w:trPr>
        <w:tc>
          <w:tcPr>
            <w:tcW w:w="58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val="0"/>
              <w:adjustRightInd w:val="0"/>
              <w:snapToGrid w:val="0"/>
              <w:jc w:val="center"/>
              <w:textAlignment w:val="center"/>
              <w:rPr>
                <w:rFonts w:ascii="宋体" w:hAnsi="宋体" w:cs="宋体"/>
                <w:b/>
                <w:bCs/>
                <w:color w:val="000000"/>
                <w:kern w:val="0"/>
                <w:sz w:val="20"/>
                <w:szCs w:val="20"/>
              </w:rPr>
            </w:pPr>
            <w:r>
              <w:rPr>
                <w:rFonts w:hint="eastAsia" w:ascii="宋体" w:hAnsi="宋体" w:cs="宋体"/>
                <w:b/>
                <w:bCs/>
                <w:color w:val="000000"/>
                <w:kern w:val="0"/>
                <w:sz w:val="20"/>
                <w:szCs w:val="20"/>
                <w:lang w:bidi="ar"/>
              </w:rPr>
              <w:t xml:space="preserve">序 </w:t>
            </w:r>
            <w:r>
              <w:rPr>
                <w:rStyle w:val="19"/>
                <w:rFonts w:hint="default"/>
                <w:kern w:val="0"/>
                <w:lang w:bidi="ar"/>
              </w:rPr>
              <w:t xml:space="preserve"> 号</w:t>
            </w:r>
          </w:p>
        </w:tc>
        <w:tc>
          <w:tcPr>
            <w:tcW w:w="72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val="0"/>
              <w:adjustRightInd w:val="0"/>
              <w:snapToGrid w:val="0"/>
              <w:jc w:val="center"/>
              <w:textAlignment w:val="center"/>
              <w:rPr>
                <w:rFonts w:ascii="宋体" w:hAnsi="宋体" w:cs="宋体"/>
                <w:b/>
                <w:bCs/>
                <w:color w:val="000000"/>
                <w:kern w:val="0"/>
                <w:sz w:val="20"/>
                <w:szCs w:val="20"/>
              </w:rPr>
            </w:pPr>
            <w:r>
              <w:rPr>
                <w:rFonts w:hint="eastAsia" w:ascii="宋体" w:hAnsi="宋体" w:cs="宋体"/>
                <w:b/>
                <w:bCs/>
                <w:color w:val="000000"/>
                <w:kern w:val="0"/>
                <w:sz w:val="20"/>
                <w:szCs w:val="20"/>
                <w:lang w:bidi="ar"/>
              </w:rPr>
              <w:t>支出内容</w:t>
            </w:r>
          </w:p>
        </w:tc>
        <w:tc>
          <w:tcPr>
            <w:tcW w:w="2243"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val="0"/>
              <w:adjustRightInd w:val="0"/>
              <w:snapToGrid w:val="0"/>
              <w:jc w:val="center"/>
              <w:textAlignment w:val="center"/>
              <w:rPr>
                <w:rFonts w:ascii="宋体" w:hAnsi="宋体" w:cs="宋体"/>
                <w:b/>
                <w:bCs/>
                <w:color w:val="000000"/>
                <w:kern w:val="0"/>
                <w:sz w:val="20"/>
                <w:szCs w:val="20"/>
              </w:rPr>
            </w:pPr>
            <w:r>
              <w:rPr>
                <w:rFonts w:hint="eastAsia" w:ascii="宋体" w:hAnsi="宋体" w:cs="宋体"/>
                <w:b/>
                <w:bCs/>
                <w:color w:val="000000"/>
                <w:kern w:val="0"/>
                <w:sz w:val="20"/>
                <w:szCs w:val="20"/>
                <w:lang w:bidi="ar"/>
              </w:rPr>
              <w:t>预算情况</w:t>
            </w:r>
          </w:p>
        </w:tc>
        <w:tc>
          <w:tcPr>
            <w:tcW w:w="7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val="0"/>
              <w:adjustRightInd w:val="0"/>
              <w:snapToGrid w:val="0"/>
              <w:jc w:val="center"/>
              <w:textAlignment w:val="center"/>
              <w:rPr>
                <w:rFonts w:ascii="宋体" w:hAnsi="宋体" w:cs="宋体"/>
                <w:b/>
                <w:bCs/>
                <w:color w:val="000000"/>
                <w:kern w:val="0"/>
                <w:sz w:val="20"/>
                <w:szCs w:val="20"/>
              </w:rPr>
            </w:pPr>
            <w:r>
              <w:rPr>
                <w:rFonts w:hint="eastAsia" w:ascii="宋体" w:hAnsi="宋体" w:cs="宋体"/>
                <w:b/>
                <w:bCs/>
                <w:color w:val="000000"/>
                <w:kern w:val="0"/>
                <w:sz w:val="20"/>
                <w:szCs w:val="20"/>
                <w:lang w:bidi="ar"/>
              </w:rPr>
              <w:t>支出情况</w:t>
            </w:r>
          </w:p>
        </w:tc>
        <w:tc>
          <w:tcPr>
            <w:tcW w:w="724" w:type="pct"/>
            <w:vMerge w:val="restart"/>
            <w:tcBorders>
              <w:top w:val="single" w:color="000000" w:sz="4" w:space="0"/>
              <w:left w:val="single" w:color="000000" w:sz="4" w:space="0"/>
              <w:right w:val="single" w:color="000000" w:sz="4" w:space="0"/>
            </w:tcBorders>
            <w:shd w:val="clear" w:color="auto" w:fill="auto"/>
            <w:noWrap/>
            <w:vAlign w:val="center"/>
          </w:tcPr>
          <w:p>
            <w:pPr>
              <w:widowControl w:val="0"/>
              <w:adjustRightInd w:val="0"/>
              <w:snapToGrid w:val="0"/>
              <w:jc w:val="center"/>
              <w:textAlignment w:val="center"/>
              <w:rPr>
                <w:rFonts w:ascii="宋体" w:hAnsi="宋体" w:cs="宋体"/>
                <w:b/>
                <w:bCs/>
                <w:color w:val="000000"/>
                <w:kern w:val="0"/>
                <w:sz w:val="20"/>
                <w:szCs w:val="20"/>
              </w:rPr>
            </w:pPr>
            <w:r>
              <w:rPr>
                <w:rFonts w:hint="eastAsia" w:ascii="宋体" w:hAnsi="宋体" w:cs="宋体"/>
                <w:b/>
                <w:bCs/>
                <w:color w:val="000000"/>
                <w:kern w:val="0"/>
                <w:sz w:val="20"/>
                <w:szCs w:val="20"/>
                <w:lang w:bidi="ar"/>
              </w:rPr>
              <w:t>结转结余</w:t>
            </w:r>
          </w:p>
        </w:tc>
      </w:tr>
      <w:tr>
        <w:tblPrEx>
          <w:tblCellMar>
            <w:top w:w="0" w:type="dxa"/>
            <w:left w:w="108" w:type="dxa"/>
            <w:bottom w:w="0" w:type="dxa"/>
            <w:right w:w="108" w:type="dxa"/>
          </w:tblCellMar>
        </w:tblPrEx>
        <w:trPr>
          <w:trHeight w:val="528" w:hRule="atLeast"/>
        </w:trPr>
        <w:tc>
          <w:tcPr>
            <w:tcW w:w="58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rPr>
                <w:rFonts w:ascii="宋体" w:hAnsi="宋体" w:cs="宋体"/>
                <w:b/>
                <w:bCs/>
                <w:color w:val="000000"/>
                <w:kern w:val="0"/>
                <w:sz w:val="20"/>
                <w:szCs w:val="20"/>
              </w:rPr>
            </w:pPr>
          </w:p>
        </w:tc>
        <w:tc>
          <w:tcPr>
            <w:tcW w:w="72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center"/>
              <w:rPr>
                <w:rFonts w:ascii="宋体" w:hAnsi="宋体" w:cs="宋体"/>
                <w:b/>
                <w:bCs/>
                <w:color w:val="000000"/>
                <w:kern w:val="0"/>
                <w:sz w:val="20"/>
                <w:szCs w:val="20"/>
              </w:rPr>
            </w:pPr>
          </w:p>
        </w:tc>
        <w:tc>
          <w:tcPr>
            <w:tcW w:w="8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val="0"/>
              <w:adjustRightInd w:val="0"/>
              <w:snapToGrid w:val="0"/>
              <w:jc w:val="center"/>
              <w:textAlignment w:val="center"/>
              <w:rPr>
                <w:rFonts w:ascii="宋体" w:hAnsi="宋体" w:cs="宋体"/>
                <w:b/>
                <w:bCs/>
                <w:color w:val="000000"/>
                <w:kern w:val="0"/>
                <w:sz w:val="20"/>
                <w:szCs w:val="20"/>
                <w:lang w:bidi="ar"/>
              </w:rPr>
            </w:pPr>
            <w:r>
              <w:rPr>
                <w:rFonts w:hint="eastAsia" w:ascii="宋体" w:hAnsi="宋体" w:cs="宋体"/>
                <w:b/>
                <w:bCs/>
                <w:color w:val="000000"/>
                <w:kern w:val="0"/>
                <w:sz w:val="20"/>
                <w:szCs w:val="20"/>
                <w:lang w:bidi="ar"/>
              </w:rPr>
              <w:t>调整后一般公共</w:t>
            </w:r>
          </w:p>
          <w:p>
            <w:pPr>
              <w:widowControl w:val="0"/>
              <w:adjustRightInd w:val="0"/>
              <w:snapToGrid w:val="0"/>
              <w:jc w:val="center"/>
              <w:textAlignment w:val="center"/>
              <w:rPr>
                <w:rFonts w:ascii="宋体" w:hAnsi="宋体" w:cs="宋体"/>
                <w:b/>
                <w:bCs/>
                <w:color w:val="000000"/>
                <w:kern w:val="0"/>
                <w:sz w:val="20"/>
                <w:szCs w:val="20"/>
              </w:rPr>
            </w:pPr>
            <w:r>
              <w:rPr>
                <w:rFonts w:hint="eastAsia" w:ascii="宋体" w:hAnsi="宋体" w:cs="宋体"/>
                <w:b/>
                <w:bCs/>
                <w:color w:val="000000"/>
                <w:kern w:val="0"/>
                <w:sz w:val="20"/>
                <w:szCs w:val="20"/>
                <w:lang w:bidi="ar"/>
              </w:rPr>
              <w:t>预算数</w:t>
            </w:r>
          </w:p>
        </w:tc>
        <w:tc>
          <w:tcPr>
            <w:tcW w:w="7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val="0"/>
              <w:adjustRightInd w:val="0"/>
              <w:snapToGrid w:val="0"/>
              <w:jc w:val="center"/>
              <w:textAlignment w:val="center"/>
              <w:rPr>
                <w:rFonts w:ascii="宋体" w:hAnsi="宋体" w:cs="宋体"/>
                <w:b/>
                <w:bCs/>
                <w:color w:val="000000"/>
                <w:kern w:val="0"/>
                <w:sz w:val="20"/>
                <w:szCs w:val="20"/>
              </w:rPr>
            </w:pPr>
            <w:r>
              <w:rPr>
                <w:rFonts w:hint="eastAsia" w:ascii="宋体" w:hAnsi="宋体" w:cs="宋体"/>
                <w:b/>
                <w:bCs/>
                <w:color w:val="000000"/>
                <w:kern w:val="0"/>
                <w:sz w:val="20"/>
                <w:szCs w:val="20"/>
                <w:lang w:bidi="ar"/>
              </w:rPr>
              <w:t>其他收入</w:t>
            </w:r>
          </w:p>
        </w:tc>
        <w:tc>
          <w:tcPr>
            <w:tcW w:w="6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val="0"/>
              <w:adjustRightInd w:val="0"/>
              <w:snapToGrid w:val="0"/>
              <w:jc w:val="center"/>
              <w:textAlignment w:val="center"/>
              <w:rPr>
                <w:rFonts w:ascii="宋体" w:hAnsi="宋体" w:cs="宋体"/>
                <w:b/>
                <w:bCs/>
                <w:color w:val="000000"/>
                <w:kern w:val="0"/>
                <w:sz w:val="20"/>
                <w:szCs w:val="20"/>
              </w:rPr>
            </w:pPr>
            <w:r>
              <w:rPr>
                <w:rFonts w:hint="eastAsia" w:ascii="宋体" w:hAnsi="宋体" w:cs="宋体"/>
                <w:b/>
                <w:bCs/>
                <w:color w:val="000000"/>
                <w:kern w:val="0"/>
                <w:sz w:val="20"/>
                <w:szCs w:val="20"/>
                <w:lang w:bidi="ar"/>
              </w:rPr>
              <w:t>合计</w:t>
            </w:r>
          </w:p>
        </w:tc>
        <w:tc>
          <w:tcPr>
            <w:tcW w:w="7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val="0"/>
              <w:adjustRightInd w:val="0"/>
              <w:snapToGrid w:val="0"/>
              <w:jc w:val="center"/>
              <w:textAlignment w:val="center"/>
              <w:rPr>
                <w:rFonts w:ascii="宋体" w:hAnsi="宋体" w:cs="宋体"/>
                <w:b/>
                <w:bCs/>
                <w:color w:val="000000"/>
                <w:kern w:val="0"/>
                <w:sz w:val="20"/>
                <w:szCs w:val="20"/>
              </w:rPr>
            </w:pPr>
            <w:r>
              <w:rPr>
                <w:rFonts w:hint="eastAsia" w:ascii="宋体" w:hAnsi="宋体" w:cs="宋体"/>
                <w:b/>
                <w:bCs/>
                <w:color w:val="000000"/>
                <w:kern w:val="0"/>
                <w:sz w:val="20"/>
                <w:szCs w:val="20"/>
                <w:lang w:bidi="ar"/>
              </w:rPr>
              <w:t>决算数</w:t>
            </w:r>
          </w:p>
        </w:tc>
        <w:tc>
          <w:tcPr>
            <w:tcW w:w="724" w:type="pct"/>
            <w:vMerge w:val="continue"/>
            <w:tcBorders>
              <w:left w:val="single" w:color="000000" w:sz="4" w:space="0"/>
              <w:bottom w:val="single" w:color="000000" w:sz="4" w:space="0"/>
              <w:right w:val="single" w:color="000000" w:sz="4" w:space="0"/>
            </w:tcBorders>
            <w:shd w:val="clear" w:color="auto" w:fill="auto"/>
            <w:noWrap/>
            <w:vAlign w:val="center"/>
          </w:tcPr>
          <w:p>
            <w:pPr>
              <w:widowControl w:val="0"/>
              <w:adjustRightInd w:val="0"/>
              <w:snapToGrid w:val="0"/>
              <w:jc w:val="center"/>
              <w:textAlignment w:val="center"/>
              <w:rPr>
                <w:rFonts w:ascii="宋体" w:hAnsi="宋体" w:cs="宋体"/>
                <w:b/>
                <w:bCs/>
                <w:color w:val="000000"/>
                <w:kern w:val="0"/>
                <w:sz w:val="20"/>
                <w:szCs w:val="20"/>
              </w:rPr>
            </w:pPr>
          </w:p>
        </w:tc>
      </w:tr>
      <w:tr>
        <w:tblPrEx>
          <w:tblCellMar>
            <w:top w:w="0" w:type="dxa"/>
            <w:left w:w="108" w:type="dxa"/>
            <w:bottom w:w="0" w:type="dxa"/>
            <w:right w:w="108" w:type="dxa"/>
          </w:tblCellMar>
        </w:tblPrEx>
        <w:trPr>
          <w:trHeight w:val="528" w:hRule="atLeast"/>
        </w:trPr>
        <w:tc>
          <w:tcPr>
            <w:tcW w:w="581"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val="0"/>
              <w:adjustRightInd w:val="0"/>
              <w:snapToGrid w:val="0"/>
              <w:jc w:val="center"/>
              <w:textAlignment w:val="center"/>
              <w:rPr>
                <w:rFonts w:ascii="宋体" w:hAnsi="宋体" w:cs="宋体"/>
                <w:b/>
                <w:bCs/>
                <w:color w:val="000000"/>
                <w:kern w:val="0"/>
                <w:sz w:val="20"/>
                <w:szCs w:val="20"/>
              </w:rPr>
            </w:pPr>
            <w:r>
              <w:rPr>
                <w:rFonts w:hint="eastAsia" w:ascii="宋体" w:hAnsi="宋体" w:cs="宋体"/>
                <w:b/>
                <w:bCs/>
                <w:color w:val="000000"/>
                <w:kern w:val="0"/>
                <w:sz w:val="20"/>
                <w:szCs w:val="20"/>
                <w:lang w:bidi="ar"/>
              </w:rPr>
              <w:t>一</w:t>
            </w:r>
          </w:p>
        </w:tc>
        <w:tc>
          <w:tcPr>
            <w:tcW w:w="7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val="0"/>
              <w:adjustRightInd w:val="0"/>
              <w:snapToGrid w:val="0"/>
              <w:jc w:val="left"/>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基本支出</w:t>
            </w:r>
          </w:p>
        </w:tc>
        <w:tc>
          <w:tcPr>
            <w:tcW w:w="8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val="0"/>
              <w:adjustRightInd w:val="0"/>
              <w:snapToGrid w:val="0"/>
              <w:jc w:val="right"/>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1459.14</w:t>
            </w:r>
          </w:p>
        </w:tc>
        <w:tc>
          <w:tcPr>
            <w:tcW w:w="72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val="0"/>
              <w:adjustRightInd w:val="0"/>
              <w:snapToGrid w:val="0"/>
              <w:jc w:val="right"/>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10920.59</w:t>
            </w:r>
          </w:p>
        </w:tc>
        <w:tc>
          <w:tcPr>
            <w:tcW w:w="651"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val="0"/>
              <w:adjustRightInd w:val="0"/>
              <w:snapToGrid w:val="0"/>
              <w:jc w:val="right"/>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56449.60</w:t>
            </w:r>
          </w:p>
        </w:tc>
        <w:tc>
          <w:tcPr>
            <w:tcW w:w="7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val="0"/>
              <w:adjustRightInd w:val="0"/>
              <w:snapToGrid w:val="0"/>
              <w:jc w:val="right"/>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1413.74</w:t>
            </w:r>
          </w:p>
        </w:tc>
        <w:tc>
          <w:tcPr>
            <w:tcW w:w="7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val="0"/>
              <w:adjustRightInd w:val="0"/>
              <w:snapToGrid w:val="0"/>
              <w:jc w:val="right"/>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45.40</w:t>
            </w:r>
          </w:p>
        </w:tc>
      </w:tr>
      <w:tr>
        <w:tblPrEx>
          <w:tblCellMar>
            <w:top w:w="0" w:type="dxa"/>
            <w:left w:w="108" w:type="dxa"/>
            <w:bottom w:w="0" w:type="dxa"/>
            <w:right w:w="108" w:type="dxa"/>
          </w:tblCellMar>
        </w:tblPrEx>
        <w:trPr>
          <w:trHeight w:val="528" w:hRule="atLeast"/>
        </w:trPr>
        <w:tc>
          <w:tcPr>
            <w:tcW w:w="581"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val="0"/>
              <w:adjustRightInd w:val="0"/>
              <w:snapToGrid w:val="0"/>
              <w:jc w:val="center"/>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1</w:t>
            </w:r>
          </w:p>
        </w:tc>
        <w:tc>
          <w:tcPr>
            <w:tcW w:w="7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val="0"/>
              <w:adjustRightInd w:val="0"/>
              <w:snapToGrid w:val="0"/>
              <w:jc w:val="center"/>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人员经费</w:t>
            </w:r>
          </w:p>
        </w:tc>
        <w:tc>
          <w:tcPr>
            <w:tcW w:w="8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val="0"/>
              <w:adjustRightInd w:val="0"/>
              <w:snapToGrid w:val="0"/>
              <w:jc w:val="right"/>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1383.98</w:t>
            </w:r>
          </w:p>
        </w:tc>
        <w:tc>
          <w:tcPr>
            <w:tcW w:w="72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right"/>
              <w:rPr>
                <w:rFonts w:ascii="宋体" w:hAnsi="宋体" w:cs="宋体"/>
                <w:color w:val="000000"/>
                <w:kern w:val="0"/>
                <w:sz w:val="20"/>
                <w:szCs w:val="20"/>
              </w:rPr>
            </w:pPr>
          </w:p>
        </w:tc>
        <w:tc>
          <w:tcPr>
            <w:tcW w:w="65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right"/>
              <w:rPr>
                <w:rFonts w:ascii="宋体" w:hAnsi="宋体" w:cs="宋体"/>
                <w:color w:val="000000"/>
                <w:kern w:val="0"/>
                <w:sz w:val="20"/>
                <w:szCs w:val="20"/>
              </w:rPr>
            </w:pPr>
          </w:p>
        </w:tc>
        <w:tc>
          <w:tcPr>
            <w:tcW w:w="7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val="0"/>
              <w:adjustRightInd w:val="0"/>
              <w:snapToGrid w:val="0"/>
              <w:jc w:val="right"/>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1338.58</w:t>
            </w:r>
          </w:p>
        </w:tc>
        <w:tc>
          <w:tcPr>
            <w:tcW w:w="7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val="0"/>
              <w:adjustRightInd w:val="0"/>
              <w:snapToGrid w:val="0"/>
              <w:jc w:val="right"/>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45.40</w:t>
            </w:r>
          </w:p>
        </w:tc>
      </w:tr>
      <w:tr>
        <w:tblPrEx>
          <w:tblCellMar>
            <w:top w:w="0" w:type="dxa"/>
            <w:left w:w="108" w:type="dxa"/>
            <w:bottom w:w="0" w:type="dxa"/>
            <w:right w:w="108" w:type="dxa"/>
          </w:tblCellMar>
        </w:tblPrEx>
        <w:trPr>
          <w:trHeight w:val="543" w:hRule="atLeast"/>
        </w:trPr>
        <w:tc>
          <w:tcPr>
            <w:tcW w:w="581"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val="0"/>
              <w:adjustRightInd w:val="0"/>
              <w:snapToGrid w:val="0"/>
              <w:jc w:val="center"/>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2</w:t>
            </w:r>
          </w:p>
        </w:tc>
        <w:tc>
          <w:tcPr>
            <w:tcW w:w="7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val="0"/>
              <w:adjustRightInd w:val="0"/>
              <w:snapToGrid w:val="0"/>
              <w:jc w:val="center"/>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公用经费</w:t>
            </w:r>
          </w:p>
        </w:tc>
        <w:tc>
          <w:tcPr>
            <w:tcW w:w="8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val="0"/>
              <w:adjustRightInd w:val="0"/>
              <w:snapToGrid w:val="0"/>
              <w:jc w:val="right"/>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75.16</w:t>
            </w:r>
          </w:p>
        </w:tc>
        <w:tc>
          <w:tcPr>
            <w:tcW w:w="72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right"/>
              <w:rPr>
                <w:rFonts w:ascii="宋体" w:hAnsi="宋体" w:cs="宋体"/>
                <w:color w:val="000000"/>
                <w:kern w:val="0"/>
                <w:sz w:val="20"/>
                <w:szCs w:val="20"/>
              </w:rPr>
            </w:pPr>
          </w:p>
        </w:tc>
        <w:tc>
          <w:tcPr>
            <w:tcW w:w="65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right"/>
              <w:rPr>
                <w:rFonts w:ascii="宋体" w:hAnsi="宋体" w:cs="宋体"/>
                <w:color w:val="000000"/>
                <w:kern w:val="0"/>
                <w:sz w:val="20"/>
                <w:szCs w:val="20"/>
              </w:rPr>
            </w:pPr>
          </w:p>
        </w:tc>
        <w:tc>
          <w:tcPr>
            <w:tcW w:w="7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val="0"/>
              <w:adjustRightInd w:val="0"/>
              <w:snapToGrid w:val="0"/>
              <w:jc w:val="right"/>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75.16</w:t>
            </w:r>
          </w:p>
        </w:tc>
        <w:tc>
          <w:tcPr>
            <w:tcW w:w="7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val="0"/>
              <w:adjustRightInd w:val="0"/>
              <w:snapToGrid w:val="0"/>
              <w:jc w:val="right"/>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0.00</w:t>
            </w:r>
          </w:p>
        </w:tc>
      </w:tr>
      <w:tr>
        <w:tblPrEx>
          <w:tblCellMar>
            <w:top w:w="0" w:type="dxa"/>
            <w:left w:w="108" w:type="dxa"/>
            <w:bottom w:w="0" w:type="dxa"/>
            <w:right w:w="108" w:type="dxa"/>
          </w:tblCellMar>
        </w:tblPrEx>
        <w:trPr>
          <w:trHeight w:val="528" w:hRule="atLeast"/>
        </w:trPr>
        <w:tc>
          <w:tcPr>
            <w:tcW w:w="581"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val="0"/>
              <w:adjustRightInd w:val="0"/>
              <w:snapToGrid w:val="0"/>
              <w:jc w:val="center"/>
              <w:textAlignment w:val="center"/>
              <w:rPr>
                <w:rFonts w:ascii="宋体" w:hAnsi="宋体" w:cs="宋体"/>
                <w:b/>
                <w:bCs/>
                <w:color w:val="000000"/>
                <w:kern w:val="0"/>
                <w:sz w:val="20"/>
                <w:szCs w:val="20"/>
              </w:rPr>
            </w:pPr>
            <w:r>
              <w:rPr>
                <w:rFonts w:hint="eastAsia" w:ascii="宋体" w:hAnsi="宋体" w:cs="宋体"/>
                <w:b/>
                <w:bCs/>
                <w:color w:val="000000"/>
                <w:kern w:val="0"/>
                <w:sz w:val="20"/>
                <w:szCs w:val="20"/>
                <w:lang w:bidi="ar"/>
              </w:rPr>
              <w:t>二</w:t>
            </w:r>
          </w:p>
        </w:tc>
        <w:tc>
          <w:tcPr>
            <w:tcW w:w="7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val="0"/>
              <w:adjustRightInd w:val="0"/>
              <w:snapToGrid w:val="0"/>
              <w:jc w:val="left"/>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项目支出</w:t>
            </w:r>
          </w:p>
        </w:tc>
        <w:tc>
          <w:tcPr>
            <w:tcW w:w="8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val="0"/>
              <w:adjustRightInd w:val="0"/>
              <w:snapToGrid w:val="0"/>
              <w:jc w:val="right"/>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44069.87</w:t>
            </w:r>
          </w:p>
        </w:tc>
        <w:tc>
          <w:tcPr>
            <w:tcW w:w="72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right"/>
              <w:rPr>
                <w:rFonts w:ascii="宋体" w:hAnsi="宋体" w:cs="宋体"/>
                <w:color w:val="000000"/>
                <w:kern w:val="0"/>
                <w:sz w:val="20"/>
                <w:szCs w:val="20"/>
              </w:rPr>
            </w:pPr>
          </w:p>
        </w:tc>
        <w:tc>
          <w:tcPr>
            <w:tcW w:w="65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right"/>
              <w:rPr>
                <w:rFonts w:ascii="宋体" w:hAnsi="宋体" w:cs="宋体"/>
                <w:color w:val="000000"/>
                <w:kern w:val="0"/>
                <w:sz w:val="20"/>
                <w:szCs w:val="20"/>
              </w:rPr>
            </w:pPr>
          </w:p>
        </w:tc>
        <w:tc>
          <w:tcPr>
            <w:tcW w:w="7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val="0"/>
              <w:adjustRightInd w:val="0"/>
              <w:snapToGrid w:val="0"/>
              <w:jc w:val="right"/>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51742.63</w:t>
            </w:r>
          </w:p>
        </w:tc>
        <w:tc>
          <w:tcPr>
            <w:tcW w:w="7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val="0"/>
              <w:adjustRightInd w:val="0"/>
              <w:snapToGrid w:val="0"/>
              <w:jc w:val="right"/>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3247.83</w:t>
            </w:r>
          </w:p>
        </w:tc>
      </w:tr>
      <w:tr>
        <w:tblPrEx>
          <w:tblCellMar>
            <w:top w:w="0" w:type="dxa"/>
            <w:left w:w="108" w:type="dxa"/>
            <w:bottom w:w="0" w:type="dxa"/>
            <w:right w:w="108" w:type="dxa"/>
          </w:tblCellMar>
        </w:tblPrEx>
        <w:trPr>
          <w:trHeight w:val="528" w:hRule="atLeast"/>
        </w:trPr>
        <w:tc>
          <w:tcPr>
            <w:tcW w:w="130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val="0"/>
              <w:adjustRightInd w:val="0"/>
              <w:snapToGrid w:val="0"/>
              <w:jc w:val="center"/>
              <w:textAlignment w:val="center"/>
              <w:rPr>
                <w:rFonts w:ascii="宋体" w:hAnsi="宋体" w:cs="宋体"/>
                <w:b/>
                <w:bCs/>
                <w:color w:val="000000"/>
                <w:kern w:val="0"/>
                <w:sz w:val="20"/>
                <w:szCs w:val="20"/>
              </w:rPr>
            </w:pPr>
            <w:r>
              <w:rPr>
                <w:rFonts w:hint="eastAsia" w:ascii="宋体" w:hAnsi="宋体" w:cs="宋体"/>
                <w:b/>
                <w:bCs/>
                <w:color w:val="000000"/>
                <w:kern w:val="0"/>
                <w:sz w:val="20"/>
                <w:szCs w:val="20"/>
                <w:lang w:bidi="ar"/>
              </w:rPr>
              <w:t>合</w:t>
            </w:r>
            <w:r>
              <w:rPr>
                <w:rStyle w:val="19"/>
                <w:rFonts w:hint="default"/>
                <w:b/>
                <w:bCs/>
                <w:kern w:val="0"/>
                <w:lang w:bidi="ar"/>
              </w:rPr>
              <w:t xml:space="preserve">  计</w:t>
            </w:r>
          </w:p>
        </w:tc>
        <w:tc>
          <w:tcPr>
            <w:tcW w:w="8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val="0"/>
              <w:adjustRightInd w:val="0"/>
              <w:snapToGrid w:val="0"/>
              <w:jc w:val="right"/>
              <w:textAlignment w:val="center"/>
              <w:rPr>
                <w:rFonts w:ascii="宋体" w:hAnsi="宋体" w:cs="宋体"/>
                <w:b/>
                <w:bCs/>
                <w:color w:val="000000"/>
                <w:kern w:val="0"/>
                <w:sz w:val="20"/>
                <w:szCs w:val="20"/>
              </w:rPr>
            </w:pPr>
            <w:r>
              <w:rPr>
                <w:rFonts w:hint="eastAsia" w:ascii="宋体" w:hAnsi="宋体" w:cs="宋体"/>
                <w:b/>
                <w:bCs/>
                <w:color w:val="000000"/>
                <w:kern w:val="0"/>
                <w:sz w:val="20"/>
                <w:szCs w:val="20"/>
                <w:lang w:bidi="ar"/>
              </w:rPr>
              <w:t>45529.01</w:t>
            </w:r>
          </w:p>
        </w:tc>
        <w:tc>
          <w:tcPr>
            <w:tcW w:w="7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val="0"/>
              <w:adjustRightInd w:val="0"/>
              <w:snapToGrid w:val="0"/>
              <w:jc w:val="right"/>
              <w:textAlignment w:val="center"/>
              <w:rPr>
                <w:rFonts w:ascii="宋体" w:hAnsi="宋体" w:cs="宋体"/>
                <w:b/>
                <w:bCs/>
                <w:color w:val="000000"/>
                <w:kern w:val="0"/>
                <w:sz w:val="20"/>
                <w:szCs w:val="20"/>
              </w:rPr>
            </w:pPr>
            <w:r>
              <w:rPr>
                <w:rFonts w:hint="eastAsia" w:ascii="宋体" w:hAnsi="宋体" w:cs="宋体"/>
                <w:b/>
                <w:bCs/>
                <w:color w:val="000000"/>
                <w:kern w:val="0"/>
                <w:sz w:val="20"/>
                <w:szCs w:val="20"/>
                <w:lang w:bidi="ar"/>
              </w:rPr>
              <w:t>10920.59</w:t>
            </w:r>
          </w:p>
        </w:tc>
        <w:tc>
          <w:tcPr>
            <w:tcW w:w="6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val="0"/>
              <w:adjustRightInd w:val="0"/>
              <w:snapToGrid w:val="0"/>
              <w:jc w:val="right"/>
              <w:textAlignment w:val="center"/>
              <w:rPr>
                <w:rFonts w:ascii="宋体" w:hAnsi="宋体" w:cs="宋体"/>
                <w:b/>
                <w:bCs/>
                <w:color w:val="000000"/>
                <w:kern w:val="0"/>
                <w:sz w:val="20"/>
                <w:szCs w:val="20"/>
              </w:rPr>
            </w:pPr>
            <w:r>
              <w:rPr>
                <w:rFonts w:hint="eastAsia" w:ascii="宋体" w:hAnsi="宋体" w:cs="宋体"/>
                <w:b/>
                <w:bCs/>
                <w:color w:val="000000"/>
                <w:kern w:val="0"/>
                <w:sz w:val="20"/>
                <w:szCs w:val="20"/>
                <w:lang w:bidi="ar"/>
              </w:rPr>
              <w:t>56449.60</w:t>
            </w:r>
          </w:p>
        </w:tc>
        <w:tc>
          <w:tcPr>
            <w:tcW w:w="7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val="0"/>
              <w:adjustRightInd w:val="0"/>
              <w:snapToGrid w:val="0"/>
              <w:jc w:val="right"/>
              <w:textAlignment w:val="center"/>
              <w:rPr>
                <w:rFonts w:ascii="宋体" w:hAnsi="宋体" w:cs="宋体"/>
                <w:b/>
                <w:bCs/>
                <w:color w:val="000000"/>
                <w:kern w:val="0"/>
                <w:sz w:val="20"/>
                <w:szCs w:val="20"/>
              </w:rPr>
            </w:pPr>
            <w:r>
              <w:rPr>
                <w:rFonts w:hint="eastAsia" w:ascii="宋体" w:hAnsi="宋体" w:cs="宋体"/>
                <w:b/>
                <w:bCs/>
                <w:color w:val="000000"/>
                <w:kern w:val="0"/>
                <w:sz w:val="20"/>
                <w:szCs w:val="20"/>
                <w:lang w:bidi="ar"/>
              </w:rPr>
              <w:t>53156.37</w:t>
            </w:r>
          </w:p>
        </w:tc>
        <w:tc>
          <w:tcPr>
            <w:tcW w:w="7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val="0"/>
              <w:adjustRightInd w:val="0"/>
              <w:snapToGrid w:val="0"/>
              <w:jc w:val="right"/>
              <w:textAlignment w:val="center"/>
              <w:rPr>
                <w:rFonts w:ascii="宋体" w:hAnsi="宋体" w:cs="宋体"/>
                <w:b/>
                <w:bCs/>
                <w:color w:val="000000"/>
                <w:kern w:val="0"/>
                <w:sz w:val="20"/>
                <w:szCs w:val="20"/>
              </w:rPr>
            </w:pPr>
            <w:r>
              <w:rPr>
                <w:rFonts w:hint="eastAsia" w:ascii="宋体" w:hAnsi="宋体" w:cs="宋体"/>
                <w:b/>
                <w:bCs/>
                <w:color w:val="000000"/>
                <w:kern w:val="0"/>
                <w:sz w:val="20"/>
                <w:szCs w:val="20"/>
                <w:lang w:bidi="ar"/>
              </w:rPr>
              <w:t>3293.23</w:t>
            </w:r>
          </w:p>
        </w:tc>
      </w:tr>
    </w:tbl>
    <w:p>
      <w:pPr>
        <w:pStyle w:val="5"/>
        <w:adjustRightInd w:val="0"/>
        <w:snapToGrid w:val="0"/>
        <w:rPr>
          <w:kern w:val="0"/>
          <w:sz w:val="32"/>
          <w:szCs w:val="22"/>
          <w:highlight w:val="yellow"/>
        </w:rPr>
      </w:pPr>
    </w:p>
    <w:p>
      <w:pPr>
        <w:adjustRightInd w:val="0"/>
        <w:snapToGrid w:val="0"/>
        <w:spacing w:line="560" w:lineRule="exact"/>
        <w:ind w:firstLine="640" w:firstLineChars="200"/>
        <w:outlineLvl w:val="1"/>
        <w:rPr>
          <w:rFonts w:ascii="楷体" w:hAnsi="楷体" w:eastAsia="楷体" w:cs="楷体_GB2312"/>
          <w:bCs/>
          <w:kern w:val="0"/>
          <w:sz w:val="32"/>
          <w:szCs w:val="32"/>
        </w:rPr>
      </w:pPr>
      <w:r>
        <w:rPr>
          <w:rFonts w:hint="eastAsia" w:ascii="楷体" w:hAnsi="楷体" w:eastAsia="楷体" w:cs="楷体_GB2312"/>
          <w:bCs/>
          <w:kern w:val="0"/>
          <w:sz w:val="32"/>
          <w:szCs w:val="32"/>
        </w:rPr>
        <w:t>（三）部门整体支出绩效目标、指标</w:t>
      </w:r>
    </w:p>
    <w:p>
      <w:pPr>
        <w:adjustRightInd w:val="0"/>
        <w:snapToGrid w:val="0"/>
        <w:spacing w:line="560" w:lineRule="exact"/>
        <w:ind w:firstLine="640" w:firstLineChars="200"/>
        <w:outlineLvl w:val="2"/>
        <w:rPr>
          <w:rFonts w:ascii="仿宋" w:hAnsi="仿宋" w:eastAsia="仿宋"/>
          <w:kern w:val="0"/>
          <w:sz w:val="32"/>
          <w:szCs w:val="32"/>
        </w:rPr>
      </w:pPr>
      <w:r>
        <w:rPr>
          <w:rFonts w:hint="eastAsia" w:ascii="仿宋" w:hAnsi="仿宋" w:eastAsia="仿宋"/>
          <w:kern w:val="0"/>
          <w:sz w:val="32"/>
          <w:szCs w:val="32"/>
        </w:rPr>
        <w:t>1.总体绩效目标</w:t>
      </w:r>
    </w:p>
    <w:p>
      <w:pPr>
        <w:adjustRightInd w:val="0"/>
        <w:snapToGrid w:val="0"/>
        <w:spacing w:line="560" w:lineRule="exact"/>
        <w:ind w:firstLine="640" w:firstLineChars="200"/>
        <w:rPr>
          <w:rFonts w:ascii="仿宋" w:hAnsi="仿宋" w:eastAsia="仿宋"/>
          <w:kern w:val="0"/>
          <w:sz w:val="32"/>
          <w:szCs w:val="32"/>
        </w:rPr>
      </w:pPr>
      <w:r>
        <w:rPr>
          <w:rFonts w:hint="eastAsia" w:ascii="仿宋" w:hAnsi="仿宋" w:eastAsia="仿宋"/>
          <w:kern w:val="0"/>
          <w:sz w:val="32"/>
          <w:szCs w:val="32"/>
        </w:rPr>
        <w:t>2022年，代建中心将继续严管理、抓落实、快推进，以市委、市政府确定的重点民生项目为核心，集中精力抓好代建项目推进。继续推进完成2021年已开工的续建项目建设，确保时限性强的项目如期完工验收，启动实施2022年新代建项目。按照市委、市政府统一安排部署，不断加强内部制度建设，将改革向纵深推进。全力打造精品工程、标杆工程、廉洁工程、放心工程，不断提升项目管理水平，展示良好的政府投资项目形象。</w:t>
      </w:r>
    </w:p>
    <w:p>
      <w:pPr>
        <w:adjustRightInd w:val="0"/>
        <w:snapToGrid w:val="0"/>
        <w:spacing w:line="560" w:lineRule="exact"/>
        <w:ind w:firstLine="640" w:firstLineChars="200"/>
        <w:outlineLvl w:val="2"/>
        <w:rPr>
          <w:rFonts w:ascii="仿宋" w:hAnsi="仿宋" w:eastAsia="仿宋"/>
          <w:kern w:val="0"/>
          <w:sz w:val="32"/>
          <w:szCs w:val="32"/>
        </w:rPr>
      </w:pPr>
      <w:r>
        <w:rPr>
          <w:rFonts w:hint="eastAsia" w:ascii="仿宋" w:hAnsi="仿宋" w:eastAsia="仿宋"/>
          <w:kern w:val="0"/>
          <w:sz w:val="32"/>
          <w:szCs w:val="32"/>
        </w:rPr>
        <w:t>2.分项绩效目标</w:t>
      </w:r>
    </w:p>
    <w:p>
      <w:pPr>
        <w:adjustRightInd w:val="0"/>
        <w:snapToGrid w:val="0"/>
        <w:spacing w:line="560" w:lineRule="exact"/>
        <w:ind w:firstLine="640" w:firstLineChars="200"/>
        <w:rPr>
          <w:rFonts w:ascii="仿宋" w:hAnsi="仿宋" w:eastAsia="仿宋"/>
          <w:kern w:val="0"/>
          <w:sz w:val="32"/>
          <w:szCs w:val="32"/>
        </w:rPr>
      </w:pPr>
      <w:r>
        <w:rPr>
          <w:rFonts w:hint="eastAsia" w:ascii="仿宋" w:hAnsi="仿宋" w:eastAsia="仿宋"/>
          <w:kern w:val="0"/>
          <w:sz w:val="32"/>
          <w:szCs w:val="32"/>
        </w:rPr>
        <w:t>我单位从抓好代建项目推进、提高代建项目质量、优化项目管理水平等方面细化设置了分项绩效目标，涵盖部门</w:t>
      </w:r>
      <w:r>
        <w:rPr>
          <w:rFonts w:hint="eastAsia" w:ascii="仿宋" w:hAnsi="仿宋" w:eastAsia="仿宋"/>
          <w:kern w:val="0"/>
          <w:sz w:val="32"/>
          <w:szCs w:val="32"/>
          <w:lang w:val="en-US" w:eastAsia="zh-CN"/>
        </w:rPr>
        <w:t>年度</w:t>
      </w:r>
      <w:r>
        <w:rPr>
          <w:rFonts w:hint="eastAsia" w:ascii="仿宋" w:hAnsi="仿宋" w:eastAsia="仿宋"/>
          <w:kern w:val="0"/>
          <w:sz w:val="32"/>
          <w:szCs w:val="32"/>
        </w:rPr>
        <w:t>工作内容，具体内容见表3。</w:t>
      </w:r>
    </w:p>
    <w:p>
      <w:pPr>
        <w:adjustRightInd w:val="0"/>
        <w:snapToGrid w:val="0"/>
        <w:spacing w:line="560" w:lineRule="exact"/>
        <w:jc w:val="center"/>
        <w:rPr>
          <w:rFonts w:ascii="黑体" w:hAnsi="黑体" w:eastAsia="黑体"/>
          <w:bCs/>
          <w:snapToGrid w:val="0"/>
          <w:kern w:val="0"/>
          <w:sz w:val="28"/>
          <w:szCs w:val="28"/>
        </w:rPr>
      </w:pPr>
      <w:r>
        <w:rPr>
          <w:rFonts w:ascii="黑体" w:hAnsi="黑体" w:eastAsia="黑体"/>
          <w:bCs/>
          <w:snapToGrid w:val="0"/>
          <w:kern w:val="0"/>
          <w:sz w:val="28"/>
          <w:szCs w:val="28"/>
        </w:rPr>
        <w:t>表</w:t>
      </w:r>
      <w:r>
        <w:rPr>
          <w:rFonts w:hint="eastAsia" w:ascii="黑体" w:hAnsi="黑体" w:eastAsia="黑体"/>
          <w:bCs/>
          <w:snapToGrid w:val="0"/>
          <w:kern w:val="0"/>
          <w:sz w:val="28"/>
          <w:szCs w:val="28"/>
        </w:rPr>
        <w:t>3</w:t>
      </w:r>
      <w:r>
        <w:rPr>
          <w:rFonts w:ascii="黑体" w:hAnsi="黑体" w:eastAsia="黑体"/>
          <w:bCs/>
          <w:snapToGrid w:val="0"/>
          <w:kern w:val="0"/>
          <w:sz w:val="28"/>
          <w:szCs w:val="28"/>
        </w:rPr>
        <w:t>：</w:t>
      </w:r>
      <w:r>
        <w:rPr>
          <w:rFonts w:hint="eastAsia" w:ascii="黑体" w:hAnsi="黑体" w:eastAsia="黑体"/>
          <w:bCs/>
          <w:snapToGrid w:val="0"/>
          <w:kern w:val="0"/>
          <w:sz w:val="28"/>
          <w:szCs w:val="28"/>
        </w:rPr>
        <w:t>2022</w:t>
      </w:r>
      <w:r>
        <w:rPr>
          <w:rFonts w:ascii="黑体" w:hAnsi="黑体" w:eastAsia="黑体"/>
          <w:bCs/>
          <w:snapToGrid w:val="0"/>
          <w:kern w:val="0"/>
          <w:sz w:val="28"/>
          <w:szCs w:val="28"/>
        </w:rPr>
        <w:t>年度</w:t>
      </w:r>
      <w:r>
        <w:rPr>
          <w:rFonts w:hint="eastAsia" w:ascii="黑体" w:hAnsi="黑体" w:eastAsia="黑体"/>
          <w:bCs/>
          <w:snapToGrid w:val="0"/>
          <w:kern w:val="0"/>
          <w:sz w:val="28"/>
          <w:szCs w:val="28"/>
        </w:rPr>
        <w:t>部门分项绩效目标设置一览表</w:t>
      </w:r>
    </w:p>
    <w:tbl>
      <w:tblPr>
        <w:tblStyle w:val="12"/>
        <w:tblW w:w="4998" w:type="pct"/>
        <w:jc w:val="center"/>
        <w:tblLayout w:type="autofit"/>
        <w:tblCellMar>
          <w:top w:w="0" w:type="dxa"/>
          <w:left w:w="108" w:type="dxa"/>
          <w:bottom w:w="0" w:type="dxa"/>
          <w:right w:w="108" w:type="dxa"/>
        </w:tblCellMar>
      </w:tblPr>
      <w:tblGrid>
        <w:gridCol w:w="621"/>
        <w:gridCol w:w="1988"/>
        <w:gridCol w:w="3610"/>
        <w:gridCol w:w="2838"/>
      </w:tblGrid>
      <w:tr>
        <w:tblPrEx>
          <w:tblCellMar>
            <w:top w:w="0" w:type="dxa"/>
            <w:left w:w="108" w:type="dxa"/>
            <w:bottom w:w="0" w:type="dxa"/>
            <w:right w:w="108" w:type="dxa"/>
          </w:tblCellMar>
        </w:tblPrEx>
        <w:trPr>
          <w:trHeight w:val="680" w:hRule="atLeast"/>
          <w:jc w:val="center"/>
        </w:trPr>
        <w:tc>
          <w:tcPr>
            <w:tcW w:w="3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center"/>
              <w:textAlignment w:val="center"/>
              <w:rPr>
                <w:rFonts w:ascii="宋体" w:hAnsi="宋体" w:cs="宋体"/>
                <w:b/>
                <w:bCs/>
                <w:color w:val="000000"/>
                <w:kern w:val="0"/>
                <w:sz w:val="20"/>
                <w:szCs w:val="20"/>
              </w:rPr>
            </w:pPr>
            <w:r>
              <w:rPr>
                <w:rFonts w:hint="eastAsia" w:ascii="宋体" w:hAnsi="宋体" w:cs="宋体"/>
                <w:b/>
                <w:bCs/>
                <w:color w:val="000000"/>
                <w:kern w:val="0"/>
                <w:sz w:val="20"/>
                <w:szCs w:val="20"/>
                <w:lang w:bidi="ar"/>
              </w:rPr>
              <w:t>序号</w:t>
            </w:r>
          </w:p>
        </w:tc>
        <w:tc>
          <w:tcPr>
            <w:tcW w:w="1097"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ascii="宋体" w:hAnsi="宋体" w:cs="宋体"/>
                <w:b/>
                <w:bCs/>
                <w:color w:val="000000"/>
                <w:kern w:val="0"/>
                <w:sz w:val="20"/>
                <w:szCs w:val="20"/>
              </w:rPr>
            </w:pPr>
            <w:r>
              <w:rPr>
                <w:rFonts w:hint="eastAsia" w:ascii="宋体" w:hAnsi="宋体" w:cs="宋体"/>
                <w:b/>
                <w:bCs/>
                <w:color w:val="000000"/>
                <w:kern w:val="0"/>
                <w:sz w:val="20"/>
                <w:szCs w:val="20"/>
                <w:lang w:bidi="ar"/>
              </w:rPr>
              <w:t>分项目标</w:t>
            </w:r>
          </w:p>
        </w:tc>
        <w:tc>
          <w:tcPr>
            <w:tcW w:w="1992"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ascii="宋体" w:hAnsi="宋体" w:cs="宋体"/>
                <w:b/>
                <w:bCs/>
                <w:color w:val="000000"/>
                <w:kern w:val="0"/>
                <w:sz w:val="20"/>
                <w:szCs w:val="20"/>
              </w:rPr>
            </w:pPr>
            <w:r>
              <w:rPr>
                <w:rFonts w:hint="eastAsia" w:ascii="宋体" w:hAnsi="宋体" w:cs="宋体"/>
                <w:b/>
                <w:bCs/>
                <w:color w:val="000000"/>
                <w:kern w:val="0"/>
                <w:sz w:val="20"/>
                <w:szCs w:val="20"/>
                <w:lang w:bidi="ar"/>
              </w:rPr>
              <w:t>绩效目标</w:t>
            </w:r>
          </w:p>
        </w:tc>
        <w:tc>
          <w:tcPr>
            <w:tcW w:w="1566"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ascii="宋体" w:hAnsi="宋体" w:cs="宋体"/>
                <w:b/>
                <w:bCs/>
                <w:color w:val="000000"/>
                <w:kern w:val="0"/>
                <w:sz w:val="20"/>
                <w:szCs w:val="20"/>
              </w:rPr>
            </w:pPr>
            <w:r>
              <w:rPr>
                <w:rFonts w:hint="eastAsia" w:ascii="宋体" w:hAnsi="宋体" w:cs="宋体"/>
                <w:b/>
                <w:bCs/>
                <w:color w:val="000000"/>
                <w:kern w:val="0"/>
                <w:sz w:val="20"/>
                <w:szCs w:val="20"/>
                <w:lang w:bidi="ar"/>
              </w:rPr>
              <w:t>绩效指标</w:t>
            </w:r>
          </w:p>
        </w:tc>
      </w:tr>
      <w:tr>
        <w:tblPrEx>
          <w:tblCellMar>
            <w:top w:w="0" w:type="dxa"/>
            <w:left w:w="108" w:type="dxa"/>
            <w:bottom w:w="0" w:type="dxa"/>
            <w:right w:w="108" w:type="dxa"/>
          </w:tblCellMar>
        </w:tblPrEx>
        <w:trPr>
          <w:trHeight w:val="1956" w:hRule="atLeast"/>
          <w:jc w:val="center"/>
        </w:trPr>
        <w:tc>
          <w:tcPr>
            <w:tcW w:w="3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center"/>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1</w:t>
            </w:r>
          </w:p>
        </w:tc>
        <w:tc>
          <w:tcPr>
            <w:tcW w:w="1097"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both"/>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以市委、市政府确定的重点民生项目为核心，集中精力抓好代建项目推进</w:t>
            </w:r>
          </w:p>
        </w:tc>
        <w:tc>
          <w:tcPr>
            <w:tcW w:w="1992"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both"/>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继续推进完成2021年未完工的项目，确保代建项目如期竣工验收，如石家庄市二中四期项目，项目如期完工；启动2022年新代建项目，保证新代建项目如期开工，如市人民医院河北省重症肌无力医院建设、市口腔医院改造。</w:t>
            </w:r>
          </w:p>
        </w:tc>
        <w:tc>
          <w:tcPr>
            <w:tcW w:w="1566"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both"/>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工程按期完成率100%；通过验收的工程量占验收建设总量90%；新代建项目按期开工率95%。</w:t>
            </w:r>
          </w:p>
        </w:tc>
      </w:tr>
      <w:tr>
        <w:tblPrEx>
          <w:tblCellMar>
            <w:top w:w="0" w:type="dxa"/>
            <w:left w:w="108" w:type="dxa"/>
            <w:bottom w:w="0" w:type="dxa"/>
            <w:right w:w="108" w:type="dxa"/>
          </w:tblCellMar>
        </w:tblPrEx>
        <w:trPr>
          <w:trHeight w:val="1768" w:hRule="atLeast"/>
          <w:jc w:val="center"/>
        </w:trPr>
        <w:tc>
          <w:tcPr>
            <w:tcW w:w="3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center"/>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2</w:t>
            </w:r>
          </w:p>
        </w:tc>
        <w:tc>
          <w:tcPr>
            <w:tcW w:w="1097"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both"/>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按照市委、市政府统一安排部署，不断提高代建项目质量、安全及文明施工水平</w:t>
            </w:r>
          </w:p>
        </w:tc>
        <w:tc>
          <w:tcPr>
            <w:tcW w:w="1992"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both"/>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促进代建项目质量、安全及文明施工水平提高，保障施工质量安全及扬尘治理水平规范现场管理。</w:t>
            </w:r>
          </w:p>
        </w:tc>
        <w:tc>
          <w:tcPr>
            <w:tcW w:w="1566"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both"/>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项目现场考核覆盖率大于90%；进行现场检查考核并对检查出具考核报告大于或等于10次；检查考核完成后应在三天内出具考核报告。</w:t>
            </w:r>
          </w:p>
        </w:tc>
      </w:tr>
      <w:tr>
        <w:tblPrEx>
          <w:tblCellMar>
            <w:top w:w="0" w:type="dxa"/>
            <w:left w:w="108" w:type="dxa"/>
            <w:bottom w:w="0" w:type="dxa"/>
            <w:right w:w="108" w:type="dxa"/>
          </w:tblCellMar>
        </w:tblPrEx>
        <w:trPr>
          <w:trHeight w:val="2519" w:hRule="atLeast"/>
          <w:jc w:val="center"/>
        </w:trPr>
        <w:tc>
          <w:tcPr>
            <w:tcW w:w="3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center"/>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3</w:t>
            </w:r>
          </w:p>
        </w:tc>
        <w:tc>
          <w:tcPr>
            <w:tcW w:w="1097"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both"/>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以建精品、创品牌、树标杆为目标，不断提升项目管理水平，展示良好的政府投资项目形象</w:t>
            </w:r>
          </w:p>
        </w:tc>
        <w:tc>
          <w:tcPr>
            <w:tcW w:w="1992"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both"/>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外抓管理、内强素质，严把工程质量关、参建单位管理关、现场文明施工关，促进代建项目质量、安全及文明施工水平提高；保障施工质量安全及扬尘治理水平规范现场管理，努力将每一项代建工程打造成为质量标杆工程、扬尘治理标杆工地，展示良好的政府投资项目形象。</w:t>
            </w:r>
          </w:p>
        </w:tc>
        <w:tc>
          <w:tcPr>
            <w:tcW w:w="1566"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both"/>
              <w:textAlignment w:val="center"/>
              <w:rPr>
                <w:rFonts w:ascii="宋体" w:hAnsi="宋体" w:cs="宋体"/>
                <w:color w:val="000000"/>
                <w:kern w:val="0"/>
                <w:sz w:val="20"/>
                <w:szCs w:val="20"/>
              </w:rPr>
            </w:pPr>
            <w:r>
              <w:rPr>
                <w:rFonts w:hint="eastAsia" w:ascii="宋体" w:hAnsi="宋体" w:cs="宋体"/>
                <w:color w:val="000000"/>
                <w:kern w:val="0"/>
                <w:sz w:val="20"/>
                <w:szCs w:val="20"/>
                <w:lang w:bidi="ar"/>
              </w:rPr>
              <w:t>通过验收的单位工程均符合河北省建筑质量验收规范确定的标准；未发生较大及以上安全事故；严格按照《石家庄市严管建筑施工扬尘十二条》规定达到“六个百分百、两个全覆盖”，代建项目工地环保合格率100%。</w:t>
            </w:r>
          </w:p>
        </w:tc>
      </w:tr>
    </w:tbl>
    <w:p>
      <w:pPr>
        <w:adjustRightInd w:val="0"/>
        <w:snapToGrid w:val="0"/>
        <w:rPr>
          <w:rFonts w:ascii="仿宋" w:hAnsi="仿宋" w:eastAsia="仿宋"/>
          <w:kern w:val="0"/>
          <w:sz w:val="24"/>
          <w:szCs w:val="24"/>
        </w:rPr>
      </w:pPr>
    </w:p>
    <w:p>
      <w:pPr>
        <w:adjustRightInd w:val="0"/>
        <w:snapToGrid w:val="0"/>
        <w:spacing w:line="560" w:lineRule="exact"/>
        <w:ind w:firstLine="640" w:firstLineChars="200"/>
        <w:outlineLvl w:val="0"/>
        <w:rPr>
          <w:rFonts w:ascii="黑体" w:hAnsi="黑体" w:eastAsia="黑体"/>
          <w:kern w:val="0"/>
          <w:sz w:val="32"/>
          <w:szCs w:val="32"/>
        </w:rPr>
      </w:pPr>
      <w:r>
        <w:rPr>
          <w:rFonts w:hint="eastAsia" w:ascii="黑体" w:hAnsi="黑体" w:eastAsia="黑体"/>
          <w:kern w:val="0"/>
          <w:sz w:val="32"/>
          <w:szCs w:val="32"/>
        </w:rPr>
        <w:t>二、自评工作开展情况</w:t>
      </w:r>
    </w:p>
    <w:p>
      <w:pPr>
        <w:adjustRightInd w:val="0"/>
        <w:snapToGrid w:val="0"/>
        <w:spacing w:line="560" w:lineRule="exact"/>
        <w:ind w:firstLine="640" w:firstLineChars="200"/>
        <w:outlineLvl w:val="1"/>
        <w:rPr>
          <w:rFonts w:ascii="楷体" w:hAnsi="楷体" w:eastAsia="楷体" w:cs="楷体"/>
          <w:snapToGrid w:val="0"/>
          <w:kern w:val="0"/>
          <w:sz w:val="32"/>
          <w:szCs w:val="32"/>
        </w:rPr>
      </w:pPr>
      <w:r>
        <w:rPr>
          <w:rFonts w:hint="eastAsia" w:ascii="楷体" w:hAnsi="楷体" w:eastAsia="楷体" w:cs="楷体"/>
          <w:snapToGrid w:val="0"/>
          <w:kern w:val="0"/>
          <w:sz w:val="32"/>
          <w:szCs w:val="32"/>
        </w:rPr>
        <w:t>（一）自评的组织工作</w:t>
      </w:r>
    </w:p>
    <w:p>
      <w:pPr>
        <w:adjustRightInd w:val="0"/>
        <w:snapToGrid w:val="0"/>
        <w:spacing w:line="560" w:lineRule="exact"/>
        <w:ind w:firstLine="640" w:firstLineChars="200"/>
        <w:outlineLvl w:val="2"/>
        <w:rPr>
          <w:rFonts w:ascii="仿宋" w:hAnsi="仿宋" w:eastAsia="仿宋" w:cs="仿宋"/>
          <w:snapToGrid w:val="0"/>
          <w:kern w:val="0"/>
          <w:sz w:val="32"/>
          <w:szCs w:val="32"/>
        </w:rPr>
      </w:pPr>
      <w:r>
        <w:rPr>
          <w:rFonts w:hint="eastAsia" w:ascii="仿宋" w:hAnsi="仿宋" w:eastAsia="仿宋" w:cs="仿宋"/>
          <w:snapToGrid w:val="0"/>
          <w:kern w:val="0"/>
          <w:sz w:val="32"/>
          <w:szCs w:val="32"/>
        </w:rPr>
        <w:t>1.组织机构</w:t>
      </w:r>
    </w:p>
    <w:p>
      <w:pPr>
        <w:adjustRightInd w:val="0"/>
        <w:snapToGrid w:val="0"/>
        <w:spacing w:line="560" w:lineRule="exact"/>
        <w:ind w:firstLine="640" w:firstLineChars="200"/>
        <w:rPr>
          <w:rFonts w:ascii="仿宋" w:hAnsi="仿宋" w:eastAsia="仿宋" w:cs="仿宋"/>
          <w:snapToGrid w:val="0"/>
          <w:kern w:val="0"/>
          <w:sz w:val="32"/>
          <w:szCs w:val="32"/>
        </w:rPr>
      </w:pPr>
      <w:r>
        <w:rPr>
          <w:rFonts w:ascii="仿宋" w:hAnsi="仿宋" w:eastAsia="仿宋" w:cs="仿宋"/>
          <w:snapToGrid w:val="0"/>
          <w:kern w:val="0"/>
          <w:sz w:val="32"/>
          <w:szCs w:val="32"/>
        </w:rPr>
        <w:t>为</w:t>
      </w:r>
      <w:r>
        <w:rPr>
          <w:rFonts w:hint="eastAsia" w:ascii="仿宋" w:hAnsi="仿宋" w:eastAsia="仿宋" w:cs="仿宋"/>
          <w:snapToGrid w:val="0"/>
          <w:kern w:val="0"/>
          <w:sz w:val="32"/>
          <w:szCs w:val="32"/>
        </w:rPr>
        <w:t>提升</w:t>
      </w:r>
      <w:r>
        <w:rPr>
          <w:rFonts w:ascii="仿宋" w:hAnsi="仿宋" w:eastAsia="仿宋" w:cs="仿宋"/>
          <w:snapToGrid w:val="0"/>
          <w:kern w:val="0"/>
          <w:sz w:val="32"/>
          <w:szCs w:val="32"/>
        </w:rPr>
        <w:t>部门科学决策</w:t>
      </w:r>
      <w:r>
        <w:rPr>
          <w:rFonts w:hint="eastAsia" w:ascii="仿宋" w:hAnsi="仿宋" w:eastAsia="仿宋" w:cs="仿宋"/>
          <w:snapToGrid w:val="0"/>
          <w:kern w:val="0"/>
          <w:sz w:val="32"/>
          <w:szCs w:val="32"/>
        </w:rPr>
        <w:t>水平，提高</w:t>
      </w:r>
      <w:r>
        <w:rPr>
          <w:rFonts w:ascii="仿宋" w:hAnsi="仿宋" w:eastAsia="仿宋" w:cs="仿宋"/>
          <w:snapToGrid w:val="0"/>
          <w:kern w:val="0"/>
          <w:sz w:val="32"/>
          <w:szCs w:val="32"/>
        </w:rPr>
        <w:t>管理</w:t>
      </w:r>
      <w:r>
        <w:rPr>
          <w:rFonts w:hint="eastAsia" w:ascii="仿宋" w:hAnsi="仿宋" w:eastAsia="仿宋" w:cs="仿宋"/>
          <w:snapToGrid w:val="0"/>
          <w:kern w:val="0"/>
          <w:sz w:val="32"/>
          <w:szCs w:val="32"/>
        </w:rPr>
        <w:t>的规范性</w:t>
      </w:r>
      <w:r>
        <w:rPr>
          <w:rFonts w:ascii="仿宋" w:hAnsi="仿宋" w:eastAsia="仿宋" w:cs="仿宋"/>
          <w:snapToGrid w:val="0"/>
          <w:kern w:val="0"/>
          <w:sz w:val="32"/>
          <w:szCs w:val="32"/>
        </w:rPr>
        <w:t>，促进单位总结经验、发现问题、改进工作，提高财政资源配置效率和使用效益</w:t>
      </w:r>
      <w:r>
        <w:rPr>
          <w:rFonts w:hint="eastAsia" w:ascii="仿宋" w:hAnsi="仿宋" w:eastAsia="仿宋" w:cs="仿宋"/>
          <w:snapToGrid w:val="0"/>
          <w:kern w:val="0"/>
          <w:sz w:val="32"/>
          <w:szCs w:val="32"/>
        </w:rPr>
        <w:t>，确保部门整体支出自评工作顺利开展，我单位组建了由樊风波副主任为组长，计财科科长陈娟为副组长，办公室、审计科、项目审核科等科室负责人及项目负责人为成员的部门自评工作领导小组（以下简称“自评工作组”），负责本次部门自评工作的组织领导和具体实施。</w:t>
      </w:r>
    </w:p>
    <w:p>
      <w:pPr>
        <w:adjustRightInd w:val="0"/>
        <w:snapToGrid w:val="0"/>
        <w:spacing w:line="560" w:lineRule="exact"/>
        <w:ind w:firstLine="640" w:firstLineChars="200"/>
        <w:outlineLvl w:val="2"/>
        <w:rPr>
          <w:rFonts w:ascii="仿宋" w:hAnsi="仿宋" w:eastAsia="仿宋" w:cs="仿宋"/>
          <w:snapToGrid w:val="0"/>
          <w:kern w:val="0"/>
          <w:sz w:val="32"/>
          <w:szCs w:val="32"/>
        </w:rPr>
      </w:pPr>
      <w:bookmarkStart w:id="1" w:name="_Toc520666771"/>
      <w:bookmarkStart w:id="2" w:name="_Toc7510957"/>
      <w:bookmarkStart w:id="3" w:name="_Toc520808401"/>
      <w:r>
        <w:rPr>
          <w:rFonts w:hint="eastAsia" w:ascii="仿宋" w:hAnsi="仿宋" w:eastAsia="仿宋" w:cs="仿宋"/>
          <w:snapToGrid w:val="0"/>
          <w:kern w:val="0"/>
          <w:sz w:val="32"/>
          <w:szCs w:val="32"/>
        </w:rPr>
        <w:t>2.评价内容</w:t>
      </w:r>
      <w:bookmarkEnd w:id="1"/>
      <w:bookmarkEnd w:id="2"/>
      <w:bookmarkEnd w:id="3"/>
    </w:p>
    <w:p>
      <w:pPr>
        <w:adjustRightInd w:val="0"/>
        <w:snapToGrid w:val="0"/>
        <w:spacing w:line="560" w:lineRule="exact"/>
        <w:ind w:firstLine="640" w:firstLineChars="200"/>
        <w:rPr>
          <w:rFonts w:ascii="仿宋" w:hAnsi="仿宋" w:eastAsia="仿宋" w:cs="仿宋"/>
          <w:snapToGrid w:val="0"/>
          <w:kern w:val="0"/>
          <w:sz w:val="32"/>
          <w:szCs w:val="32"/>
        </w:rPr>
      </w:pPr>
      <w:r>
        <w:rPr>
          <w:rFonts w:hint="eastAsia" w:ascii="仿宋" w:hAnsi="仿宋" w:eastAsia="仿宋" w:cs="仿宋"/>
          <w:snapToGrid w:val="0"/>
          <w:kern w:val="0"/>
          <w:sz w:val="32"/>
          <w:szCs w:val="32"/>
        </w:rPr>
        <w:t>按照市财政局对于部门整体支出评价的要求，结合上一年度部门自评工作经验，本次主要对我单位2022年度部门整体支出的绩效目标设定情况、资金投入和使用情况、为实现绩效目标制定的制度及采取的措施、绩效目标的实现程度及效果等内容进行评价。</w:t>
      </w:r>
    </w:p>
    <w:p>
      <w:pPr>
        <w:adjustRightInd w:val="0"/>
        <w:snapToGrid w:val="0"/>
        <w:spacing w:line="560" w:lineRule="exact"/>
        <w:ind w:firstLine="640" w:firstLineChars="200"/>
        <w:outlineLvl w:val="2"/>
        <w:rPr>
          <w:rFonts w:ascii="仿宋" w:hAnsi="仿宋" w:eastAsia="仿宋" w:cs="仿宋"/>
          <w:snapToGrid w:val="0"/>
          <w:kern w:val="0"/>
          <w:sz w:val="32"/>
          <w:szCs w:val="32"/>
        </w:rPr>
      </w:pPr>
      <w:r>
        <w:rPr>
          <w:rFonts w:hint="eastAsia" w:ascii="仿宋" w:hAnsi="仿宋" w:eastAsia="仿宋" w:cs="仿宋"/>
          <w:snapToGrid w:val="0"/>
          <w:kern w:val="0"/>
          <w:sz w:val="32"/>
          <w:szCs w:val="32"/>
        </w:rPr>
        <w:t>3.评价过程</w:t>
      </w:r>
    </w:p>
    <w:p>
      <w:pPr>
        <w:adjustRightInd w:val="0"/>
        <w:snapToGrid w:val="0"/>
        <w:spacing w:line="560" w:lineRule="exact"/>
        <w:ind w:firstLine="640" w:firstLineChars="200"/>
        <w:rPr>
          <w:rFonts w:ascii="仿宋" w:hAnsi="仿宋" w:eastAsia="仿宋" w:cs="仿宋"/>
          <w:snapToGrid w:val="0"/>
          <w:kern w:val="0"/>
          <w:sz w:val="32"/>
          <w:szCs w:val="32"/>
        </w:rPr>
      </w:pPr>
      <w:r>
        <w:rPr>
          <w:rFonts w:hint="eastAsia" w:ascii="仿宋" w:hAnsi="仿宋" w:eastAsia="仿宋" w:cs="仿宋"/>
          <w:snapToGrid w:val="0"/>
          <w:kern w:val="0"/>
          <w:sz w:val="32"/>
          <w:szCs w:val="32"/>
        </w:rPr>
        <w:t>本次部门整体支出绩效自评采取由业务科室上报底数和完成资料、自评工作组进行复核汇总的方式开展，主要包括制定工作方案、进行工作培训、收集并分析相关资料、撰写部门整体支出绩效自评报告等。</w:t>
      </w:r>
    </w:p>
    <w:p>
      <w:pPr>
        <w:numPr>
          <w:ilvl w:val="255"/>
          <w:numId w:val="0"/>
        </w:numPr>
        <w:adjustRightInd w:val="0"/>
        <w:snapToGrid w:val="0"/>
        <w:spacing w:line="560" w:lineRule="exact"/>
        <w:ind w:firstLine="640" w:firstLineChars="200"/>
        <w:outlineLvl w:val="1"/>
        <w:rPr>
          <w:rFonts w:ascii="楷体" w:hAnsi="楷体" w:eastAsia="楷体" w:cs="楷体"/>
          <w:snapToGrid w:val="0"/>
          <w:kern w:val="0"/>
          <w:sz w:val="32"/>
          <w:szCs w:val="32"/>
        </w:rPr>
      </w:pPr>
      <w:r>
        <w:rPr>
          <w:rFonts w:hint="eastAsia" w:ascii="楷体" w:hAnsi="楷体" w:eastAsia="楷体" w:cs="楷体"/>
          <w:snapToGrid w:val="0"/>
          <w:kern w:val="0"/>
          <w:sz w:val="32"/>
          <w:szCs w:val="32"/>
        </w:rPr>
        <w:t>（二）自评的方法和过程</w:t>
      </w:r>
    </w:p>
    <w:p>
      <w:pPr>
        <w:adjustRightInd w:val="0"/>
        <w:snapToGrid w:val="0"/>
        <w:spacing w:line="560" w:lineRule="exact"/>
        <w:ind w:firstLine="640" w:firstLineChars="200"/>
        <w:outlineLvl w:val="2"/>
        <w:rPr>
          <w:rFonts w:ascii="仿宋" w:hAnsi="仿宋" w:eastAsia="仿宋" w:cs="仿宋"/>
          <w:snapToGrid w:val="0"/>
          <w:kern w:val="0"/>
          <w:sz w:val="32"/>
          <w:szCs w:val="32"/>
        </w:rPr>
      </w:pPr>
      <w:r>
        <w:rPr>
          <w:rFonts w:hint="eastAsia" w:ascii="仿宋" w:hAnsi="仿宋" w:eastAsia="仿宋" w:cs="仿宋"/>
          <w:snapToGrid w:val="0"/>
          <w:kern w:val="0"/>
          <w:sz w:val="32"/>
          <w:szCs w:val="32"/>
        </w:rPr>
        <w:t>1.自评方法</w:t>
      </w:r>
    </w:p>
    <w:p>
      <w:pPr>
        <w:adjustRightInd w:val="0"/>
        <w:snapToGrid w:val="0"/>
        <w:spacing w:line="560" w:lineRule="exact"/>
        <w:ind w:firstLine="640" w:firstLineChars="200"/>
        <w:rPr>
          <w:rFonts w:ascii="仿宋" w:hAnsi="仿宋" w:eastAsia="仿宋" w:cs="仿宋"/>
          <w:snapToGrid w:val="0"/>
          <w:kern w:val="0"/>
          <w:sz w:val="32"/>
          <w:szCs w:val="32"/>
        </w:rPr>
      </w:pPr>
      <w:r>
        <w:rPr>
          <w:rFonts w:hint="eastAsia" w:ascii="仿宋" w:hAnsi="仿宋" w:eastAsia="仿宋" w:cs="仿宋"/>
          <w:snapToGrid w:val="0"/>
          <w:kern w:val="0"/>
          <w:sz w:val="32"/>
          <w:szCs w:val="32"/>
        </w:rPr>
        <w:t>本次部门整体自评以定性评价与定量评价相结合，采用成本效益分析法、比较法、因素分析法开展自评工作。</w:t>
      </w:r>
    </w:p>
    <w:p>
      <w:pPr>
        <w:adjustRightInd w:val="0"/>
        <w:snapToGrid w:val="0"/>
        <w:spacing w:line="560" w:lineRule="exact"/>
        <w:ind w:firstLine="643" w:firstLineChars="200"/>
        <w:rPr>
          <w:rFonts w:ascii="仿宋" w:hAnsi="仿宋" w:eastAsia="仿宋" w:cs="仿宋"/>
          <w:snapToGrid w:val="0"/>
          <w:kern w:val="0"/>
          <w:sz w:val="32"/>
          <w:szCs w:val="32"/>
        </w:rPr>
      </w:pPr>
      <w:r>
        <w:rPr>
          <w:rFonts w:hint="eastAsia" w:ascii="仿宋" w:hAnsi="仿宋" w:eastAsia="仿宋" w:cs="仿宋"/>
          <w:b/>
          <w:bCs/>
          <w:snapToGrid w:val="0"/>
          <w:kern w:val="0"/>
          <w:sz w:val="32"/>
          <w:szCs w:val="32"/>
        </w:rPr>
        <w:t>成本效益分析法</w:t>
      </w:r>
      <w:r>
        <w:rPr>
          <w:rFonts w:hint="eastAsia" w:ascii="仿宋" w:hAnsi="仿宋" w:eastAsia="仿宋" w:cs="仿宋"/>
          <w:b/>
          <w:bCs/>
          <w:snapToGrid w:val="0"/>
          <w:kern w:val="0"/>
          <w:sz w:val="32"/>
          <w:szCs w:val="32"/>
          <w:lang w:eastAsia="zh-CN"/>
        </w:rPr>
        <w:t>。</w:t>
      </w:r>
      <w:r>
        <w:rPr>
          <w:rFonts w:hint="eastAsia" w:ascii="仿宋" w:hAnsi="仿宋" w:eastAsia="仿宋" w:cs="仿宋"/>
          <w:snapToGrid w:val="0"/>
          <w:kern w:val="0"/>
          <w:sz w:val="32"/>
          <w:szCs w:val="32"/>
        </w:rPr>
        <w:t>将各专项重点工作的投入与产出、效益进行关联，以评价重点工作绩效目标实现程度。</w:t>
      </w:r>
    </w:p>
    <w:p>
      <w:pPr>
        <w:adjustRightInd w:val="0"/>
        <w:snapToGrid w:val="0"/>
        <w:spacing w:line="560" w:lineRule="exact"/>
        <w:ind w:firstLine="643" w:firstLineChars="200"/>
        <w:rPr>
          <w:rFonts w:ascii="仿宋" w:hAnsi="仿宋" w:eastAsia="仿宋" w:cs="仿宋"/>
          <w:snapToGrid w:val="0"/>
          <w:kern w:val="0"/>
          <w:sz w:val="32"/>
          <w:szCs w:val="32"/>
        </w:rPr>
      </w:pPr>
      <w:r>
        <w:rPr>
          <w:rFonts w:hint="eastAsia" w:ascii="仿宋" w:hAnsi="仿宋" w:eastAsia="仿宋" w:cs="仿宋"/>
          <w:b/>
          <w:bCs/>
          <w:snapToGrid w:val="0"/>
          <w:kern w:val="0"/>
          <w:sz w:val="32"/>
          <w:szCs w:val="32"/>
        </w:rPr>
        <w:t>比较法</w:t>
      </w:r>
      <w:r>
        <w:rPr>
          <w:rFonts w:hint="eastAsia" w:ascii="仿宋" w:hAnsi="仿宋" w:eastAsia="仿宋" w:cs="仿宋"/>
          <w:b/>
          <w:bCs/>
          <w:snapToGrid w:val="0"/>
          <w:kern w:val="0"/>
          <w:sz w:val="32"/>
          <w:szCs w:val="32"/>
          <w:lang w:eastAsia="zh-CN"/>
        </w:rPr>
        <w:t>。</w:t>
      </w:r>
      <w:r>
        <w:rPr>
          <w:rFonts w:hint="eastAsia" w:ascii="仿宋" w:hAnsi="仿宋" w:eastAsia="仿宋" w:cs="仿宋"/>
          <w:snapToGrid w:val="0"/>
          <w:kern w:val="0"/>
          <w:sz w:val="32"/>
          <w:szCs w:val="32"/>
        </w:rPr>
        <w:t>将评价年度实施情况与绩效目标、历史情况进行纵向对比；对不同科室和的同类情况进行横向对比，综合分析绩效目标的实现程度。</w:t>
      </w:r>
    </w:p>
    <w:p>
      <w:pPr>
        <w:adjustRightInd w:val="0"/>
        <w:snapToGrid w:val="0"/>
        <w:spacing w:line="560" w:lineRule="exact"/>
        <w:ind w:firstLine="643" w:firstLineChars="200"/>
        <w:rPr>
          <w:rFonts w:ascii="仿宋" w:hAnsi="仿宋" w:eastAsia="仿宋" w:cs="仿宋"/>
          <w:snapToGrid w:val="0"/>
          <w:kern w:val="0"/>
          <w:sz w:val="32"/>
          <w:szCs w:val="32"/>
        </w:rPr>
      </w:pPr>
      <w:r>
        <w:rPr>
          <w:rFonts w:hint="eastAsia" w:ascii="仿宋" w:hAnsi="仿宋" w:eastAsia="仿宋" w:cs="仿宋"/>
          <w:b/>
          <w:bCs/>
          <w:snapToGrid w:val="0"/>
          <w:kern w:val="0"/>
          <w:sz w:val="32"/>
          <w:szCs w:val="32"/>
        </w:rPr>
        <w:t>因素分析法</w:t>
      </w:r>
      <w:r>
        <w:rPr>
          <w:rFonts w:hint="eastAsia" w:ascii="仿宋" w:hAnsi="仿宋" w:eastAsia="仿宋" w:cs="仿宋"/>
          <w:b/>
          <w:bCs/>
          <w:snapToGrid w:val="0"/>
          <w:kern w:val="0"/>
          <w:sz w:val="32"/>
          <w:szCs w:val="32"/>
          <w:lang w:eastAsia="zh-CN"/>
        </w:rPr>
        <w:t>。</w:t>
      </w:r>
      <w:r>
        <w:rPr>
          <w:rFonts w:hint="eastAsia" w:ascii="仿宋" w:hAnsi="仿宋" w:eastAsia="仿宋" w:cs="仿宋"/>
          <w:snapToGrid w:val="0"/>
          <w:kern w:val="0"/>
          <w:sz w:val="32"/>
          <w:szCs w:val="32"/>
        </w:rPr>
        <w:t>通过综合分析影响项目绩效目标实现、实施效果的内外因素，评价绩效目标实现程度。</w:t>
      </w:r>
    </w:p>
    <w:p>
      <w:pPr>
        <w:adjustRightInd w:val="0"/>
        <w:snapToGrid w:val="0"/>
        <w:spacing w:line="560" w:lineRule="exact"/>
        <w:ind w:firstLine="640" w:firstLineChars="200"/>
        <w:outlineLvl w:val="2"/>
        <w:rPr>
          <w:rFonts w:ascii="仿宋" w:hAnsi="仿宋" w:eastAsia="仿宋" w:cs="仿宋"/>
          <w:snapToGrid w:val="0"/>
          <w:kern w:val="0"/>
          <w:sz w:val="32"/>
          <w:szCs w:val="32"/>
        </w:rPr>
      </w:pPr>
      <w:r>
        <w:rPr>
          <w:rFonts w:hint="eastAsia" w:ascii="仿宋" w:hAnsi="仿宋" w:eastAsia="仿宋" w:cs="仿宋"/>
          <w:snapToGrid w:val="0"/>
          <w:kern w:val="0"/>
          <w:sz w:val="32"/>
          <w:szCs w:val="32"/>
        </w:rPr>
        <w:t>2.自评工作过程</w:t>
      </w:r>
    </w:p>
    <w:p>
      <w:pPr>
        <w:autoSpaceDE w:val="0"/>
        <w:autoSpaceDN w:val="0"/>
        <w:adjustRightInd w:val="0"/>
        <w:snapToGrid w:val="0"/>
        <w:spacing w:line="560" w:lineRule="exact"/>
        <w:ind w:firstLine="640" w:firstLineChars="200"/>
        <w:rPr>
          <w:rFonts w:ascii="仿宋" w:hAnsi="仿宋" w:eastAsia="仿宋" w:cs="仿宋"/>
          <w:bCs/>
          <w:snapToGrid w:val="0"/>
          <w:kern w:val="0"/>
          <w:sz w:val="32"/>
          <w:szCs w:val="32"/>
        </w:rPr>
      </w:pPr>
      <w:r>
        <w:rPr>
          <w:rFonts w:hint="eastAsia" w:ascii="仿宋" w:hAnsi="仿宋" w:eastAsia="仿宋" w:cs="仿宋"/>
          <w:bCs/>
          <w:snapToGrid w:val="0"/>
          <w:kern w:val="0"/>
          <w:sz w:val="32"/>
          <w:szCs w:val="32"/>
        </w:rPr>
        <w:t>（1）评价准备阶段（</w:t>
      </w:r>
      <w:r>
        <w:rPr>
          <w:rFonts w:hint="eastAsia" w:ascii="仿宋" w:hAnsi="仿宋" w:eastAsia="仿宋" w:cs="仿宋"/>
          <w:snapToGrid w:val="0"/>
          <w:kern w:val="0"/>
          <w:sz w:val="32"/>
          <w:szCs w:val="32"/>
        </w:rPr>
        <w:t>2023年3月14日－3月17日</w:t>
      </w:r>
      <w:r>
        <w:rPr>
          <w:rFonts w:hint="eastAsia" w:ascii="仿宋" w:hAnsi="仿宋" w:eastAsia="仿宋" w:cs="仿宋"/>
          <w:bCs/>
          <w:snapToGrid w:val="0"/>
          <w:kern w:val="0"/>
          <w:sz w:val="32"/>
          <w:szCs w:val="32"/>
        </w:rPr>
        <w:t>）</w:t>
      </w:r>
    </w:p>
    <w:p>
      <w:pPr>
        <w:autoSpaceDE w:val="0"/>
        <w:autoSpaceDN w:val="0"/>
        <w:adjustRightInd w:val="0"/>
        <w:snapToGrid w:val="0"/>
        <w:spacing w:line="560" w:lineRule="exact"/>
        <w:ind w:firstLine="640" w:firstLineChars="200"/>
        <w:rPr>
          <w:rFonts w:ascii="仿宋" w:hAnsi="仿宋" w:eastAsia="仿宋" w:cs="仿宋"/>
          <w:snapToGrid w:val="0"/>
          <w:kern w:val="0"/>
          <w:sz w:val="32"/>
          <w:szCs w:val="32"/>
        </w:rPr>
      </w:pPr>
      <w:r>
        <w:rPr>
          <w:rFonts w:hint="eastAsia" w:ascii="仿宋" w:hAnsi="仿宋" w:eastAsia="仿宋" w:cs="仿宋"/>
          <w:snapToGrid w:val="0"/>
          <w:kern w:val="0"/>
          <w:sz w:val="32"/>
          <w:szCs w:val="32"/>
        </w:rPr>
        <w:t>为按时保质完成</w:t>
      </w:r>
      <w:r>
        <w:rPr>
          <w:rFonts w:hint="eastAsia" w:ascii="仿宋" w:hAnsi="仿宋" w:eastAsia="仿宋" w:cs="仿宋"/>
          <w:snapToGrid w:val="0"/>
          <w:kern w:val="0"/>
          <w:sz w:val="32"/>
          <w:szCs w:val="32"/>
          <w:lang w:val="en-US" w:eastAsia="zh-CN"/>
        </w:rPr>
        <w:t>部门整体</w:t>
      </w:r>
      <w:r>
        <w:rPr>
          <w:rFonts w:hint="eastAsia" w:ascii="仿宋" w:hAnsi="仿宋" w:eastAsia="仿宋" w:cs="仿宋"/>
          <w:snapToGrid w:val="0"/>
          <w:kern w:val="0"/>
          <w:sz w:val="32"/>
          <w:szCs w:val="32"/>
        </w:rPr>
        <w:t>绩效</w:t>
      </w:r>
      <w:r>
        <w:rPr>
          <w:rFonts w:hint="eastAsia" w:ascii="仿宋" w:hAnsi="仿宋" w:eastAsia="仿宋" w:cs="仿宋"/>
          <w:snapToGrid w:val="0"/>
          <w:kern w:val="0"/>
          <w:sz w:val="32"/>
          <w:szCs w:val="32"/>
          <w:lang w:val="en-US" w:eastAsia="zh-CN"/>
        </w:rPr>
        <w:t>自评</w:t>
      </w:r>
      <w:r>
        <w:rPr>
          <w:rFonts w:hint="eastAsia" w:ascii="仿宋" w:hAnsi="仿宋" w:eastAsia="仿宋" w:cs="仿宋"/>
          <w:snapToGrid w:val="0"/>
          <w:kern w:val="0"/>
          <w:sz w:val="32"/>
          <w:szCs w:val="32"/>
        </w:rPr>
        <w:t>工作，我单位组建了自评工作组，制定评价工作方案，明确评价对象、评价依据、评价内容及思路、评价方式方法、评价工作程序及时间安排等内容。</w:t>
      </w:r>
    </w:p>
    <w:p>
      <w:pPr>
        <w:autoSpaceDE w:val="0"/>
        <w:autoSpaceDN w:val="0"/>
        <w:adjustRightInd w:val="0"/>
        <w:snapToGrid w:val="0"/>
        <w:spacing w:line="560" w:lineRule="exact"/>
        <w:ind w:firstLine="640" w:firstLineChars="200"/>
        <w:rPr>
          <w:rFonts w:ascii="仿宋" w:hAnsi="仿宋" w:eastAsia="仿宋" w:cs="仿宋"/>
          <w:snapToGrid w:val="0"/>
          <w:color w:val="000000"/>
          <w:kern w:val="0"/>
          <w:sz w:val="32"/>
          <w:szCs w:val="32"/>
        </w:rPr>
      </w:pPr>
      <w:r>
        <w:rPr>
          <w:rFonts w:hint="eastAsia" w:ascii="仿宋" w:hAnsi="仿宋" w:eastAsia="仿宋" w:cs="仿宋"/>
          <w:snapToGrid w:val="0"/>
          <w:color w:val="000000"/>
          <w:kern w:val="0"/>
          <w:sz w:val="32"/>
          <w:szCs w:val="32"/>
        </w:rPr>
        <w:t>（2）评价实施阶段（2023年3月20日－4月4</w:t>
      </w:r>
      <w:r>
        <w:rPr>
          <w:rFonts w:hint="eastAsia" w:ascii="仿宋" w:hAnsi="仿宋" w:eastAsia="仿宋" w:cs="仿宋"/>
          <w:snapToGrid w:val="0"/>
          <w:kern w:val="0"/>
          <w:sz w:val="32"/>
          <w:szCs w:val="32"/>
        </w:rPr>
        <w:t>日</w:t>
      </w:r>
      <w:r>
        <w:rPr>
          <w:rFonts w:hint="eastAsia" w:ascii="仿宋" w:hAnsi="仿宋" w:eastAsia="仿宋" w:cs="仿宋"/>
          <w:snapToGrid w:val="0"/>
          <w:color w:val="000000"/>
          <w:kern w:val="0"/>
          <w:sz w:val="32"/>
          <w:szCs w:val="32"/>
        </w:rPr>
        <w:t>）</w:t>
      </w:r>
    </w:p>
    <w:p>
      <w:pPr>
        <w:adjustRightInd w:val="0"/>
        <w:snapToGrid w:val="0"/>
        <w:spacing w:line="560" w:lineRule="exact"/>
        <w:ind w:firstLine="640" w:firstLineChars="200"/>
        <w:rPr>
          <w:rFonts w:ascii="仿宋" w:hAnsi="仿宋" w:eastAsia="仿宋" w:cs="仿宋"/>
          <w:snapToGrid w:val="0"/>
          <w:kern w:val="0"/>
          <w:sz w:val="32"/>
          <w:szCs w:val="32"/>
        </w:rPr>
      </w:pPr>
      <w:r>
        <w:rPr>
          <w:rFonts w:hint="eastAsia" w:ascii="仿宋" w:hAnsi="仿宋" w:eastAsia="仿宋" w:cs="仿宋"/>
          <w:snapToGrid w:val="0"/>
          <w:kern w:val="0"/>
          <w:sz w:val="32"/>
          <w:szCs w:val="32"/>
        </w:rPr>
        <w:t>在前期工作基础上，自评工作组对收集的资料进行整理，形成已提供资料清单，在对所收集的资料进行核实和全面分析后，自评工作组针对缺失的资料与相关科室及时沟通，对重要的和存在疑问的基础数据资料进行核实确认。随后，开展部门现场座谈，综合部门提交资料及现场座谈结果，形成评价结论。</w:t>
      </w:r>
    </w:p>
    <w:p>
      <w:pPr>
        <w:adjustRightInd w:val="0"/>
        <w:snapToGrid w:val="0"/>
        <w:spacing w:line="560" w:lineRule="exact"/>
        <w:ind w:firstLine="640" w:firstLineChars="200"/>
        <w:rPr>
          <w:rFonts w:ascii="仿宋" w:hAnsi="仿宋" w:eastAsia="仿宋" w:cs="仿宋"/>
          <w:snapToGrid w:val="0"/>
          <w:color w:val="000000"/>
          <w:kern w:val="0"/>
          <w:sz w:val="32"/>
          <w:szCs w:val="32"/>
        </w:rPr>
      </w:pPr>
      <w:r>
        <w:rPr>
          <w:rFonts w:hint="eastAsia" w:ascii="仿宋" w:hAnsi="仿宋" w:eastAsia="仿宋" w:cs="仿宋"/>
          <w:snapToGrid w:val="0"/>
          <w:color w:val="000000"/>
          <w:kern w:val="0"/>
          <w:sz w:val="32"/>
          <w:szCs w:val="32"/>
        </w:rPr>
        <w:t>（3）总结分析阶段（</w:t>
      </w:r>
      <w:r>
        <w:rPr>
          <w:rFonts w:hint="eastAsia" w:ascii="仿宋" w:hAnsi="仿宋" w:eastAsia="仿宋" w:cs="仿宋"/>
          <w:snapToGrid w:val="0"/>
          <w:kern w:val="0"/>
          <w:sz w:val="32"/>
          <w:szCs w:val="32"/>
        </w:rPr>
        <w:t>2023年4月6日－4月20日</w:t>
      </w:r>
      <w:r>
        <w:rPr>
          <w:rFonts w:hint="eastAsia" w:ascii="仿宋" w:hAnsi="仿宋" w:eastAsia="仿宋" w:cs="仿宋"/>
          <w:snapToGrid w:val="0"/>
          <w:color w:val="000000"/>
          <w:kern w:val="0"/>
          <w:sz w:val="32"/>
          <w:szCs w:val="32"/>
        </w:rPr>
        <w:t>）</w:t>
      </w:r>
    </w:p>
    <w:p>
      <w:pPr>
        <w:adjustRightInd w:val="0"/>
        <w:snapToGrid w:val="0"/>
        <w:spacing w:line="560" w:lineRule="exact"/>
        <w:ind w:firstLine="640" w:firstLineChars="200"/>
        <w:rPr>
          <w:rFonts w:ascii="仿宋" w:hAnsi="仿宋" w:eastAsia="仿宋" w:cs="仿宋"/>
          <w:snapToGrid w:val="0"/>
          <w:kern w:val="0"/>
          <w:sz w:val="32"/>
          <w:szCs w:val="32"/>
        </w:rPr>
      </w:pPr>
      <w:r>
        <w:rPr>
          <w:rFonts w:hint="eastAsia" w:ascii="仿宋" w:hAnsi="仿宋" w:eastAsia="仿宋" w:cs="仿宋"/>
          <w:snapToGrid w:val="0"/>
          <w:kern w:val="0"/>
          <w:sz w:val="32"/>
          <w:szCs w:val="32"/>
        </w:rPr>
        <w:t>自评工作组根据收集到的相关资料以及现场座谈结果，对部门履职的产出和效果进行分析，撰写部门整体支出绩效自评报告，提交相关科室征求意见。在市财政局规定的时间内，形成部门整体支出绩效自评报告正式稿，并报送市财政局。</w:t>
      </w:r>
    </w:p>
    <w:p>
      <w:pPr>
        <w:adjustRightInd w:val="0"/>
        <w:snapToGrid w:val="0"/>
        <w:spacing w:line="560" w:lineRule="exact"/>
        <w:ind w:firstLine="640" w:firstLineChars="200"/>
        <w:outlineLvl w:val="0"/>
        <w:rPr>
          <w:rFonts w:ascii="黑体" w:hAnsi="黑体" w:eastAsia="黑体"/>
          <w:b/>
          <w:bCs/>
          <w:kern w:val="0"/>
          <w:sz w:val="32"/>
          <w:szCs w:val="32"/>
        </w:rPr>
      </w:pPr>
      <w:r>
        <w:rPr>
          <w:rFonts w:hint="eastAsia" w:ascii="黑体" w:hAnsi="黑体" w:eastAsia="黑体"/>
          <w:kern w:val="0"/>
          <w:sz w:val="32"/>
          <w:szCs w:val="32"/>
        </w:rPr>
        <w:t>三、部门整体支出绩效目标实现情况及指标分析</w:t>
      </w:r>
    </w:p>
    <w:p>
      <w:pPr>
        <w:numPr>
          <w:ilvl w:val="255"/>
          <w:numId w:val="0"/>
        </w:numPr>
        <w:adjustRightInd w:val="0"/>
        <w:snapToGrid w:val="0"/>
        <w:spacing w:line="560" w:lineRule="exact"/>
        <w:ind w:firstLine="640" w:firstLineChars="200"/>
        <w:outlineLvl w:val="1"/>
        <w:rPr>
          <w:rFonts w:ascii="楷体" w:hAnsi="楷体" w:eastAsia="楷体" w:cs="楷体_GB2312"/>
          <w:bCs/>
          <w:kern w:val="0"/>
          <w:sz w:val="32"/>
          <w:szCs w:val="32"/>
        </w:rPr>
      </w:pPr>
      <w:r>
        <w:rPr>
          <w:rFonts w:hint="eastAsia" w:ascii="楷体" w:hAnsi="楷体" w:eastAsia="楷体" w:cs="楷体_GB2312"/>
          <w:bCs/>
          <w:kern w:val="0"/>
          <w:sz w:val="32"/>
          <w:szCs w:val="32"/>
        </w:rPr>
        <w:t>（一）总体绩效目标实现情况</w:t>
      </w:r>
    </w:p>
    <w:p>
      <w:pPr>
        <w:adjustRightInd w:val="0"/>
        <w:snapToGrid w:val="0"/>
        <w:spacing w:line="560" w:lineRule="exact"/>
        <w:ind w:firstLine="640" w:firstLineChars="200"/>
        <w:rPr>
          <w:rFonts w:ascii="仿宋" w:hAnsi="仿宋" w:eastAsia="仿宋" w:cs="仿宋"/>
          <w:kern w:val="0"/>
          <w:sz w:val="32"/>
          <w:szCs w:val="32"/>
        </w:rPr>
      </w:pPr>
      <w:r>
        <w:rPr>
          <w:rFonts w:hint="eastAsia" w:ascii="仿宋" w:hAnsi="仿宋" w:eastAsia="仿宋"/>
          <w:kern w:val="0"/>
          <w:sz w:val="32"/>
          <w:szCs w:val="32"/>
        </w:rPr>
        <w:t>2022年，我单位继续严管理、抓落实、快推进，以市委、市政府确定的重点民生项目为核心，集中精力抓好代建项目推进，继续推进完成2021年已开工的续建项目建设，确保时限性强的项目如期完工验收，启动实施2022年新代建项目，并对现有财务规章制度进行了完善，相继制定了《预算绩效管理办法》《绩效自评管理办法》等文件，不断加强了财务制度建设，</w:t>
      </w:r>
      <w:r>
        <w:rPr>
          <w:rFonts w:hint="eastAsia" w:ascii="仿宋" w:hAnsi="仿宋" w:eastAsia="仿宋" w:cs="仿宋"/>
          <w:snapToGrid w:val="0"/>
          <w:kern w:val="0"/>
          <w:sz w:val="32"/>
          <w:szCs w:val="32"/>
          <w:lang w:bidi="ar"/>
        </w:rPr>
        <w:t>实现了年度总体绩效目标。此外，我单位在2022年度的工作中获得了</w:t>
      </w:r>
      <w:r>
        <w:rPr>
          <w:rFonts w:hint="eastAsia" w:ascii="仿宋" w:hAnsi="仿宋" w:eastAsia="仿宋" w:cs="仿宋"/>
          <w:snapToGrid w:val="0"/>
          <w:kern w:val="0"/>
          <w:sz w:val="32"/>
          <w:szCs w:val="32"/>
          <w:lang w:val="en-US" w:eastAsia="zh-CN" w:bidi="ar"/>
        </w:rPr>
        <w:t>8</w:t>
      </w:r>
      <w:r>
        <w:rPr>
          <w:rFonts w:hint="eastAsia" w:ascii="仿宋" w:hAnsi="仿宋" w:eastAsia="仿宋" w:cs="仿宋"/>
          <w:snapToGrid w:val="0"/>
          <w:kern w:val="0"/>
          <w:sz w:val="32"/>
          <w:szCs w:val="32"/>
          <w:lang w:bidi="ar"/>
        </w:rPr>
        <w:t>项荣誉，如石家庄市国防教育展馆项目获得“河北省建筑工程装饰奖”“中国建筑工程装饰奖”“河北省科技示范工程奖”，石家庄市老年大学（市老干部活动中心）续租修缮市规划馆现址项目获得“2021-2022年度中国建筑工程装饰奖”，市</w:t>
      </w:r>
      <w:r>
        <w:rPr>
          <w:rFonts w:hint="eastAsia" w:ascii="仿宋" w:hAnsi="仿宋" w:eastAsia="仿宋" w:cs="仿宋"/>
          <w:color w:val="000000"/>
          <w:kern w:val="0"/>
          <w:sz w:val="32"/>
          <w:szCs w:val="32"/>
          <w:lang w:bidi="ar"/>
        </w:rPr>
        <w:t>儿童医院项目获得“河北省优质结构工程奖”“二零二二年石家庄市兴石杯市优工程奖”“2022年度河北省建设工程安济杯奖（省优质工程）”</w:t>
      </w:r>
      <w:r>
        <w:rPr>
          <w:rFonts w:hint="eastAsia" w:ascii="仿宋" w:hAnsi="仿宋" w:eastAsia="仿宋" w:cs="仿宋"/>
          <w:color w:val="000000"/>
          <w:kern w:val="0"/>
          <w:sz w:val="32"/>
          <w:szCs w:val="32"/>
          <w:lang w:val="en-US" w:eastAsia="zh-CN" w:bidi="ar"/>
        </w:rPr>
        <w:t>等</w:t>
      </w:r>
      <w:r>
        <w:rPr>
          <w:rFonts w:hint="eastAsia" w:ascii="仿宋" w:hAnsi="仿宋" w:eastAsia="仿宋" w:cs="仿宋"/>
          <w:color w:val="000000"/>
          <w:kern w:val="0"/>
          <w:sz w:val="32"/>
          <w:szCs w:val="32"/>
          <w:lang w:bidi="ar"/>
        </w:rPr>
        <w:t>，</w:t>
      </w:r>
      <w:r>
        <w:rPr>
          <w:rFonts w:hint="eastAsia" w:ascii="仿宋" w:hAnsi="仿宋" w:eastAsia="仿宋" w:cs="仿宋"/>
          <w:snapToGrid w:val="0"/>
          <w:kern w:val="0"/>
          <w:sz w:val="32"/>
          <w:szCs w:val="32"/>
          <w:lang w:bidi="ar"/>
        </w:rPr>
        <w:t>有效提升了项目管理水平，诠释了良好的政府投资项目形象。</w:t>
      </w:r>
    </w:p>
    <w:p>
      <w:pPr>
        <w:adjustRightInd w:val="0"/>
        <w:snapToGrid w:val="0"/>
        <w:spacing w:line="560" w:lineRule="exact"/>
        <w:ind w:firstLine="640" w:firstLineChars="200"/>
        <w:rPr>
          <w:rFonts w:ascii="仿宋" w:hAnsi="仿宋" w:eastAsia="仿宋" w:cs="仿宋"/>
          <w:kern w:val="0"/>
          <w:sz w:val="32"/>
          <w:szCs w:val="32"/>
        </w:rPr>
      </w:pPr>
      <w:r>
        <w:rPr>
          <w:rFonts w:hint="eastAsia" w:ascii="仿宋" w:hAnsi="仿宋" w:eastAsia="仿宋" w:cs="仿宋"/>
          <w:kern w:val="0"/>
          <w:sz w:val="32"/>
          <w:szCs w:val="32"/>
        </w:rPr>
        <w:t>总体绩效目标实现情况见表4。</w:t>
      </w:r>
    </w:p>
    <w:p>
      <w:pPr>
        <w:pStyle w:val="17"/>
        <w:adjustRightInd w:val="0"/>
        <w:snapToGrid w:val="0"/>
        <w:spacing w:line="560" w:lineRule="exact"/>
        <w:jc w:val="center"/>
        <w:rPr>
          <w:rFonts w:ascii="黑体" w:hAnsi="黑体" w:eastAsia="黑体" w:cs="黑体"/>
          <w:snapToGrid w:val="0"/>
          <w:kern w:val="0"/>
          <w:sz w:val="28"/>
          <w:szCs w:val="28"/>
        </w:rPr>
      </w:pPr>
      <w:r>
        <w:rPr>
          <w:rFonts w:hint="eastAsia" w:ascii="黑体" w:hAnsi="黑体" w:eastAsia="黑体" w:cs="黑体"/>
          <w:snapToGrid w:val="0"/>
          <w:kern w:val="0"/>
          <w:sz w:val="28"/>
          <w:szCs w:val="28"/>
        </w:rPr>
        <w:t>表4：总体绩效目标实现情况</w:t>
      </w:r>
    </w:p>
    <w:tbl>
      <w:tblPr>
        <w:tblStyle w:val="12"/>
        <w:tblW w:w="5000" w:type="pct"/>
        <w:jc w:val="center"/>
        <w:tblLayout w:type="autofit"/>
        <w:tblCellMar>
          <w:top w:w="0" w:type="dxa"/>
          <w:left w:w="108" w:type="dxa"/>
          <w:bottom w:w="0" w:type="dxa"/>
          <w:right w:w="108" w:type="dxa"/>
        </w:tblCellMar>
      </w:tblPr>
      <w:tblGrid>
        <w:gridCol w:w="3124"/>
        <w:gridCol w:w="4815"/>
        <w:gridCol w:w="1122"/>
      </w:tblGrid>
      <w:tr>
        <w:tblPrEx>
          <w:tblCellMar>
            <w:top w:w="0" w:type="dxa"/>
            <w:left w:w="108" w:type="dxa"/>
            <w:bottom w:w="0" w:type="dxa"/>
            <w:right w:w="108" w:type="dxa"/>
          </w:tblCellMar>
        </w:tblPrEx>
        <w:trPr>
          <w:trHeight w:val="680" w:hRule="atLeast"/>
          <w:tblHeader/>
          <w:jc w:val="center"/>
        </w:trPr>
        <w:tc>
          <w:tcPr>
            <w:tcW w:w="17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center"/>
              <w:textAlignment w:val="center"/>
              <w:rPr>
                <w:rFonts w:ascii="宋体" w:hAnsi="宋体" w:cs="宋体"/>
                <w:b/>
                <w:bCs/>
                <w:snapToGrid w:val="0"/>
                <w:color w:val="000000"/>
                <w:kern w:val="0"/>
                <w:sz w:val="20"/>
                <w:szCs w:val="20"/>
              </w:rPr>
            </w:pPr>
            <w:r>
              <w:rPr>
                <w:rFonts w:hint="eastAsia" w:ascii="宋体" w:hAnsi="宋体" w:cs="宋体"/>
                <w:b/>
                <w:bCs/>
                <w:snapToGrid w:val="0"/>
                <w:color w:val="000000"/>
                <w:kern w:val="0"/>
                <w:sz w:val="20"/>
                <w:szCs w:val="20"/>
                <w:lang w:bidi="ar"/>
              </w:rPr>
              <w:t>总体绩效目标</w:t>
            </w:r>
          </w:p>
        </w:tc>
        <w:tc>
          <w:tcPr>
            <w:tcW w:w="26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center"/>
              <w:textAlignment w:val="center"/>
              <w:rPr>
                <w:rFonts w:ascii="宋体" w:hAnsi="宋体" w:cs="宋体"/>
                <w:b/>
                <w:bCs/>
                <w:snapToGrid w:val="0"/>
                <w:color w:val="000000"/>
                <w:kern w:val="0"/>
                <w:sz w:val="20"/>
                <w:szCs w:val="20"/>
              </w:rPr>
            </w:pPr>
            <w:r>
              <w:rPr>
                <w:rFonts w:hint="eastAsia" w:ascii="宋体" w:hAnsi="宋体" w:cs="宋体"/>
                <w:b/>
                <w:bCs/>
                <w:snapToGrid w:val="0"/>
                <w:color w:val="000000"/>
                <w:kern w:val="0"/>
                <w:sz w:val="20"/>
                <w:szCs w:val="20"/>
                <w:lang w:bidi="ar"/>
              </w:rPr>
              <w:t>总体绩效目标完成情况</w:t>
            </w:r>
          </w:p>
        </w:tc>
        <w:tc>
          <w:tcPr>
            <w:tcW w:w="6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center"/>
              <w:textAlignment w:val="center"/>
              <w:rPr>
                <w:rFonts w:ascii="宋体" w:hAnsi="宋体" w:cs="宋体"/>
                <w:b/>
                <w:bCs/>
                <w:snapToGrid w:val="0"/>
                <w:color w:val="000000"/>
                <w:kern w:val="0"/>
                <w:sz w:val="20"/>
                <w:szCs w:val="20"/>
              </w:rPr>
            </w:pPr>
            <w:r>
              <w:rPr>
                <w:rFonts w:hint="eastAsia" w:ascii="宋体" w:hAnsi="宋体" w:cs="宋体"/>
                <w:b/>
                <w:bCs/>
                <w:snapToGrid w:val="0"/>
                <w:color w:val="000000"/>
                <w:kern w:val="0"/>
                <w:sz w:val="20"/>
                <w:szCs w:val="20"/>
                <w:lang w:bidi="ar"/>
              </w:rPr>
              <w:t>是否完成</w:t>
            </w:r>
          </w:p>
        </w:tc>
      </w:tr>
      <w:tr>
        <w:tblPrEx>
          <w:tblCellMar>
            <w:top w:w="0" w:type="dxa"/>
            <w:left w:w="108" w:type="dxa"/>
            <w:bottom w:w="0" w:type="dxa"/>
            <w:right w:w="108" w:type="dxa"/>
          </w:tblCellMar>
        </w:tblPrEx>
        <w:trPr>
          <w:trHeight w:val="4262" w:hRule="atLeast"/>
          <w:jc w:val="center"/>
        </w:trPr>
        <w:tc>
          <w:tcPr>
            <w:tcW w:w="1724"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left"/>
              <w:textAlignment w:val="center"/>
              <w:rPr>
                <w:rFonts w:ascii="宋体" w:hAnsi="宋体" w:cs="宋体"/>
                <w:snapToGrid w:val="0"/>
                <w:color w:val="000000"/>
                <w:kern w:val="0"/>
                <w:sz w:val="20"/>
                <w:szCs w:val="20"/>
              </w:rPr>
            </w:pPr>
            <w:r>
              <w:rPr>
                <w:rFonts w:hint="eastAsia" w:ascii="宋体" w:hAnsi="宋体" w:cs="宋体"/>
                <w:snapToGrid w:val="0"/>
                <w:color w:val="000000"/>
                <w:kern w:val="0"/>
                <w:sz w:val="20"/>
                <w:szCs w:val="20"/>
              </w:rPr>
              <w:t>2022年，代建中心将继续严管理、抓落实、快推进，以市委、市政府确定的重点民生项目为核心，集中精力抓好代建项目推进。</w:t>
            </w:r>
          </w:p>
          <w:p>
            <w:pPr>
              <w:adjustRightInd w:val="0"/>
              <w:snapToGrid w:val="0"/>
              <w:jc w:val="left"/>
              <w:textAlignment w:val="center"/>
              <w:rPr>
                <w:rFonts w:ascii="宋体" w:hAnsi="宋体" w:cs="宋体"/>
                <w:snapToGrid w:val="0"/>
                <w:color w:val="000000"/>
                <w:kern w:val="0"/>
                <w:sz w:val="20"/>
                <w:szCs w:val="20"/>
              </w:rPr>
            </w:pPr>
            <w:r>
              <w:rPr>
                <w:rFonts w:hint="eastAsia" w:ascii="宋体" w:hAnsi="宋体" w:cs="宋体"/>
                <w:snapToGrid w:val="0"/>
                <w:color w:val="000000"/>
                <w:kern w:val="0"/>
                <w:sz w:val="20"/>
                <w:szCs w:val="20"/>
              </w:rPr>
              <w:t>继续推进完成2021年已开工的续建项目建设，确保时限性强的项目如期完工验收。启动实施2022年新代建项目。按照市委、市政府统一安排部署，不断加强内部制度建设，将改革向纵深推进。全力打造精品工程、标杆工程、廉洁工程、放心工程，不断提升项目管理水平，展示良好的政府投资项目形象。</w:t>
            </w:r>
          </w:p>
        </w:tc>
        <w:tc>
          <w:tcPr>
            <w:tcW w:w="2657"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left"/>
              <w:textAlignment w:val="center"/>
              <w:rPr>
                <w:rFonts w:ascii="宋体" w:hAnsi="宋体" w:cs="宋体"/>
                <w:snapToGrid w:val="0"/>
                <w:color w:val="000000"/>
                <w:kern w:val="0"/>
                <w:sz w:val="20"/>
                <w:szCs w:val="20"/>
              </w:rPr>
            </w:pPr>
            <w:r>
              <w:rPr>
                <w:rFonts w:hint="eastAsia" w:ascii="宋体" w:hAnsi="宋体" w:cs="宋体"/>
                <w:snapToGrid w:val="0"/>
                <w:color w:val="000000"/>
                <w:kern w:val="0"/>
                <w:sz w:val="20"/>
                <w:szCs w:val="20"/>
              </w:rPr>
              <w:t>2022年，我单位继续严管理、抓落实、快推进，以市委、市政府确定的重点民生项目为核心，集中精力抓好代建项目推进。</w:t>
            </w:r>
          </w:p>
          <w:p>
            <w:pPr>
              <w:adjustRightInd w:val="0"/>
              <w:snapToGrid w:val="0"/>
              <w:jc w:val="left"/>
              <w:textAlignment w:val="center"/>
              <w:rPr>
                <w:rFonts w:ascii="宋体" w:hAnsi="宋体" w:cs="宋体"/>
                <w:snapToGrid w:val="0"/>
                <w:color w:val="000000"/>
                <w:kern w:val="0"/>
                <w:sz w:val="20"/>
                <w:szCs w:val="20"/>
              </w:rPr>
            </w:pPr>
            <w:r>
              <w:rPr>
                <w:rFonts w:ascii="宋体" w:hAnsi="宋体" w:cs="宋体"/>
                <w:b/>
                <w:bCs/>
                <w:snapToGrid w:val="0"/>
                <w:color w:val="000000"/>
                <w:kern w:val="0"/>
                <w:sz w:val="20"/>
                <w:szCs w:val="20"/>
              </w:rPr>
              <w:t>第一，</w:t>
            </w:r>
            <w:r>
              <w:rPr>
                <w:rFonts w:hint="eastAsia" w:ascii="宋体" w:hAnsi="宋体" w:cs="宋体"/>
                <w:snapToGrid w:val="0"/>
                <w:color w:val="000000"/>
                <w:kern w:val="0"/>
                <w:sz w:val="20"/>
                <w:szCs w:val="20"/>
              </w:rPr>
              <w:t>我单位继续推进完成2021年已开工的续建项目建设，确保时限性强的项目如期完工验收。</w:t>
            </w:r>
          </w:p>
          <w:p>
            <w:pPr>
              <w:adjustRightInd w:val="0"/>
              <w:snapToGrid w:val="0"/>
              <w:jc w:val="left"/>
              <w:textAlignment w:val="center"/>
              <w:rPr>
                <w:rFonts w:ascii="宋体" w:hAnsi="宋体" w:cs="宋体"/>
                <w:snapToGrid w:val="0"/>
                <w:color w:val="000000"/>
                <w:kern w:val="0"/>
                <w:sz w:val="20"/>
                <w:szCs w:val="20"/>
              </w:rPr>
            </w:pPr>
            <w:r>
              <w:rPr>
                <w:rFonts w:hint="eastAsia" w:ascii="宋体" w:hAnsi="宋体" w:cs="宋体"/>
                <w:b/>
                <w:bCs/>
                <w:snapToGrid w:val="0"/>
                <w:color w:val="000000"/>
                <w:kern w:val="0"/>
                <w:sz w:val="20"/>
                <w:szCs w:val="20"/>
              </w:rPr>
              <w:t>第二，</w:t>
            </w:r>
            <w:r>
              <w:rPr>
                <w:rFonts w:hint="eastAsia" w:ascii="宋体" w:hAnsi="宋体" w:cs="宋体"/>
                <w:snapToGrid w:val="0"/>
                <w:color w:val="000000"/>
                <w:kern w:val="0"/>
                <w:sz w:val="20"/>
                <w:szCs w:val="20"/>
              </w:rPr>
              <w:t>启动实施2022年新代建项目，按照市委、市政府统一安排部署，不断加强内部制度建设，将改革向纵深推进，对现有财务规章制度进行了完善，相继制定了《预算绩效管理办法》《绩效自评管理办法》等文件，不断规范财务制度建设。</w:t>
            </w:r>
          </w:p>
          <w:p>
            <w:pPr>
              <w:adjustRightInd w:val="0"/>
              <w:snapToGrid w:val="0"/>
              <w:jc w:val="left"/>
              <w:textAlignment w:val="center"/>
              <w:rPr>
                <w:kern w:val="0"/>
                <w:sz w:val="20"/>
                <w:szCs w:val="20"/>
              </w:rPr>
            </w:pPr>
            <w:r>
              <w:rPr>
                <w:rFonts w:hint="eastAsia" w:ascii="宋体" w:hAnsi="宋体" w:cs="宋体"/>
                <w:b/>
                <w:bCs/>
                <w:snapToGrid w:val="0"/>
                <w:color w:val="000000"/>
                <w:kern w:val="0"/>
                <w:sz w:val="20"/>
                <w:szCs w:val="20"/>
              </w:rPr>
              <w:t>第三，</w:t>
            </w:r>
            <w:r>
              <w:rPr>
                <w:rFonts w:hint="eastAsia" w:ascii="宋体" w:hAnsi="宋体" w:cs="宋体"/>
                <w:snapToGrid w:val="0"/>
                <w:color w:val="000000"/>
                <w:kern w:val="0"/>
                <w:sz w:val="20"/>
                <w:szCs w:val="20"/>
              </w:rPr>
              <w:t>全力打造精品工程、标杆工程、廉洁工程、放心工程，多个项目荣获“河北省建筑工程装饰奖”、“中国建筑工程装饰奖”、“河北省科技示范工程奖”等荣誉，不断提升了项目管理水平，诠释了良好的政府投资项目形象。</w:t>
            </w:r>
          </w:p>
        </w:tc>
        <w:tc>
          <w:tcPr>
            <w:tcW w:w="619"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center"/>
              <w:textAlignment w:val="center"/>
              <w:rPr>
                <w:rFonts w:ascii="宋体" w:hAnsi="宋体" w:cs="宋体"/>
                <w:snapToGrid w:val="0"/>
                <w:color w:val="000000"/>
                <w:kern w:val="0"/>
                <w:sz w:val="20"/>
                <w:szCs w:val="20"/>
              </w:rPr>
            </w:pPr>
            <w:r>
              <w:rPr>
                <w:rFonts w:hint="eastAsia" w:ascii="宋体" w:hAnsi="宋体" w:cs="宋体"/>
                <w:snapToGrid w:val="0"/>
                <w:color w:val="000000"/>
                <w:kern w:val="0"/>
                <w:sz w:val="20"/>
                <w:szCs w:val="20"/>
                <w:lang w:bidi="ar"/>
              </w:rPr>
              <w:t>完成</w:t>
            </w:r>
          </w:p>
        </w:tc>
      </w:tr>
    </w:tbl>
    <w:p>
      <w:pPr>
        <w:adjustRightInd w:val="0"/>
        <w:snapToGrid w:val="0"/>
        <w:spacing w:line="360" w:lineRule="auto"/>
        <w:ind w:firstLine="420" w:firstLineChars="200"/>
        <w:rPr>
          <w:rFonts w:ascii="仿宋" w:hAnsi="仿宋" w:eastAsia="仿宋"/>
          <w:kern w:val="0"/>
          <w:szCs w:val="21"/>
        </w:rPr>
      </w:pPr>
    </w:p>
    <w:p>
      <w:pPr>
        <w:adjustRightInd w:val="0"/>
        <w:snapToGrid w:val="0"/>
        <w:spacing w:line="560" w:lineRule="exact"/>
        <w:ind w:firstLine="640" w:firstLineChars="200"/>
        <w:outlineLvl w:val="1"/>
        <w:rPr>
          <w:rFonts w:ascii="楷体" w:hAnsi="楷体" w:eastAsia="楷体"/>
          <w:bCs/>
          <w:kern w:val="0"/>
          <w:sz w:val="32"/>
          <w:szCs w:val="32"/>
        </w:rPr>
      </w:pPr>
      <w:r>
        <w:rPr>
          <w:rFonts w:hint="eastAsia" w:ascii="楷体" w:hAnsi="楷体" w:eastAsia="楷体" w:cs="楷体_GB2312"/>
          <w:bCs/>
          <w:kern w:val="0"/>
          <w:sz w:val="32"/>
          <w:szCs w:val="32"/>
        </w:rPr>
        <w:t>（二）分项绩效目标实现情况及指标分析</w:t>
      </w:r>
    </w:p>
    <w:p>
      <w:pPr>
        <w:adjustRightInd w:val="0"/>
        <w:snapToGrid w:val="0"/>
        <w:spacing w:line="560" w:lineRule="exact"/>
        <w:ind w:firstLine="643" w:firstLineChars="200"/>
        <w:rPr>
          <w:rFonts w:hint="eastAsia" w:ascii="仿宋" w:hAnsi="仿宋" w:eastAsia="仿宋"/>
          <w:kern w:val="0"/>
          <w:sz w:val="32"/>
          <w:szCs w:val="32"/>
          <w:lang w:eastAsia="zh-CN"/>
        </w:rPr>
      </w:pPr>
      <w:r>
        <w:rPr>
          <w:rFonts w:hint="eastAsia" w:ascii="仿宋" w:hAnsi="仿宋" w:eastAsia="仿宋"/>
          <w:b/>
          <w:bCs/>
          <w:kern w:val="0"/>
          <w:sz w:val="32"/>
          <w:szCs w:val="32"/>
        </w:rPr>
        <w:t>从完成数量看，</w:t>
      </w:r>
      <w:r>
        <w:rPr>
          <w:rFonts w:hint="eastAsia" w:ascii="仿宋" w:hAnsi="仿宋" w:eastAsia="仿宋"/>
          <w:kern w:val="0"/>
          <w:sz w:val="32"/>
          <w:szCs w:val="32"/>
        </w:rPr>
        <w:t>2022年度我单位承接代建项目37个。其中，石家庄市第一中学新建教学综合楼项目、石家庄市第二中学整体改造四期项目、石家庄市民兵装备仓库综合整治工程等27个项目已完工，市生态环境局办公用房改造项目资金、宪法公园（含人大路）及地下人防工程项目资金等5个项目正在按计划加快建设，石家庄市第一养老院建设项目、市一中教学综合楼项目等5个项目正在跑办前期手续。2021年未完工项目按计划继续建设完成，工程按期完成率100%。2022年新代建项目如期开工，新代建项目按期开工率95%。同时，我单位为强化对施工现场的质量安全管理和考核，先后组织了10次代建项目施工监理单位考核，并于6月份、9月份进行了3次安全专项检查等，及时发现质量安全问题及隐患，</w:t>
      </w:r>
      <w:r>
        <w:rPr>
          <w:rFonts w:hint="eastAsia" w:ascii="仿宋" w:hAnsi="仿宋" w:eastAsia="仿宋" w:cs="仿宋"/>
          <w:snapToGrid w:val="0"/>
          <w:kern w:val="0"/>
          <w:sz w:val="32"/>
          <w:szCs w:val="32"/>
          <w:lang w:bidi="ar"/>
        </w:rPr>
        <w:t>现场检查考核并对检查出具考核报告10余次，</w:t>
      </w:r>
      <w:r>
        <w:rPr>
          <w:rFonts w:hint="eastAsia" w:ascii="仿宋" w:hAnsi="仿宋" w:eastAsia="仿宋"/>
          <w:kern w:val="0"/>
          <w:sz w:val="32"/>
          <w:szCs w:val="32"/>
        </w:rPr>
        <w:t>为代建项目顺利推进提供了重要保障</w:t>
      </w:r>
      <w:r>
        <w:rPr>
          <w:rFonts w:hint="eastAsia" w:ascii="仿宋" w:hAnsi="仿宋" w:eastAsia="仿宋"/>
          <w:kern w:val="0"/>
          <w:sz w:val="32"/>
          <w:szCs w:val="32"/>
          <w:lang w:eastAsia="zh-CN"/>
        </w:rPr>
        <w:t>。</w:t>
      </w:r>
    </w:p>
    <w:p>
      <w:pPr>
        <w:adjustRightInd w:val="0"/>
        <w:snapToGrid w:val="0"/>
        <w:spacing w:line="560" w:lineRule="exact"/>
        <w:ind w:firstLine="643" w:firstLineChars="200"/>
        <w:rPr>
          <w:rFonts w:ascii="仿宋" w:hAnsi="仿宋" w:eastAsia="仿宋"/>
          <w:kern w:val="0"/>
          <w:sz w:val="32"/>
          <w:szCs w:val="32"/>
        </w:rPr>
      </w:pPr>
      <w:r>
        <w:rPr>
          <w:rFonts w:hint="eastAsia" w:ascii="仿宋" w:hAnsi="仿宋" w:eastAsia="仿宋"/>
          <w:b/>
          <w:bCs/>
          <w:kern w:val="0"/>
          <w:sz w:val="32"/>
          <w:szCs w:val="32"/>
        </w:rPr>
        <w:t>从完成质量看，</w:t>
      </w:r>
      <w:r>
        <w:rPr>
          <w:rFonts w:hint="eastAsia" w:ascii="仿宋" w:hAnsi="仿宋" w:eastAsia="仿宋"/>
          <w:kern w:val="0"/>
          <w:sz w:val="32"/>
          <w:szCs w:val="32"/>
        </w:rPr>
        <w:t>全年代建项目通过验收的工程量占建设总量的90%以上，且各项目均符合河北省建筑质量验收规范确定的标准，项目现场考核覆盖率达90%，人员安全、工程质量得到较好保障，切实有效做到了“质量第一、安全至上”。另外，我单位代建项目荣获国家级奖项2项、省级奖项4项、市级奖项2项，代建工作实现高质量发展。</w:t>
      </w:r>
    </w:p>
    <w:p>
      <w:pPr>
        <w:adjustRightInd w:val="0"/>
        <w:snapToGrid w:val="0"/>
        <w:spacing w:line="560" w:lineRule="exact"/>
        <w:ind w:firstLine="643" w:firstLineChars="200"/>
        <w:rPr>
          <w:rFonts w:ascii="仿宋" w:hAnsi="仿宋" w:eastAsia="仿宋"/>
          <w:kern w:val="0"/>
          <w:sz w:val="32"/>
          <w:szCs w:val="32"/>
        </w:rPr>
      </w:pPr>
      <w:r>
        <w:rPr>
          <w:rFonts w:hint="eastAsia" w:ascii="仿宋" w:hAnsi="仿宋" w:eastAsia="仿宋"/>
          <w:b/>
          <w:bCs/>
          <w:kern w:val="0"/>
          <w:sz w:val="32"/>
          <w:szCs w:val="32"/>
        </w:rPr>
        <w:t>从完成时效看，</w:t>
      </w:r>
      <w:r>
        <w:rPr>
          <w:rFonts w:hint="eastAsia" w:ascii="仿宋" w:hAnsi="仿宋" w:eastAsia="仿宋"/>
          <w:kern w:val="0"/>
          <w:sz w:val="32"/>
          <w:szCs w:val="32"/>
        </w:rPr>
        <w:t>2021年未完工项目与2022年新代建项目按期开工率达95%以上</w:t>
      </w:r>
      <w:r>
        <w:rPr>
          <w:rFonts w:hint="eastAsia" w:ascii="仿宋" w:hAnsi="仿宋" w:eastAsia="仿宋"/>
          <w:kern w:val="0"/>
          <w:sz w:val="32"/>
          <w:szCs w:val="32"/>
          <w:lang w:eastAsia="zh-CN"/>
        </w:rPr>
        <w:t>。</w:t>
      </w:r>
      <w:r>
        <w:rPr>
          <w:rFonts w:hint="eastAsia" w:ascii="仿宋" w:hAnsi="仿宋" w:eastAsia="仿宋"/>
          <w:kern w:val="0"/>
          <w:sz w:val="32"/>
          <w:szCs w:val="32"/>
          <w:lang w:val="en-US" w:eastAsia="zh-CN"/>
        </w:rPr>
        <w:t>同时，</w:t>
      </w:r>
      <w:r>
        <w:rPr>
          <w:rFonts w:hint="eastAsia" w:ascii="仿宋" w:hAnsi="仿宋" w:eastAsia="仿宋"/>
          <w:kern w:val="0"/>
          <w:sz w:val="32"/>
          <w:szCs w:val="32"/>
        </w:rPr>
        <w:t>在疫情爆发的环境下，统筹安排施工隔离点和方舱医院的建设工作，在既定时间内高效完成工作，如2022年8月29日至9月1日，我单位牵头组织金秋集团、中瑞集团、中兆海山等施工单位人员400余人次，通过建设“三区两通道”、安装窗户限位器、通道门锁、孔道封堵、标识牌安装、塑料布封堵等，先后实施了石家庄信息工程学院、石家庄学院（南北校区）、石家庄高级技工学校隔离点改造，共计改造楼栋15座、改造房间2598个，确保隔离点按时投用。</w:t>
      </w:r>
    </w:p>
    <w:p>
      <w:pPr>
        <w:adjustRightInd w:val="0"/>
        <w:snapToGrid w:val="0"/>
        <w:spacing w:line="560" w:lineRule="exact"/>
        <w:ind w:firstLine="643" w:firstLineChars="200"/>
        <w:rPr>
          <w:rFonts w:ascii="仿宋" w:hAnsi="仿宋" w:eastAsia="仿宋" w:cs="仿宋"/>
          <w:snapToGrid w:val="0"/>
          <w:kern w:val="0"/>
          <w:sz w:val="32"/>
          <w:szCs w:val="32"/>
          <w:lang w:bidi="ar"/>
        </w:rPr>
      </w:pPr>
      <w:r>
        <w:rPr>
          <w:rFonts w:hint="eastAsia" w:ascii="仿宋" w:hAnsi="仿宋" w:eastAsia="仿宋"/>
          <w:b/>
          <w:bCs/>
          <w:kern w:val="0"/>
          <w:sz w:val="32"/>
          <w:szCs w:val="32"/>
        </w:rPr>
        <w:t>从成本效益看，</w:t>
      </w:r>
      <w:r>
        <w:rPr>
          <w:rFonts w:hint="eastAsia" w:ascii="仿宋" w:hAnsi="仿宋" w:eastAsia="仿宋"/>
          <w:kern w:val="0"/>
          <w:sz w:val="32"/>
          <w:szCs w:val="32"/>
        </w:rPr>
        <w:t>在本年度建设工作中，</w:t>
      </w:r>
      <w:r>
        <w:rPr>
          <w:rFonts w:hint="eastAsia" w:ascii="仿宋" w:hAnsi="仿宋" w:eastAsia="仿宋" w:cs="仿宋"/>
          <w:snapToGrid w:val="0"/>
          <w:kern w:val="0"/>
          <w:sz w:val="32"/>
          <w:szCs w:val="32"/>
        </w:rPr>
        <w:t>未</w:t>
      </w:r>
      <w:r>
        <w:rPr>
          <w:rFonts w:hint="eastAsia" w:ascii="仿宋" w:hAnsi="仿宋" w:eastAsia="仿宋" w:cs="仿宋"/>
          <w:snapToGrid w:val="0"/>
          <w:kern w:val="0"/>
          <w:sz w:val="32"/>
          <w:szCs w:val="32"/>
          <w:lang w:bidi="ar"/>
        </w:rPr>
        <w:t>发生较大及以上安全事故。</w:t>
      </w:r>
      <w:r>
        <w:rPr>
          <w:rFonts w:hint="eastAsia" w:ascii="仿宋" w:hAnsi="仿宋" w:eastAsia="仿宋"/>
          <w:kern w:val="0"/>
          <w:sz w:val="32"/>
          <w:szCs w:val="32"/>
        </w:rPr>
        <w:t>我单位严格落实《石家庄市严管建筑施工扬尘十二条》规定</w:t>
      </w:r>
      <w:r>
        <w:rPr>
          <w:rFonts w:hint="eastAsia" w:ascii="仿宋" w:hAnsi="仿宋" w:eastAsia="仿宋"/>
          <w:kern w:val="0"/>
          <w:sz w:val="32"/>
          <w:szCs w:val="32"/>
          <w:lang w:eastAsia="zh-CN"/>
        </w:rPr>
        <w:t>，</w:t>
      </w:r>
      <w:r>
        <w:rPr>
          <w:rFonts w:hint="eastAsia" w:ascii="仿宋" w:hAnsi="仿宋" w:eastAsia="仿宋"/>
          <w:kern w:val="0"/>
          <w:sz w:val="32"/>
          <w:szCs w:val="32"/>
        </w:rPr>
        <w:t>达到“六个百分百、两个全覆盖”，</w:t>
      </w:r>
      <w:r>
        <w:rPr>
          <w:rFonts w:hint="eastAsia" w:ascii="仿宋" w:hAnsi="仿宋" w:eastAsia="仿宋" w:cs="黑体"/>
          <w:kern w:val="0"/>
          <w:sz w:val="32"/>
          <w:szCs w:val="32"/>
        </w:rPr>
        <w:t>严查治理设施到位情况及现场管理状况，现场扬尘治理水平不断改观，</w:t>
      </w:r>
      <w:r>
        <w:rPr>
          <w:rFonts w:hint="eastAsia" w:ascii="仿宋" w:hAnsi="仿宋" w:eastAsia="仿宋" w:cs="仿宋"/>
          <w:snapToGrid w:val="0"/>
          <w:kern w:val="0"/>
          <w:sz w:val="32"/>
          <w:szCs w:val="32"/>
          <w:lang w:bidi="ar"/>
        </w:rPr>
        <w:t>代建项目工地环保合格率达100%。</w:t>
      </w:r>
    </w:p>
    <w:p>
      <w:pPr>
        <w:pStyle w:val="3"/>
        <w:snapToGrid w:val="0"/>
        <w:spacing w:line="560" w:lineRule="exact"/>
        <w:ind w:firstLine="640" w:firstLineChars="200"/>
        <w:jc w:val="both"/>
        <w:rPr>
          <w:rFonts w:ascii="仿宋" w:hAnsi="仿宋" w:eastAsia="仿宋" w:cs="仿宋"/>
          <w:snapToGrid w:val="0"/>
          <w:kern w:val="0"/>
          <w:sz w:val="32"/>
          <w:szCs w:val="32"/>
        </w:rPr>
      </w:pPr>
      <w:r>
        <w:rPr>
          <w:rFonts w:hint="eastAsia" w:ascii="仿宋" w:hAnsi="仿宋" w:eastAsia="仿宋" w:cs="仿宋"/>
          <w:snapToGrid w:val="0"/>
          <w:kern w:val="0"/>
          <w:sz w:val="32"/>
          <w:szCs w:val="32"/>
        </w:rPr>
        <w:t>分项绩效目标实现情况见表5。</w:t>
      </w:r>
    </w:p>
    <w:p>
      <w:pPr>
        <w:pStyle w:val="17"/>
        <w:adjustRightInd w:val="0"/>
        <w:snapToGrid w:val="0"/>
        <w:spacing w:line="560" w:lineRule="exact"/>
        <w:jc w:val="center"/>
        <w:rPr>
          <w:rFonts w:ascii="黑体" w:hAnsi="黑体" w:eastAsia="黑体" w:cs="黑体"/>
          <w:snapToGrid w:val="0"/>
          <w:kern w:val="0"/>
          <w:sz w:val="28"/>
          <w:szCs w:val="28"/>
        </w:rPr>
      </w:pPr>
      <w:r>
        <w:rPr>
          <w:rFonts w:hint="eastAsia" w:ascii="黑体" w:hAnsi="黑体" w:eastAsia="黑体" w:cs="黑体"/>
          <w:snapToGrid w:val="0"/>
          <w:kern w:val="0"/>
          <w:sz w:val="28"/>
          <w:szCs w:val="28"/>
        </w:rPr>
        <w:t>表5：分项绩效目标实现情况</w:t>
      </w:r>
    </w:p>
    <w:tbl>
      <w:tblPr>
        <w:tblStyle w:val="12"/>
        <w:tblW w:w="4997" w:type="pct"/>
        <w:jc w:val="center"/>
        <w:tblLayout w:type="fixed"/>
        <w:tblCellMar>
          <w:top w:w="0" w:type="dxa"/>
          <w:left w:w="108" w:type="dxa"/>
          <w:bottom w:w="0" w:type="dxa"/>
          <w:right w:w="108" w:type="dxa"/>
        </w:tblCellMar>
      </w:tblPr>
      <w:tblGrid>
        <w:gridCol w:w="820"/>
        <w:gridCol w:w="3300"/>
        <w:gridCol w:w="4260"/>
        <w:gridCol w:w="676"/>
      </w:tblGrid>
      <w:tr>
        <w:tblPrEx>
          <w:tblCellMar>
            <w:top w:w="0" w:type="dxa"/>
            <w:left w:w="108" w:type="dxa"/>
            <w:bottom w:w="0" w:type="dxa"/>
            <w:right w:w="108" w:type="dxa"/>
          </w:tblCellMar>
        </w:tblPrEx>
        <w:trPr>
          <w:trHeight w:val="680" w:hRule="atLeast"/>
          <w:tblHeader/>
          <w:jc w:val="center"/>
        </w:trPr>
        <w:tc>
          <w:tcPr>
            <w:tcW w:w="4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center"/>
              <w:textAlignment w:val="center"/>
              <w:rPr>
                <w:rFonts w:ascii="宋体" w:hAnsi="宋体" w:cs="宋体"/>
                <w:b/>
                <w:bCs/>
                <w:snapToGrid w:val="0"/>
                <w:color w:val="000000"/>
                <w:kern w:val="0"/>
                <w:sz w:val="20"/>
                <w:szCs w:val="20"/>
              </w:rPr>
            </w:pPr>
            <w:r>
              <w:rPr>
                <w:rFonts w:hint="eastAsia" w:ascii="宋体" w:hAnsi="宋体" w:cs="宋体"/>
                <w:b/>
                <w:bCs/>
                <w:snapToGrid w:val="0"/>
                <w:color w:val="000000"/>
                <w:kern w:val="0"/>
                <w:sz w:val="20"/>
                <w:szCs w:val="20"/>
                <w:lang w:bidi="ar"/>
              </w:rPr>
              <w:t>序  号</w:t>
            </w:r>
          </w:p>
        </w:tc>
        <w:tc>
          <w:tcPr>
            <w:tcW w:w="18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center"/>
              <w:textAlignment w:val="center"/>
              <w:rPr>
                <w:rFonts w:ascii="宋体" w:hAnsi="宋体" w:cs="宋体"/>
                <w:b/>
                <w:bCs/>
                <w:snapToGrid w:val="0"/>
                <w:color w:val="000000"/>
                <w:kern w:val="0"/>
                <w:sz w:val="20"/>
                <w:szCs w:val="20"/>
              </w:rPr>
            </w:pPr>
            <w:r>
              <w:rPr>
                <w:rFonts w:hint="eastAsia" w:ascii="宋体" w:hAnsi="宋体" w:cs="宋体"/>
                <w:b/>
                <w:bCs/>
                <w:snapToGrid w:val="0"/>
                <w:color w:val="000000"/>
                <w:kern w:val="0"/>
                <w:sz w:val="20"/>
                <w:szCs w:val="20"/>
                <w:lang w:bidi="ar"/>
              </w:rPr>
              <w:t>分项绩效目标</w:t>
            </w:r>
          </w:p>
        </w:tc>
        <w:tc>
          <w:tcPr>
            <w:tcW w:w="23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center"/>
              <w:textAlignment w:val="center"/>
              <w:rPr>
                <w:rFonts w:ascii="宋体" w:hAnsi="宋体" w:cs="宋体"/>
                <w:b/>
                <w:bCs/>
                <w:snapToGrid w:val="0"/>
                <w:color w:val="000000"/>
                <w:kern w:val="0"/>
                <w:sz w:val="20"/>
                <w:szCs w:val="20"/>
              </w:rPr>
            </w:pPr>
            <w:r>
              <w:rPr>
                <w:rFonts w:hint="eastAsia" w:ascii="宋体" w:hAnsi="宋体" w:cs="宋体"/>
                <w:b/>
                <w:bCs/>
                <w:snapToGrid w:val="0"/>
                <w:color w:val="000000"/>
                <w:kern w:val="0"/>
                <w:sz w:val="20"/>
                <w:szCs w:val="20"/>
                <w:lang w:bidi="ar"/>
              </w:rPr>
              <w:t>分项绩效目标完成情况</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center"/>
              <w:textAlignment w:val="center"/>
              <w:rPr>
                <w:rFonts w:ascii="宋体" w:hAnsi="宋体" w:cs="宋体"/>
                <w:b/>
                <w:bCs/>
                <w:snapToGrid w:val="0"/>
                <w:color w:val="000000"/>
                <w:kern w:val="0"/>
                <w:sz w:val="20"/>
                <w:szCs w:val="20"/>
              </w:rPr>
            </w:pPr>
            <w:r>
              <w:rPr>
                <w:rFonts w:hint="eastAsia" w:ascii="宋体" w:hAnsi="宋体" w:cs="宋体"/>
                <w:b/>
                <w:bCs/>
                <w:snapToGrid w:val="0"/>
                <w:color w:val="000000"/>
                <w:kern w:val="0"/>
                <w:sz w:val="20"/>
                <w:szCs w:val="20"/>
                <w:lang w:bidi="ar"/>
              </w:rPr>
              <w:t>是否完成</w:t>
            </w:r>
          </w:p>
        </w:tc>
      </w:tr>
      <w:tr>
        <w:tblPrEx>
          <w:tblCellMar>
            <w:top w:w="0" w:type="dxa"/>
            <w:left w:w="108" w:type="dxa"/>
            <w:bottom w:w="0" w:type="dxa"/>
            <w:right w:w="108" w:type="dxa"/>
          </w:tblCellMar>
        </w:tblPrEx>
        <w:trPr>
          <w:trHeight w:val="680" w:hRule="atLeast"/>
          <w:jc w:val="center"/>
        </w:trPr>
        <w:tc>
          <w:tcPr>
            <w:tcW w:w="4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center"/>
              <w:textAlignment w:val="center"/>
              <w:rPr>
                <w:rFonts w:ascii="宋体" w:hAnsi="宋体" w:cs="宋体"/>
                <w:b/>
                <w:bCs/>
                <w:snapToGrid w:val="0"/>
                <w:color w:val="000000"/>
                <w:kern w:val="0"/>
                <w:sz w:val="20"/>
                <w:szCs w:val="20"/>
              </w:rPr>
            </w:pPr>
            <w:r>
              <w:rPr>
                <w:rFonts w:hint="eastAsia" w:ascii="宋体" w:hAnsi="宋体" w:cs="宋体"/>
                <w:b/>
                <w:bCs/>
                <w:snapToGrid w:val="0"/>
                <w:color w:val="000000"/>
                <w:kern w:val="0"/>
                <w:sz w:val="20"/>
                <w:szCs w:val="20"/>
                <w:lang w:bidi="ar"/>
              </w:rPr>
              <w:t>一</w:t>
            </w:r>
          </w:p>
        </w:tc>
        <w:tc>
          <w:tcPr>
            <w:tcW w:w="1821"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left"/>
              <w:textAlignment w:val="center"/>
              <w:rPr>
                <w:rFonts w:ascii="宋体" w:hAnsi="宋体" w:cs="宋体"/>
                <w:snapToGrid w:val="0"/>
                <w:color w:val="000000"/>
                <w:kern w:val="0"/>
                <w:sz w:val="20"/>
                <w:szCs w:val="20"/>
              </w:rPr>
            </w:pPr>
            <w:r>
              <w:rPr>
                <w:rFonts w:hint="eastAsia" w:ascii="宋体" w:hAnsi="宋体" w:cs="宋体"/>
                <w:snapToGrid w:val="0"/>
                <w:color w:val="000000"/>
                <w:kern w:val="0"/>
                <w:sz w:val="20"/>
                <w:szCs w:val="20"/>
              </w:rPr>
              <w:t>以市委、市政府确定的重点民生项目为核心，集中精力抓好代建项目推进。绩效目标：继续推进完成2021年未完工的项目，确保代建项目如期竣工验收，如石家庄市二中四期项目，项目如期完工；启动2022年新代建项目，保证新代建项目如期开工，如市人民医院河北省重症肌无力医院建设、市口腔医院改造。绩效指标：工程按期完成率100%；通过验收的工程量占验收建设总量90%；新代建项目按期开工率95%。</w:t>
            </w:r>
          </w:p>
        </w:tc>
        <w:tc>
          <w:tcPr>
            <w:tcW w:w="23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left"/>
              <w:rPr>
                <w:rFonts w:ascii="宋体" w:hAnsi="宋体" w:cs="宋体"/>
                <w:snapToGrid w:val="0"/>
                <w:color w:val="000000"/>
                <w:kern w:val="0"/>
                <w:sz w:val="20"/>
                <w:szCs w:val="20"/>
              </w:rPr>
            </w:pPr>
            <w:r>
              <w:rPr>
                <w:rFonts w:hint="eastAsia" w:ascii="宋体" w:hAnsi="宋体" w:cs="宋体"/>
                <w:snapToGrid w:val="0"/>
                <w:color w:val="000000"/>
                <w:kern w:val="0"/>
                <w:sz w:val="20"/>
                <w:szCs w:val="20"/>
                <w:lang w:bidi="ar"/>
              </w:rPr>
              <w:t>以市委、市政府确定的重点民生项目为核心，</w:t>
            </w:r>
            <w:r>
              <w:rPr>
                <w:rFonts w:hint="eastAsia" w:ascii="宋体" w:hAnsi="宋体" w:cs="宋体"/>
                <w:snapToGrid w:val="0"/>
                <w:color w:val="000000"/>
                <w:kern w:val="0"/>
                <w:sz w:val="20"/>
                <w:szCs w:val="20"/>
              </w:rPr>
              <w:t>我单位全面梳理代建项目清单，明确目标任务，夯实主体责任，实行主要负责人、分管领导、工程科室、项目负责人四级项目协调机制，强化责任落实，在中心各科室的努力下，</w:t>
            </w:r>
            <w:r>
              <w:rPr>
                <w:rFonts w:hint="eastAsia" w:ascii="宋体" w:hAnsi="宋体" w:cs="宋体"/>
                <w:b/>
                <w:bCs/>
                <w:snapToGrid w:val="0"/>
                <w:color w:val="000000"/>
                <w:kern w:val="0"/>
                <w:sz w:val="20"/>
                <w:szCs w:val="20"/>
              </w:rPr>
              <w:t>第一，</w:t>
            </w:r>
            <w:r>
              <w:rPr>
                <w:rFonts w:hint="eastAsia" w:ascii="宋体" w:hAnsi="宋体" w:cs="宋体"/>
                <w:snapToGrid w:val="0"/>
                <w:color w:val="000000"/>
                <w:kern w:val="0"/>
                <w:sz w:val="20"/>
                <w:szCs w:val="20"/>
              </w:rPr>
              <w:t>2021年未完工项目，按计划继续建设完成，例如石家庄市二中四期项目已如期完工，工程按期完工率100%，通过验收的工程量占建设总量的90%以上；</w:t>
            </w:r>
            <w:r>
              <w:rPr>
                <w:rFonts w:hint="eastAsia" w:ascii="宋体" w:hAnsi="宋体" w:cs="宋体"/>
                <w:b/>
                <w:bCs/>
                <w:snapToGrid w:val="0"/>
                <w:color w:val="000000"/>
                <w:kern w:val="0"/>
                <w:sz w:val="20"/>
                <w:szCs w:val="20"/>
              </w:rPr>
              <w:t>第二，</w:t>
            </w:r>
            <w:r>
              <w:rPr>
                <w:rFonts w:hint="eastAsia" w:ascii="宋体" w:hAnsi="宋体" w:cs="宋体"/>
                <w:snapToGrid w:val="0"/>
                <w:color w:val="000000"/>
                <w:kern w:val="0"/>
                <w:sz w:val="20"/>
                <w:szCs w:val="20"/>
              </w:rPr>
              <w:t>按工作计划安排，</w:t>
            </w:r>
            <w:r>
              <w:rPr>
                <w:rFonts w:hint="eastAsia" w:ascii="宋体" w:hAnsi="宋体" w:cs="宋体"/>
                <w:snapToGrid w:val="0"/>
                <w:color w:val="000000"/>
                <w:kern w:val="0"/>
                <w:sz w:val="20"/>
                <w:szCs w:val="20"/>
                <w:lang w:bidi="ar"/>
              </w:rPr>
              <w:t>启动了2022年新代建项目，新代建项目如期开工，如市人民医院河北省重症肌无力医院建设、市口腔医院改造，新代建项目按期开工率达95%。</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center"/>
              <w:textAlignment w:val="center"/>
              <w:rPr>
                <w:rFonts w:ascii="宋体" w:hAnsi="宋体" w:cs="宋体"/>
                <w:snapToGrid w:val="0"/>
                <w:color w:val="000000"/>
                <w:kern w:val="0"/>
                <w:sz w:val="20"/>
                <w:szCs w:val="20"/>
              </w:rPr>
            </w:pPr>
            <w:r>
              <w:rPr>
                <w:rFonts w:hint="eastAsia" w:ascii="宋体" w:hAnsi="宋体" w:cs="宋体"/>
                <w:snapToGrid w:val="0"/>
                <w:color w:val="000000"/>
                <w:kern w:val="0"/>
                <w:sz w:val="20"/>
                <w:szCs w:val="20"/>
                <w:lang w:bidi="ar"/>
              </w:rPr>
              <w:t>完成</w:t>
            </w:r>
          </w:p>
        </w:tc>
      </w:tr>
      <w:tr>
        <w:tblPrEx>
          <w:tblCellMar>
            <w:top w:w="0" w:type="dxa"/>
            <w:left w:w="108" w:type="dxa"/>
            <w:bottom w:w="0" w:type="dxa"/>
            <w:right w:w="108" w:type="dxa"/>
          </w:tblCellMar>
        </w:tblPrEx>
        <w:trPr>
          <w:trHeight w:val="680" w:hRule="atLeast"/>
          <w:jc w:val="center"/>
        </w:trPr>
        <w:tc>
          <w:tcPr>
            <w:tcW w:w="4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center"/>
              <w:textAlignment w:val="center"/>
              <w:rPr>
                <w:rFonts w:ascii="宋体" w:hAnsi="宋体" w:cs="宋体"/>
                <w:b/>
                <w:bCs/>
                <w:snapToGrid w:val="0"/>
                <w:color w:val="000000"/>
                <w:kern w:val="0"/>
                <w:sz w:val="20"/>
                <w:szCs w:val="20"/>
              </w:rPr>
            </w:pPr>
            <w:r>
              <w:rPr>
                <w:rFonts w:hint="eastAsia" w:ascii="宋体" w:hAnsi="宋体" w:cs="宋体"/>
                <w:b/>
                <w:bCs/>
                <w:snapToGrid w:val="0"/>
                <w:color w:val="000000"/>
                <w:kern w:val="0"/>
                <w:sz w:val="20"/>
                <w:szCs w:val="20"/>
                <w:lang w:bidi="ar"/>
              </w:rPr>
              <w:t>二</w:t>
            </w:r>
          </w:p>
        </w:tc>
        <w:tc>
          <w:tcPr>
            <w:tcW w:w="1821"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left"/>
              <w:textAlignment w:val="center"/>
              <w:rPr>
                <w:rFonts w:ascii="宋体" w:hAnsi="宋体" w:cs="宋体"/>
                <w:snapToGrid w:val="0"/>
                <w:color w:val="000000"/>
                <w:kern w:val="0"/>
                <w:sz w:val="20"/>
                <w:szCs w:val="20"/>
              </w:rPr>
            </w:pPr>
            <w:r>
              <w:rPr>
                <w:rFonts w:hint="eastAsia" w:ascii="宋体" w:hAnsi="宋体" w:cs="宋体"/>
                <w:snapToGrid w:val="0"/>
                <w:color w:val="000000"/>
                <w:kern w:val="0"/>
                <w:sz w:val="20"/>
                <w:szCs w:val="20"/>
              </w:rPr>
              <w:t>按照市委、市政府统一安排部署，不断提高代建项目质量、安全及文明施工水平。绩效目标：促进代建项目质量、安全及文明施工水平提高，保障施工质量安全及扬尘治理水平规范现场管理。绩效指标：项目现场考核覆盖率大于或等于90%；进行现场检查考核并对检查出具考核报告大于或等于10次；检查考核完成后应在三天内出具考核报告。</w:t>
            </w:r>
          </w:p>
        </w:tc>
        <w:tc>
          <w:tcPr>
            <w:tcW w:w="23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left"/>
              <w:rPr>
                <w:rFonts w:ascii="宋体" w:hAnsi="宋体" w:cs="宋体"/>
                <w:snapToGrid w:val="0"/>
                <w:color w:val="000000"/>
                <w:kern w:val="0"/>
                <w:sz w:val="20"/>
                <w:szCs w:val="20"/>
              </w:rPr>
            </w:pPr>
            <w:r>
              <w:rPr>
                <w:rFonts w:hint="eastAsia" w:ascii="宋体" w:hAnsi="宋体" w:cs="宋体"/>
                <w:snapToGrid w:val="0"/>
                <w:color w:val="000000"/>
                <w:kern w:val="0"/>
                <w:sz w:val="20"/>
                <w:szCs w:val="20"/>
                <w:lang w:bidi="ar"/>
              </w:rPr>
              <w:t>按照市委、市政府统一安排部署，我单位牢固树立“质量第一、安全至上”意识，强化安全质量管控。扎实开展安全生产大排查大整治集中攻坚行动，我单位为强化对施工现场的质量安全管理和考核，先后组织了10次代建项目施工监理单位考核，并于6月份、9月份进行了3次安全专项检查等，及时发现质量安全问题及隐患，为代建项目顺利推进提供了重要保障。同时积极推行绿色文明施工，认真落实抑尘降噪各项管控措施，有效实现了项目现场考核覆盖90%以上，进行现场检查考核并对检查出具考核报告10余次，检查考核完成后能够在三天内出具考核报告。</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center"/>
              <w:textAlignment w:val="center"/>
              <w:rPr>
                <w:rFonts w:ascii="宋体" w:hAnsi="宋体" w:cs="宋体"/>
                <w:snapToGrid w:val="0"/>
                <w:color w:val="000000"/>
                <w:kern w:val="0"/>
                <w:sz w:val="20"/>
                <w:szCs w:val="20"/>
              </w:rPr>
            </w:pPr>
            <w:r>
              <w:rPr>
                <w:rFonts w:hint="eastAsia" w:ascii="宋体" w:hAnsi="宋体" w:cs="宋体"/>
                <w:snapToGrid w:val="0"/>
                <w:color w:val="000000"/>
                <w:kern w:val="0"/>
                <w:sz w:val="20"/>
                <w:szCs w:val="20"/>
                <w:lang w:bidi="ar"/>
              </w:rPr>
              <w:t>完成</w:t>
            </w:r>
          </w:p>
        </w:tc>
      </w:tr>
      <w:tr>
        <w:tblPrEx>
          <w:tblCellMar>
            <w:top w:w="0" w:type="dxa"/>
            <w:left w:w="108" w:type="dxa"/>
            <w:bottom w:w="0" w:type="dxa"/>
            <w:right w:w="108" w:type="dxa"/>
          </w:tblCellMar>
        </w:tblPrEx>
        <w:trPr>
          <w:trHeight w:val="4896" w:hRule="atLeast"/>
          <w:jc w:val="center"/>
        </w:trPr>
        <w:tc>
          <w:tcPr>
            <w:tcW w:w="4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center"/>
              <w:textAlignment w:val="center"/>
              <w:rPr>
                <w:rFonts w:ascii="宋体" w:hAnsi="宋体" w:cs="宋体"/>
                <w:b/>
                <w:bCs/>
                <w:snapToGrid w:val="0"/>
                <w:color w:val="000000"/>
                <w:kern w:val="0"/>
                <w:sz w:val="20"/>
                <w:szCs w:val="20"/>
              </w:rPr>
            </w:pPr>
            <w:r>
              <w:rPr>
                <w:rFonts w:hint="eastAsia" w:ascii="宋体" w:hAnsi="宋体" w:cs="宋体"/>
                <w:b/>
                <w:bCs/>
                <w:snapToGrid w:val="0"/>
                <w:color w:val="000000"/>
                <w:kern w:val="0"/>
                <w:sz w:val="20"/>
                <w:szCs w:val="20"/>
                <w:lang w:bidi="ar"/>
              </w:rPr>
              <w:t>三</w:t>
            </w:r>
          </w:p>
        </w:tc>
        <w:tc>
          <w:tcPr>
            <w:tcW w:w="1821" w:type="pc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jc w:val="left"/>
              <w:textAlignment w:val="center"/>
              <w:rPr>
                <w:rFonts w:ascii="宋体" w:hAnsi="宋体" w:cs="宋体"/>
                <w:snapToGrid w:val="0"/>
                <w:color w:val="000000"/>
                <w:kern w:val="0"/>
                <w:sz w:val="20"/>
                <w:szCs w:val="20"/>
              </w:rPr>
            </w:pPr>
            <w:r>
              <w:rPr>
                <w:rFonts w:hint="eastAsia" w:ascii="宋体" w:hAnsi="宋体" w:cs="宋体"/>
                <w:snapToGrid w:val="0"/>
                <w:color w:val="000000"/>
                <w:kern w:val="0"/>
                <w:sz w:val="20"/>
                <w:szCs w:val="20"/>
              </w:rPr>
              <w:t>以建精品、创品牌、树标杆为目标，不断提升项目管理水平，展示良好的政府投资项目形象。绩效目标：外抓管理、内强素质，严把工程质量关、参建单位管理关、现场文明施工关，促进代建项目质量、安全及文明施工水平提高；保障施工质量安全及扬尘治理水平规范现场管理，努力将每一项代建工程打造成为质量标杆工程、扬尘治理标杆工地，展示良好的政府投资项目形象。</w:t>
            </w:r>
          </w:p>
          <w:p>
            <w:pPr>
              <w:adjustRightInd w:val="0"/>
              <w:snapToGrid w:val="0"/>
              <w:jc w:val="left"/>
              <w:textAlignment w:val="center"/>
              <w:rPr>
                <w:rFonts w:ascii="宋体" w:hAnsi="宋体" w:cs="宋体"/>
                <w:snapToGrid w:val="0"/>
                <w:color w:val="000000"/>
                <w:kern w:val="0"/>
                <w:sz w:val="20"/>
                <w:szCs w:val="20"/>
              </w:rPr>
            </w:pPr>
            <w:r>
              <w:rPr>
                <w:rFonts w:hint="eastAsia" w:ascii="宋体" w:hAnsi="宋体" w:cs="宋体"/>
                <w:snapToGrid w:val="0"/>
                <w:color w:val="000000"/>
                <w:kern w:val="0"/>
                <w:sz w:val="20"/>
                <w:szCs w:val="20"/>
              </w:rPr>
              <w:t>绩效指标：通过验收的单位工程均符合河北省建筑质量验收规范确定的标准；发生较大及以上安全事故率为零；严格按照《石家庄市严管建筑施工扬尘十二条》规定达到“六个百分百、两个全覆盖”，代建项目工地环保合格率100%。</w:t>
            </w:r>
          </w:p>
        </w:tc>
        <w:tc>
          <w:tcPr>
            <w:tcW w:w="23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left"/>
              <w:rPr>
                <w:rFonts w:ascii="宋体" w:hAnsi="宋体" w:cs="宋体"/>
                <w:snapToGrid w:val="0"/>
                <w:color w:val="000000"/>
                <w:kern w:val="0"/>
                <w:sz w:val="20"/>
                <w:szCs w:val="20"/>
              </w:rPr>
            </w:pPr>
            <w:r>
              <w:rPr>
                <w:rFonts w:hint="eastAsia" w:ascii="宋体" w:hAnsi="宋体" w:cs="宋体"/>
                <w:snapToGrid w:val="0"/>
                <w:color w:val="000000"/>
                <w:kern w:val="0"/>
                <w:sz w:val="20"/>
                <w:szCs w:val="20"/>
                <w:lang w:bidi="ar"/>
              </w:rPr>
              <w:t>以建精品、创品牌、树标杆为目标，在中心上下形成建项目、促发展的浓厚氛围，密织管理体系，对实施代建项目的施工和监理活动进行考核，并将考核结果作为施工单位及项目经理、监理单位及总监评价、合同履约及信用评价的依据，加强专项监督检查，持续跟踪问效，推动项目建设落地，严把工程质量关、参建单位管理关、现场文明施工关，实现项目工程的达到河北省建筑质量验收规范确定的标准，未发生较大及以上的安全事故。同时，严格做到“六个百分之百”“两个全覆盖”，保障施工质量安全及扬尘治理水平规范现场管理，有效减少了周边居民生活影响，代建项目工地环保合格率100%，提升了项目质量水平，努力打造精品典范工程，展示良好的政府投资项目目标。</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adjustRightInd w:val="0"/>
              <w:snapToGrid w:val="0"/>
              <w:jc w:val="center"/>
              <w:textAlignment w:val="center"/>
              <w:rPr>
                <w:rFonts w:ascii="宋体" w:hAnsi="宋体" w:cs="宋体"/>
                <w:snapToGrid w:val="0"/>
                <w:color w:val="000000"/>
                <w:kern w:val="0"/>
                <w:sz w:val="20"/>
                <w:szCs w:val="20"/>
              </w:rPr>
            </w:pPr>
            <w:r>
              <w:rPr>
                <w:rFonts w:hint="eastAsia" w:ascii="宋体" w:hAnsi="宋体" w:cs="宋体"/>
                <w:snapToGrid w:val="0"/>
                <w:color w:val="000000"/>
                <w:kern w:val="0"/>
                <w:sz w:val="20"/>
                <w:szCs w:val="20"/>
                <w:lang w:bidi="ar"/>
              </w:rPr>
              <w:t>完成</w:t>
            </w:r>
          </w:p>
        </w:tc>
      </w:tr>
    </w:tbl>
    <w:p>
      <w:pPr>
        <w:pStyle w:val="3"/>
        <w:snapToGrid w:val="0"/>
        <w:spacing w:line="240" w:lineRule="auto"/>
        <w:ind w:firstLine="640" w:firstLineChars="200"/>
        <w:rPr>
          <w:rFonts w:ascii="仿宋" w:hAnsi="仿宋" w:eastAsia="仿宋" w:cs="仿宋"/>
          <w:snapToGrid w:val="0"/>
          <w:kern w:val="0"/>
          <w:sz w:val="32"/>
          <w:szCs w:val="32"/>
          <w:lang w:bidi="ar"/>
        </w:rPr>
      </w:pPr>
    </w:p>
    <w:p>
      <w:pPr>
        <w:adjustRightInd w:val="0"/>
        <w:snapToGrid w:val="0"/>
        <w:spacing w:line="560" w:lineRule="exact"/>
        <w:ind w:firstLine="640" w:firstLineChars="200"/>
        <w:outlineLvl w:val="0"/>
        <w:rPr>
          <w:rFonts w:ascii="黑体" w:hAnsi="黑体" w:eastAsia="黑体"/>
          <w:kern w:val="0"/>
          <w:sz w:val="32"/>
          <w:szCs w:val="32"/>
        </w:rPr>
      </w:pPr>
      <w:r>
        <w:rPr>
          <w:rFonts w:hint="eastAsia" w:ascii="黑体" w:hAnsi="黑体" w:eastAsia="黑体"/>
          <w:kern w:val="0"/>
          <w:sz w:val="32"/>
          <w:szCs w:val="32"/>
        </w:rPr>
        <w:t>四、评价结论和评价等级</w:t>
      </w:r>
    </w:p>
    <w:p>
      <w:pPr>
        <w:adjustRightInd w:val="0"/>
        <w:snapToGrid w:val="0"/>
        <w:spacing w:line="560" w:lineRule="exact"/>
        <w:ind w:firstLine="640" w:firstLineChars="200"/>
        <w:rPr>
          <w:rFonts w:ascii="仿宋" w:hAnsi="仿宋" w:eastAsia="仿宋"/>
          <w:snapToGrid w:val="0"/>
          <w:kern w:val="0"/>
          <w:sz w:val="32"/>
          <w:szCs w:val="32"/>
          <w:highlight w:val="none"/>
        </w:rPr>
      </w:pPr>
      <w:r>
        <w:rPr>
          <w:rFonts w:hint="eastAsia" w:ascii="仿宋" w:hAnsi="仿宋" w:eastAsia="仿宋"/>
          <w:snapToGrid w:val="0"/>
          <w:kern w:val="0"/>
          <w:sz w:val="32"/>
          <w:szCs w:val="32"/>
        </w:rPr>
        <w:t>2022</w:t>
      </w:r>
      <w:r>
        <w:rPr>
          <w:rFonts w:hint="eastAsia" w:ascii="仿宋" w:hAnsi="仿宋" w:eastAsia="仿宋"/>
          <w:snapToGrid w:val="0"/>
          <w:kern w:val="0"/>
          <w:sz w:val="32"/>
          <w:szCs w:val="32"/>
          <w:lang w:val="en-US" w:eastAsia="zh-CN"/>
        </w:rPr>
        <w:t>年</w:t>
      </w:r>
      <w:r>
        <w:rPr>
          <w:rFonts w:hint="eastAsia" w:ascii="仿宋" w:hAnsi="仿宋" w:eastAsia="仿宋"/>
          <w:snapToGrid w:val="0"/>
          <w:kern w:val="0"/>
          <w:sz w:val="32"/>
          <w:szCs w:val="32"/>
        </w:rPr>
        <w:t>我单位财政批复预算资金56449.60万元，截至2022年12月31日实际支出</w:t>
      </w:r>
      <w:r>
        <w:rPr>
          <w:rFonts w:hint="eastAsia" w:ascii="仿宋" w:hAnsi="仿宋" w:eastAsia="仿宋"/>
          <w:iCs/>
          <w:snapToGrid w:val="0"/>
          <w:kern w:val="0"/>
          <w:sz w:val="32"/>
          <w:szCs w:val="32"/>
        </w:rPr>
        <w:t>53156.37</w:t>
      </w:r>
      <w:r>
        <w:rPr>
          <w:rFonts w:hint="eastAsia" w:ascii="仿宋" w:hAnsi="仿宋" w:eastAsia="仿宋"/>
          <w:snapToGrid w:val="0"/>
          <w:kern w:val="0"/>
          <w:sz w:val="32"/>
          <w:szCs w:val="32"/>
        </w:rPr>
        <w:t>万元，预算执行率94.17%，结余资金主</w:t>
      </w:r>
      <w:r>
        <w:rPr>
          <w:rFonts w:hint="eastAsia" w:ascii="仿宋" w:hAnsi="仿宋" w:eastAsia="仿宋"/>
          <w:snapToGrid w:val="0"/>
          <w:kern w:val="0"/>
          <w:sz w:val="32"/>
          <w:szCs w:val="32"/>
          <w:highlight w:val="none"/>
        </w:rPr>
        <w:t>要是石家庄市第一养老院建设项目等</w:t>
      </w:r>
      <w:r>
        <w:rPr>
          <w:rFonts w:hint="eastAsia" w:ascii="仿宋" w:hAnsi="仿宋" w:eastAsia="仿宋"/>
          <w:snapToGrid w:val="0"/>
          <w:kern w:val="0"/>
          <w:sz w:val="32"/>
          <w:szCs w:val="32"/>
          <w:highlight w:val="none"/>
          <w:lang w:val="en-US" w:eastAsia="zh-CN"/>
        </w:rPr>
        <w:t>3</w:t>
      </w:r>
      <w:r>
        <w:rPr>
          <w:rFonts w:hint="eastAsia" w:ascii="仿宋" w:hAnsi="仿宋" w:eastAsia="仿宋"/>
          <w:snapToGrid w:val="0"/>
          <w:kern w:val="0"/>
          <w:sz w:val="32"/>
          <w:szCs w:val="32"/>
          <w:highlight w:val="none"/>
        </w:rPr>
        <w:t>个项目资金未支出</w:t>
      </w:r>
      <w:r>
        <w:rPr>
          <w:rFonts w:hint="eastAsia" w:ascii="仿宋" w:hAnsi="仿宋" w:eastAsia="仿宋"/>
          <w:iCs/>
          <w:snapToGrid w:val="0"/>
          <w:kern w:val="0"/>
          <w:sz w:val="32"/>
          <w:szCs w:val="32"/>
          <w:highlight w:val="none"/>
        </w:rPr>
        <w:t>。我单位</w:t>
      </w:r>
      <w:r>
        <w:rPr>
          <w:rFonts w:hint="eastAsia" w:ascii="仿宋" w:hAnsi="仿宋" w:eastAsia="仿宋"/>
          <w:snapToGrid w:val="0"/>
          <w:kern w:val="0"/>
          <w:sz w:val="32"/>
          <w:szCs w:val="32"/>
          <w:highlight w:val="none"/>
        </w:rPr>
        <w:t>较好地完成了年度目标任务，</w:t>
      </w:r>
      <w:r>
        <w:rPr>
          <w:rFonts w:hint="eastAsia" w:ascii="仿宋" w:hAnsi="仿宋" w:eastAsia="仿宋"/>
          <w:snapToGrid w:val="0"/>
          <w:kern w:val="0"/>
          <w:sz w:val="32"/>
          <w:szCs w:val="32"/>
          <w:highlight w:val="none"/>
          <w:lang w:bidi="ar"/>
        </w:rPr>
        <w:t>按照市委、市政府统一安排部署，不断加强</w:t>
      </w:r>
      <w:r>
        <w:rPr>
          <w:rFonts w:hint="eastAsia" w:ascii="仿宋" w:hAnsi="仿宋" w:eastAsia="仿宋"/>
          <w:snapToGrid w:val="0"/>
          <w:kern w:val="0"/>
          <w:sz w:val="32"/>
          <w:szCs w:val="32"/>
          <w:lang w:bidi="ar"/>
        </w:rPr>
        <w:t>了内部</w:t>
      </w:r>
      <w:bookmarkStart w:id="4" w:name="_GoBack"/>
      <w:bookmarkEnd w:id="4"/>
      <w:r>
        <w:rPr>
          <w:rFonts w:hint="eastAsia" w:ascii="仿宋" w:hAnsi="仿宋" w:eastAsia="仿宋"/>
          <w:snapToGrid w:val="0"/>
          <w:kern w:val="0"/>
          <w:sz w:val="32"/>
          <w:szCs w:val="32"/>
          <w:lang w:bidi="ar"/>
        </w:rPr>
        <w:t>制度建设，对现有财务规章制度进行了完善，同时提升了项目管理水平，诠释了良好的政府投资项目形象。</w:t>
      </w:r>
      <w:r>
        <w:rPr>
          <w:rFonts w:hint="eastAsia" w:ascii="仿宋" w:hAnsi="仿宋" w:eastAsia="仿宋"/>
          <w:snapToGrid w:val="0"/>
          <w:kern w:val="0"/>
          <w:sz w:val="32"/>
          <w:szCs w:val="32"/>
        </w:rPr>
        <w:t>但自评发现也存在</w:t>
      </w:r>
      <w:r>
        <w:rPr>
          <w:rFonts w:hint="eastAsia" w:ascii="仿宋" w:hAnsi="仿宋" w:eastAsia="仿宋"/>
          <w:snapToGrid w:val="0"/>
          <w:kern w:val="0"/>
          <w:sz w:val="32"/>
          <w:szCs w:val="32"/>
          <w:lang w:val="en-US" w:eastAsia="zh-CN"/>
        </w:rPr>
        <w:t>项目佐证资料收集不完整</w:t>
      </w:r>
      <w:r>
        <w:rPr>
          <w:rFonts w:hint="eastAsia" w:ascii="仿宋" w:hAnsi="仿宋" w:eastAsia="仿宋"/>
          <w:snapToGrid w:val="0"/>
          <w:kern w:val="0"/>
          <w:sz w:val="32"/>
          <w:szCs w:val="32"/>
          <w:highlight w:val="none"/>
        </w:rPr>
        <w:t>等问题。</w:t>
      </w:r>
    </w:p>
    <w:p>
      <w:pPr>
        <w:adjustRightInd w:val="0"/>
        <w:snapToGrid w:val="0"/>
        <w:spacing w:line="560" w:lineRule="exact"/>
        <w:ind w:firstLine="640" w:firstLineChars="200"/>
        <w:rPr>
          <w:rFonts w:ascii="仿宋" w:hAnsi="仿宋" w:eastAsia="仿宋"/>
          <w:snapToGrid w:val="0"/>
          <w:kern w:val="0"/>
          <w:sz w:val="32"/>
          <w:szCs w:val="32"/>
          <w:highlight w:val="none"/>
        </w:rPr>
      </w:pPr>
      <w:r>
        <w:rPr>
          <w:rFonts w:hint="eastAsia" w:ascii="仿宋" w:hAnsi="仿宋" w:eastAsia="仿宋"/>
          <w:snapToGrid w:val="0"/>
          <w:kern w:val="0"/>
          <w:sz w:val="32"/>
          <w:szCs w:val="32"/>
          <w:highlight w:val="none"/>
        </w:rPr>
        <w:t>经评价，我单位2022年度部门整体支出绩效评价综合得分为</w:t>
      </w:r>
      <w:r>
        <w:rPr>
          <w:rFonts w:hint="eastAsia" w:ascii="仿宋" w:hAnsi="仿宋" w:eastAsia="仿宋"/>
          <w:snapToGrid w:val="0"/>
          <w:kern w:val="0"/>
          <w:sz w:val="32"/>
          <w:szCs w:val="32"/>
          <w:highlight w:val="none"/>
          <w:lang w:val="en-US" w:eastAsia="zh-CN"/>
        </w:rPr>
        <w:t>94.17</w:t>
      </w:r>
      <w:r>
        <w:rPr>
          <w:rFonts w:hint="eastAsia" w:ascii="仿宋" w:hAnsi="仿宋" w:eastAsia="仿宋"/>
          <w:snapToGrid w:val="0"/>
          <w:kern w:val="0"/>
          <w:sz w:val="32"/>
          <w:szCs w:val="32"/>
          <w:highlight w:val="none"/>
        </w:rPr>
        <w:t>分，综合绩效评价等级为“</w:t>
      </w:r>
      <w:r>
        <w:rPr>
          <w:rFonts w:hint="eastAsia" w:ascii="仿宋" w:hAnsi="仿宋" w:eastAsia="仿宋"/>
          <w:snapToGrid w:val="0"/>
          <w:kern w:val="0"/>
          <w:sz w:val="32"/>
          <w:szCs w:val="32"/>
          <w:highlight w:val="none"/>
          <w:lang w:val="en-US" w:eastAsia="zh-CN"/>
        </w:rPr>
        <w:t>优秀</w:t>
      </w:r>
      <w:r>
        <w:rPr>
          <w:rFonts w:hint="eastAsia" w:ascii="仿宋" w:hAnsi="仿宋" w:eastAsia="仿宋"/>
          <w:snapToGrid w:val="0"/>
          <w:kern w:val="0"/>
          <w:sz w:val="32"/>
          <w:szCs w:val="32"/>
          <w:highlight w:val="none"/>
        </w:rPr>
        <w:t>”。</w:t>
      </w:r>
    </w:p>
    <w:p>
      <w:pPr>
        <w:adjustRightInd w:val="0"/>
        <w:snapToGrid w:val="0"/>
        <w:spacing w:line="560" w:lineRule="exact"/>
        <w:ind w:firstLine="640" w:firstLineChars="200"/>
        <w:outlineLvl w:val="0"/>
        <w:rPr>
          <w:rFonts w:ascii="黑体" w:hAnsi="黑体" w:eastAsia="黑体"/>
          <w:kern w:val="0"/>
          <w:sz w:val="32"/>
          <w:szCs w:val="32"/>
          <w:highlight w:val="none"/>
        </w:rPr>
      </w:pPr>
      <w:r>
        <w:rPr>
          <w:rFonts w:hint="eastAsia" w:ascii="黑体" w:hAnsi="黑体" w:eastAsia="黑体"/>
          <w:kern w:val="0"/>
          <w:sz w:val="32"/>
          <w:szCs w:val="32"/>
          <w:highlight w:val="none"/>
        </w:rPr>
        <w:t>五、存在的问题及改进措施</w:t>
      </w:r>
    </w:p>
    <w:p>
      <w:pPr>
        <w:adjustRightInd w:val="0"/>
        <w:snapToGrid w:val="0"/>
        <w:spacing w:line="560" w:lineRule="exact"/>
        <w:ind w:firstLine="640" w:firstLineChars="200"/>
        <w:outlineLvl w:val="1"/>
        <w:rPr>
          <w:rFonts w:ascii="楷体" w:hAnsi="楷体" w:eastAsia="楷体"/>
          <w:bCs/>
          <w:kern w:val="0"/>
          <w:sz w:val="32"/>
          <w:szCs w:val="32"/>
          <w:highlight w:val="none"/>
        </w:rPr>
      </w:pPr>
      <w:r>
        <w:rPr>
          <w:rFonts w:hint="eastAsia" w:ascii="楷体" w:hAnsi="楷体" w:eastAsia="楷体"/>
          <w:bCs/>
          <w:kern w:val="0"/>
          <w:sz w:val="32"/>
          <w:szCs w:val="32"/>
          <w:highlight w:val="none"/>
        </w:rPr>
        <w:t>（一）存在的主要问题</w:t>
      </w:r>
    </w:p>
    <w:p>
      <w:pPr>
        <w:adjustRightInd w:val="0"/>
        <w:snapToGrid w:val="0"/>
        <w:spacing w:line="560" w:lineRule="exact"/>
        <w:ind w:firstLine="640" w:firstLineChars="200"/>
        <w:rPr>
          <w:rFonts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自评发现，个别分项目标绩效实现佐证资料收集不完整，未注重过程资料的留痕，如“项目现场考核覆盖率大于或等于90%”“检查考核完成后应在三天内出具考核报告”等指标的完成情况缺少资料证实，未能有效反映项目实施效果。</w:t>
      </w:r>
    </w:p>
    <w:p>
      <w:pPr>
        <w:adjustRightInd w:val="0"/>
        <w:snapToGrid w:val="0"/>
        <w:spacing w:line="560" w:lineRule="exact"/>
        <w:ind w:firstLine="640" w:firstLineChars="200"/>
        <w:outlineLvl w:val="1"/>
        <w:rPr>
          <w:rFonts w:ascii="楷体" w:hAnsi="楷体" w:eastAsia="楷体" w:cs="楷体"/>
          <w:bCs/>
          <w:kern w:val="0"/>
          <w:sz w:val="32"/>
          <w:szCs w:val="32"/>
        </w:rPr>
      </w:pPr>
      <w:r>
        <w:rPr>
          <w:rFonts w:hint="eastAsia" w:ascii="楷体" w:hAnsi="楷体" w:eastAsia="楷体" w:cs="楷体"/>
          <w:bCs/>
          <w:kern w:val="0"/>
          <w:sz w:val="32"/>
          <w:szCs w:val="32"/>
        </w:rPr>
        <w:t>（二）针对问题提出具体的改进措施或建议</w:t>
      </w:r>
    </w:p>
    <w:p>
      <w:pPr>
        <w:adjustRightInd w:val="0"/>
        <w:snapToGrid w:val="0"/>
        <w:spacing w:line="560" w:lineRule="exact"/>
        <w:ind w:firstLine="640" w:firstLineChars="200"/>
        <w:rPr>
          <w:rFonts w:ascii="仿宋" w:hAnsi="仿宋" w:eastAsia="仿宋" w:cs="仿宋"/>
          <w:snapToGrid w:val="0"/>
          <w:kern w:val="0"/>
          <w:sz w:val="32"/>
          <w:szCs w:val="32"/>
        </w:rPr>
      </w:pPr>
      <w:r>
        <w:rPr>
          <w:rFonts w:hint="eastAsia" w:ascii="仿宋" w:hAnsi="仿宋" w:eastAsia="仿宋" w:cs="仿宋"/>
          <w:snapToGrid w:val="0"/>
          <w:kern w:val="0"/>
          <w:sz w:val="32"/>
          <w:szCs w:val="32"/>
        </w:rPr>
        <w:t>我单位下一步将注重项目佐证资料的收集、整理。在项目执行过程中，重视工作留痕，按要求开展满意度调查、效益证明资料留档及汇总等工作，高质量反映项目实施的整体成效。</w:t>
      </w:r>
    </w:p>
    <w:p>
      <w:pPr>
        <w:adjustRightInd w:val="0"/>
        <w:snapToGrid w:val="0"/>
        <w:spacing w:line="560" w:lineRule="exact"/>
        <w:ind w:firstLine="640" w:firstLineChars="200"/>
        <w:outlineLvl w:val="0"/>
        <w:rPr>
          <w:rFonts w:ascii="黑体" w:hAnsi="黑体" w:eastAsia="黑体"/>
          <w:kern w:val="0"/>
          <w:sz w:val="32"/>
          <w:szCs w:val="32"/>
        </w:rPr>
      </w:pPr>
      <w:r>
        <w:rPr>
          <w:rFonts w:hint="eastAsia" w:ascii="黑体" w:hAnsi="黑体" w:eastAsia="黑体"/>
          <w:kern w:val="0"/>
          <w:sz w:val="32"/>
          <w:szCs w:val="32"/>
        </w:rPr>
        <w:t>六、评价工作组人员名单及签字（姓名、工作单位、职务、职称）</w:t>
      </w:r>
    </w:p>
    <w:p>
      <w:pPr>
        <w:adjustRightInd w:val="0"/>
        <w:snapToGrid w:val="0"/>
        <w:spacing w:line="240" w:lineRule="auto"/>
        <w:ind w:firstLine="420" w:firstLineChars="200"/>
        <w:rPr>
          <w:rFonts w:hint="eastAsia" w:ascii="仿宋" w:hAnsi="仿宋" w:eastAsia="仿宋"/>
          <w:kern w:val="0"/>
          <w:lang w:eastAsia="zh-CN"/>
        </w:rPr>
      </w:pPr>
      <w:r>
        <w:rPr>
          <w:rFonts w:hint="eastAsia" w:ascii="仿宋" w:hAnsi="仿宋" w:eastAsia="仿宋"/>
          <w:kern w:val="0"/>
          <w:lang w:eastAsia="zh-CN"/>
        </w:rPr>
        <w:drawing>
          <wp:inline distT="0" distB="0" distL="114300" distR="114300">
            <wp:extent cx="5251450" cy="2351405"/>
            <wp:effectExtent l="0" t="0" r="0" b="0"/>
            <wp:docPr id="2" name="图片 2" descr="整体 评价工作组人员名单及签字（需项目单位签字后扫描插入报告内）_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整体 评价工作组人员名单及签字（需项目单位签字后扫描插入报告内）_00"/>
                    <pic:cNvPicPr>
                      <a:picLocks noChangeAspect="1"/>
                    </pic:cNvPicPr>
                  </pic:nvPicPr>
                  <pic:blipFill>
                    <a:blip r:embed="rId6"/>
                    <a:srcRect l="3418" t="6387" r="2977" b="63978"/>
                    <a:stretch>
                      <a:fillRect/>
                    </a:stretch>
                  </pic:blipFill>
                  <pic:spPr>
                    <a:xfrm>
                      <a:off x="0" y="0"/>
                      <a:ext cx="5251450" cy="2351405"/>
                    </a:xfrm>
                    <a:prstGeom prst="rect">
                      <a:avLst/>
                    </a:prstGeom>
                  </pic:spPr>
                </pic:pic>
              </a:graphicData>
            </a:graphic>
          </wp:inline>
        </w:drawing>
      </w:r>
    </w:p>
    <w:sectPr>
      <w:footerReference r:id="rId4" w:type="default"/>
      <w:pgSz w:w="11906" w:h="16838"/>
      <w:pgMar w:top="1440" w:right="1474" w:bottom="1440" w:left="1587" w:header="851" w:footer="992" w:gutter="0"/>
      <w:pgNumType w:fmt="numberInDash" w:start="1"/>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035503C4-9486-4859-A12A-9564F00F20B5}"/>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embedRegular r:id="rId2" w:fontKey="{52F2C703-02BD-437C-8805-1CC86DE26B9A}"/>
  </w:font>
  <w:font w:name="仿宋">
    <w:panose1 w:val="02010609060101010101"/>
    <w:charset w:val="86"/>
    <w:family w:val="modern"/>
    <w:pitch w:val="default"/>
    <w:sig w:usb0="800002BF" w:usb1="38CF7CFA" w:usb2="00000016" w:usb3="00000000" w:csb0="00040001" w:csb1="00000000"/>
    <w:embedRegular r:id="rId3" w:fontKey="{231B5DF0-3EC7-489F-B1A5-B423C3E92A83}"/>
  </w:font>
  <w:font w:name="楷体">
    <w:panose1 w:val="02010609060101010101"/>
    <w:charset w:val="86"/>
    <w:family w:val="modern"/>
    <w:pitch w:val="default"/>
    <w:sig w:usb0="800002BF" w:usb1="38CF7CFA" w:usb2="00000016" w:usb3="00000000" w:csb0="00040001" w:csb1="00000000"/>
    <w:embedRegular r:id="rId4" w:fontKey="{C8D5167A-998D-4392-9C43-FBA783F9DE33}"/>
  </w:font>
  <w:font w:name="楷体_GB2312">
    <w:panose1 w:val="02010609030101010101"/>
    <w:charset w:val="86"/>
    <w:family w:val="modern"/>
    <w:pitch w:val="default"/>
    <w:sig w:usb0="00000001" w:usb1="080E0000" w:usb2="00000000" w:usb3="00000000" w:csb0="00040000" w:csb1="00000000"/>
    <w:embedRegular r:id="rId5" w:fontKey="{EF8547FF-E9C3-434A-A0CA-B09FC3D43FAF}"/>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rPr>
        <w:rFonts w:hint="eastAsia" w:ascii="宋体" w:hAnsi="宋体"/>
        <w:sz w:val="28"/>
        <w:szCs w:val="40"/>
      </w:rPr>
    </w:pPr>
    <w:r>
      <w:rPr>
        <w:sz w:val="2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679972774"/>
                            <w:docPartObj>
                              <w:docPartGallery w:val="autotext"/>
                            </w:docPartObj>
                          </w:sdtPr>
                          <w:sdtEndPr>
                            <w:rPr>
                              <w:rFonts w:ascii="宋体" w:hAnsi="宋体"/>
                              <w:sz w:val="28"/>
                              <w:szCs w:val="40"/>
                            </w:rPr>
                          </w:sdtEndPr>
                          <w:sdtContent>
                            <w:p>
                              <w:pPr>
                                <w:pStyle w:val="8"/>
                                <w:jc w:val="center"/>
                                <w:rPr>
                                  <w:rFonts w:ascii="宋体" w:hAnsi="宋体"/>
                                  <w:sz w:val="28"/>
                                  <w:szCs w:val="40"/>
                                </w:rPr>
                              </w:pPr>
                              <w:r>
                                <w:rPr>
                                  <w:rFonts w:ascii="宋体" w:hAnsi="宋体"/>
                                  <w:sz w:val="28"/>
                                  <w:szCs w:val="40"/>
                                </w:rPr>
                                <w:fldChar w:fldCharType="begin"/>
                              </w:r>
                              <w:r>
                                <w:rPr>
                                  <w:rFonts w:ascii="宋体" w:hAnsi="宋体"/>
                                  <w:sz w:val="28"/>
                                  <w:szCs w:val="40"/>
                                </w:rPr>
                                <w:instrText xml:space="preserve">PAGE   \* MERGEFORMAT</w:instrText>
                              </w:r>
                              <w:r>
                                <w:rPr>
                                  <w:rFonts w:ascii="宋体" w:hAnsi="宋体"/>
                                  <w:sz w:val="28"/>
                                  <w:szCs w:val="40"/>
                                </w:rPr>
                                <w:fldChar w:fldCharType="separate"/>
                              </w:r>
                              <w:r>
                                <w:rPr>
                                  <w:rFonts w:ascii="宋体" w:hAnsi="宋体"/>
                                  <w:sz w:val="28"/>
                                  <w:szCs w:val="40"/>
                                  <w:lang w:val="zh-CN"/>
                                </w:rPr>
                                <w:t>2</w:t>
                              </w:r>
                              <w:r>
                                <w:rPr>
                                  <w:rFonts w:ascii="宋体" w:hAnsi="宋体"/>
                                  <w:sz w:val="28"/>
                                  <w:szCs w:val="40"/>
                                </w:rPr>
                                <w:fldChar w:fldCharType="end"/>
                              </w:r>
                            </w:p>
                          </w:sdtContent>
                        </w:sdt>
                        <w:p>
                          <w:pPr>
                            <w:pStyle w:val="2"/>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sdt>
                    <w:sdtPr>
                      <w:id w:val="-679972774"/>
                      <w:docPartObj>
                        <w:docPartGallery w:val="autotext"/>
                      </w:docPartObj>
                    </w:sdtPr>
                    <w:sdtEndPr>
                      <w:rPr>
                        <w:rFonts w:ascii="宋体" w:hAnsi="宋体"/>
                        <w:sz w:val="28"/>
                        <w:szCs w:val="40"/>
                      </w:rPr>
                    </w:sdtEndPr>
                    <w:sdtContent>
                      <w:p>
                        <w:pPr>
                          <w:pStyle w:val="8"/>
                          <w:jc w:val="center"/>
                          <w:rPr>
                            <w:rFonts w:ascii="宋体" w:hAnsi="宋体"/>
                            <w:sz w:val="28"/>
                            <w:szCs w:val="40"/>
                          </w:rPr>
                        </w:pPr>
                        <w:r>
                          <w:rPr>
                            <w:rFonts w:ascii="宋体" w:hAnsi="宋体"/>
                            <w:sz w:val="28"/>
                            <w:szCs w:val="40"/>
                          </w:rPr>
                          <w:fldChar w:fldCharType="begin"/>
                        </w:r>
                        <w:r>
                          <w:rPr>
                            <w:rFonts w:ascii="宋体" w:hAnsi="宋体"/>
                            <w:sz w:val="28"/>
                            <w:szCs w:val="40"/>
                          </w:rPr>
                          <w:instrText xml:space="preserve">PAGE   \* MERGEFORMAT</w:instrText>
                        </w:r>
                        <w:r>
                          <w:rPr>
                            <w:rFonts w:ascii="宋体" w:hAnsi="宋体"/>
                            <w:sz w:val="28"/>
                            <w:szCs w:val="40"/>
                          </w:rPr>
                          <w:fldChar w:fldCharType="separate"/>
                        </w:r>
                        <w:r>
                          <w:rPr>
                            <w:rFonts w:ascii="宋体" w:hAnsi="宋体"/>
                            <w:sz w:val="28"/>
                            <w:szCs w:val="40"/>
                            <w:lang w:val="zh-CN"/>
                          </w:rPr>
                          <w:t>2</w:t>
                        </w:r>
                        <w:r>
                          <w:rPr>
                            <w:rFonts w:ascii="宋体" w:hAnsi="宋体"/>
                            <w:sz w:val="28"/>
                            <w:szCs w:val="40"/>
                          </w:rPr>
                          <w:fldChar w:fldCharType="end"/>
                        </w:r>
                      </w:p>
                    </w:sdtContent>
                  </w:sdt>
                  <w:p>
                    <w:pPr>
                      <w:pStyle w:val="2"/>
                    </w:pP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4">
    <w:p>
      <w:r>
        <w:separator/>
      </w:r>
    </w:p>
  </w:footnote>
  <w:footnote w:type="continuationSeparator" w:id="5">
    <w:p>
      <w:r>
        <w:continuationSeparator/>
      </w:r>
    </w:p>
  </w:footnote>
  <w:footnote w:id="0">
    <w:p>
      <w:pPr>
        <w:pStyle w:val="10"/>
        <w:adjustRightInd w:val="0"/>
        <w:rPr>
          <w:rFonts w:ascii="宋体" w:hAnsi="宋体" w:cs="宋体"/>
          <w:szCs w:val="18"/>
        </w:rPr>
      </w:pPr>
      <w:r>
        <w:rPr>
          <w:rStyle w:val="16"/>
          <w:rFonts w:hint="eastAsia" w:ascii="宋体" w:hAnsi="宋体" w:cs="宋体"/>
          <w:szCs w:val="18"/>
        </w:rPr>
        <w:footnoteRef/>
      </w:r>
      <w:r>
        <w:rPr>
          <w:rFonts w:hint="eastAsia" w:ascii="宋体" w:hAnsi="宋体" w:cs="宋体"/>
          <w:szCs w:val="18"/>
        </w:rPr>
        <w:t xml:space="preserve"> 政府投资代建项目是指学校、医院、公益场馆、消防工程等社会事业项目及行政事业单位办公用房、业务用房的房屋建筑类工程，新建、改建、扩建项目概算投资在500万元（含）以上的，装修、维修改造项目概算投资在200万元（含）以上的，以及市政府确定的其他政府投资代建项目。</w:t>
      </w:r>
    </w:p>
  </w:footnote>
  <w:footnote w:id="1">
    <w:p>
      <w:pPr>
        <w:pStyle w:val="10"/>
        <w:rPr>
          <w:rFonts w:ascii="宋体" w:hAnsi="宋体" w:cs="宋体"/>
        </w:rPr>
      </w:pPr>
      <w:r>
        <w:rPr>
          <w:rStyle w:val="16"/>
          <w:rFonts w:hint="eastAsia" w:ascii="宋体" w:hAnsi="宋体" w:cs="宋体"/>
        </w:rPr>
        <w:footnoteRef/>
      </w:r>
      <w:r>
        <w:rPr>
          <w:rFonts w:hint="eastAsia" w:ascii="宋体" w:hAnsi="宋体" w:cs="宋体"/>
        </w:rPr>
        <w:t xml:space="preserve"> 单位资产总额含在建工程。</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doNotTrackMoves/>
  <w:trackRevisions w:val="1"/>
  <w:documentProtection w:enforcement="0"/>
  <w:defaultTabStop w:val="420"/>
  <w:drawingGridVerticalSpacing w:val="156"/>
  <w:noPunctuationKerning w:val="1"/>
  <w:characterSpacingControl w:val="compressPunctuation"/>
  <w:footnotePr>
    <w:footnote w:id="4"/>
    <w:footnote w:id="5"/>
  </w:foot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Q2NzI4NWE1NTUxNjFmMzI1YTUxNWU1MjY3YzY5ZWUifQ=="/>
  </w:docVars>
  <w:rsids>
    <w:rsidRoot w:val="0EBD2122"/>
    <w:rsid w:val="000B0260"/>
    <w:rsid w:val="002B0E77"/>
    <w:rsid w:val="0044517D"/>
    <w:rsid w:val="007E6C1F"/>
    <w:rsid w:val="00887190"/>
    <w:rsid w:val="00890CF6"/>
    <w:rsid w:val="00892661"/>
    <w:rsid w:val="00956A93"/>
    <w:rsid w:val="009E575C"/>
    <w:rsid w:val="00AF167E"/>
    <w:rsid w:val="00AF566A"/>
    <w:rsid w:val="00B478EA"/>
    <w:rsid w:val="00B6553A"/>
    <w:rsid w:val="00BC6576"/>
    <w:rsid w:val="00C8034E"/>
    <w:rsid w:val="00CE06BA"/>
    <w:rsid w:val="00E8700F"/>
    <w:rsid w:val="00F441CC"/>
    <w:rsid w:val="0111022D"/>
    <w:rsid w:val="01826A17"/>
    <w:rsid w:val="018B4D20"/>
    <w:rsid w:val="01B104CA"/>
    <w:rsid w:val="02106AB0"/>
    <w:rsid w:val="02B43A28"/>
    <w:rsid w:val="046F331E"/>
    <w:rsid w:val="04B1530B"/>
    <w:rsid w:val="05280DB8"/>
    <w:rsid w:val="052B1173"/>
    <w:rsid w:val="055F6D45"/>
    <w:rsid w:val="07956271"/>
    <w:rsid w:val="09721397"/>
    <w:rsid w:val="0AAA4475"/>
    <w:rsid w:val="0BB63BED"/>
    <w:rsid w:val="0C96248E"/>
    <w:rsid w:val="0CE658B2"/>
    <w:rsid w:val="0EB97A43"/>
    <w:rsid w:val="0EBD2122"/>
    <w:rsid w:val="0EE715EB"/>
    <w:rsid w:val="0F214EAE"/>
    <w:rsid w:val="108F32A4"/>
    <w:rsid w:val="11B71E6A"/>
    <w:rsid w:val="133B4ABA"/>
    <w:rsid w:val="143A0A8B"/>
    <w:rsid w:val="15F80BFE"/>
    <w:rsid w:val="17B34714"/>
    <w:rsid w:val="184340D2"/>
    <w:rsid w:val="1AAF0063"/>
    <w:rsid w:val="1BE140DE"/>
    <w:rsid w:val="1D5C4C49"/>
    <w:rsid w:val="1EC975DB"/>
    <w:rsid w:val="20335FB4"/>
    <w:rsid w:val="23084329"/>
    <w:rsid w:val="248C197D"/>
    <w:rsid w:val="24E53E48"/>
    <w:rsid w:val="252959AF"/>
    <w:rsid w:val="263A0000"/>
    <w:rsid w:val="277A6671"/>
    <w:rsid w:val="28873BF9"/>
    <w:rsid w:val="292D35B7"/>
    <w:rsid w:val="2AAB70AE"/>
    <w:rsid w:val="2BDD46C6"/>
    <w:rsid w:val="2C293467"/>
    <w:rsid w:val="2D9E752C"/>
    <w:rsid w:val="2FED1C37"/>
    <w:rsid w:val="333A7025"/>
    <w:rsid w:val="338059B6"/>
    <w:rsid w:val="33EB6CFF"/>
    <w:rsid w:val="35A12947"/>
    <w:rsid w:val="372949B6"/>
    <w:rsid w:val="37387040"/>
    <w:rsid w:val="381F36D8"/>
    <w:rsid w:val="38227E27"/>
    <w:rsid w:val="39D44D89"/>
    <w:rsid w:val="39F935D2"/>
    <w:rsid w:val="3B577016"/>
    <w:rsid w:val="3B625C0A"/>
    <w:rsid w:val="3CEE1963"/>
    <w:rsid w:val="43F839F3"/>
    <w:rsid w:val="46F31A54"/>
    <w:rsid w:val="46FF3C28"/>
    <w:rsid w:val="47D06A35"/>
    <w:rsid w:val="49053691"/>
    <w:rsid w:val="49265C38"/>
    <w:rsid w:val="4ACE3700"/>
    <w:rsid w:val="4B0D06CC"/>
    <w:rsid w:val="4C9C27FE"/>
    <w:rsid w:val="4D2476E6"/>
    <w:rsid w:val="4D8B1AF7"/>
    <w:rsid w:val="50A23174"/>
    <w:rsid w:val="512260B4"/>
    <w:rsid w:val="516A3B3E"/>
    <w:rsid w:val="527E3C5D"/>
    <w:rsid w:val="52BD6ACB"/>
    <w:rsid w:val="55537534"/>
    <w:rsid w:val="561A74F1"/>
    <w:rsid w:val="57E96D80"/>
    <w:rsid w:val="58D6501D"/>
    <w:rsid w:val="597244E8"/>
    <w:rsid w:val="5A963475"/>
    <w:rsid w:val="5B2D4472"/>
    <w:rsid w:val="5C38696E"/>
    <w:rsid w:val="5C451348"/>
    <w:rsid w:val="5EB71C30"/>
    <w:rsid w:val="61491A9F"/>
    <w:rsid w:val="62DB35DA"/>
    <w:rsid w:val="631F5AE4"/>
    <w:rsid w:val="66AF0CE5"/>
    <w:rsid w:val="67CB51AF"/>
    <w:rsid w:val="693B7D5A"/>
    <w:rsid w:val="69CB19AC"/>
    <w:rsid w:val="6AC537CF"/>
    <w:rsid w:val="6AE508C6"/>
    <w:rsid w:val="6E5B14A6"/>
    <w:rsid w:val="711B255E"/>
    <w:rsid w:val="730E1A1C"/>
    <w:rsid w:val="75E93EFC"/>
    <w:rsid w:val="76322C84"/>
    <w:rsid w:val="76736CB0"/>
    <w:rsid w:val="769E5CA3"/>
    <w:rsid w:val="778019A4"/>
    <w:rsid w:val="788B15FC"/>
    <w:rsid w:val="7BB51E06"/>
    <w:rsid w:val="7C387F7C"/>
    <w:rsid w:val="7CB943F2"/>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qFormat="1"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2">
    <w:name w:val="toa heading"/>
    <w:basedOn w:val="1"/>
    <w:next w:val="1"/>
    <w:semiHidden/>
    <w:qFormat/>
    <w:uiPriority w:val="0"/>
    <w:pPr>
      <w:spacing w:before="120"/>
    </w:pPr>
    <w:rPr>
      <w:rFonts w:ascii="Arial" w:hAnsi="Arial" w:cs="Arial"/>
      <w:szCs w:val="24"/>
    </w:rPr>
  </w:style>
  <w:style w:type="paragraph" w:styleId="3">
    <w:name w:val="Normal Indent"/>
    <w:basedOn w:val="1"/>
    <w:qFormat/>
    <w:uiPriority w:val="0"/>
    <w:pPr>
      <w:adjustRightInd w:val="0"/>
      <w:spacing w:line="360" w:lineRule="atLeast"/>
      <w:ind w:firstLine="420"/>
      <w:jc w:val="left"/>
      <w:textAlignment w:val="baseline"/>
    </w:pPr>
    <w:rPr>
      <w:sz w:val="25"/>
    </w:rPr>
  </w:style>
  <w:style w:type="paragraph" w:styleId="4">
    <w:name w:val="annotation text"/>
    <w:basedOn w:val="1"/>
    <w:link w:val="22"/>
    <w:qFormat/>
    <w:uiPriority w:val="0"/>
    <w:pPr>
      <w:jc w:val="left"/>
    </w:pPr>
  </w:style>
  <w:style w:type="paragraph" w:styleId="5">
    <w:name w:val="Body Text"/>
    <w:basedOn w:val="1"/>
    <w:next w:val="6"/>
    <w:qFormat/>
    <w:uiPriority w:val="0"/>
    <w:rPr>
      <w:rFonts w:eastAsia="仿宋_GB2312"/>
      <w:sz w:val="24"/>
      <w:szCs w:val="20"/>
    </w:rPr>
  </w:style>
  <w:style w:type="paragraph" w:customStyle="1" w:styleId="6">
    <w:name w:val="正文首行缩进1"/>
    <w:basedOn w:val="1"/>
    <w:qFormat/>
    <w:uiPriority w:val="0"/>
    <w:pPr>
      <w:spacing w:after="120"/>
      <w:ind w:firstLine="420" w:firstLineChars="100"/>
    </w:pPr>
  </w:style>
  <w:style w:type="paragraph" w:styleId="7">
    <w:name w:val="Block Text"/>
    <w:basedOn w:val="1"/>
    <w:qFormat/>
    <w:uiPriority w:val="0"/>
    <w:pPr>
      <w:spacing w:after="120"/>
      <w:ind w:left="700" w:leftChars="700" w:right="700" w:rightChars="700"/>
    </w:pPr>
  </w:style>
  <w:style w:type="paragraph" w:styleId="8">
    <w:name w:val="footer"/>
    <w:basedOn w:val="1"/>
    <w:link w:val="21"/>
    <w:qFormat/>
    <w:uiPriority w:val="99"/>
    <w:pPr>
      <w:tabs>
        <w:tab w:val="center" w:pos="4153"/>
        <w:tab w:val="right" w:pos="8306"/>
      </w:tabs>
      <w:snapToGrid w:val="0"/>
      <w:jc w:val="left"/>
    </w:pPr>
    <w:rPr>
      <w:sz w:val="18"/>
    </w:rPr>
  </w:style>
  <w:style w:type="paragraph" w:styleId="9">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10">
    <w:name w:val="footnote text"/>
    <w:basedOn w:val="1"/>
    <w:unhideWhenUsed/>
    <w:qFormat/>
    <w:uiPriority w:val="0"/>
    <w:pPr>
      <w:snapToGrid w:val="0"/>
      <w:jc w:val="left"/>
    </w:pPr>
    <w:rPr>
      <w:sz w:val="18"/>
    </w:rPr>
  </w:style>
  <w:style w:type="paragraph" w:styleId="11">
    <w:name w:val="annotation subject"/>
    <w:basedOn w:val="4"/>
    <w:next w:val="4"/>
    <w:link w:val="23"/>
    <w:qFormat/>
    <w:uiPriority w:val="0"/>
    <w:rPr>
      <w:b/>
      <w:bCs/>
    </w:rPr>
  </w:style>
  <w:style w:type="table" w:styleId="13">
    <w:name w:val="Table Grid"/>
    <w:basedOn w:val="1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annotation reference"/>
    <w:basedOn w:val="14"/>
    <w:qFormat/>
    <w:uiPriority w:val="0"/>
    <w:rPr>
      <w:sz w:val="21"/>
      <w:szCs w:val="21"/>
    </w:rPr>
  </w:style>
  <w:style w:type="character" w:styleId="16">
    <w:name w:val="footnote reference"/>
    <w:unhideWhenUsed/>
    <w:qFormat/>
    <w:uiPriority w:val="0"/>
    <w:rPr>
      <w:vertAlign w:val="superscript"/>
    </w:rPr>
  </w:style>
  <w:style w:type="paragraph" w:customStyle="1" w:styleId="17">
    <w:name w:val="纯文本1"/>
    <w:basedOn w:val="1"/>
    <w:qFormat/>
    <w:uiPriority w:val="0"/>
    <w:rPr>
      <w:rFonts w:ascii="宋体" w:hAnsi="Courier New" w:cs="Courier New"/>
      <w:szCs w:val="21"/>
    </w:rPr>
  </w:style>
  <w:style w:type="character" w:customStyle="1" w:styleId="18">
    <w:name w:val="font21"/>
    <w:basedOn w:val="14"/>
    <w:qFormat/>
    <w:uiPriority w:val="0"/>
    <w:rPr>
      <w:rFonts w:hint="eastAsia" w:ascii="宋体" w:hAnsi="宋体" w:eastAsia="宋体" w:cs="宋体"/>
      <w:b/>
      <w:bCs/>
      <w:color w:val="000000"/>
      <w:sz w:val="20"/>
      <w:szCs w:val="20"/>
      <w:u w:val="none"/>
    </w:rPr>
  </w:style>
  <w:style w:type="character" w:customStyle="1" w:styleId="19">
    <w:name w:val="font11"/>
    <w:basedOn w:val="14"/>
    <w:qFormat/>
    <w:uiPriority w:val="0"/>
    <w:rPr>
      <w:rFonts w:hint="eastAsia" w:ascii="宋体" w:hAnsi="宋体" w:eastAsia="宋体" w:cs="宋体"/>
      <w:b/>
      <w:bCs/>
      <w:color w:val="000000"/>
      <w:sz w:val="20"/>
      <w:szCs w:val="20"/>
      <w:u w:val="none"/>
    </w:rPr>
  </w:style>
  <w:style w:type="paragraph" w:customStyle="1" w:styleId="20">
    <w:name w:val="Revision"/>
    <w:hidden/>
    <w:semiHidden/>
    <w:qFormat/>
    <w:uiPriority w:val="99"/>
    <w:rPr>
      <w:rFonts w:ascii="Calibri" w:hAnsi="Calibri" w:eastAsia="宋体" w:cs="黑体"/>
      <w:kern w:val="2"/>
      <w:sz w:val="21"/>
      <w:szCs w:val="22"/>
      <w:lang w:val="en-US" w:eastAsia="zh-CN" w:bidi="ar-SA"/>
    </w:rPr>
  </w:style>
  <w:style w:type="character" w:customStyle="1" w:styleId="21">
    <w:name w:val="页脚 字符"/>
    <w:basedOn w:val="14"/>
    <w:link w:val="8"/>
    <w:qFormat/>
    <w:uiPriority w:val="99"/>
    <w:rPr>
      <w:rFonts w:ascii="Calibri" w:hAnsi="Calibri" w:cs="黑体"/>
      <w:kern w:val="2"/>
      <w:sz w:val="18"/>
      <w:szCs w:val="22"/>
    </w:rPr>
  </w:style>
  <w:style w:type="character" w:customStyle="1" w:styleId="22">
    <w:name w:val="批注文字 字符"/>
    <w:basedOn w:val="14"/>
    <w:link w:val="4"/>
    <w:qFormat/>
    <w:uiPriority w:val="0"/>
    <w:rPr>
      <w:rFonts w:ascii="Calibri" w:hAnsi="Calibri" w:cs="黑体"/>
      <w:kern w:val="2"/>
      <w:sz w:val="21"/>
      <w:szCs w:val="22"/>
    </w:rPr>
  </w:style>
  <w:style w:type="character" w:customStyle="1" w:styleId="23">
    <w:name w:val="批注主题 字符"/>
    <w:basedOn w:val="22"/>
    <w:link w:val="11"/>
    <w:qFormat/>
    <w:uiPriority w:val="0"/>
    <w:rPr>
      <w:rFonts w:ascii="Calibri" w:hAnsi="Calibri" w:cs="黑体"/>
      <w:b/>
      <w:bCs/>
      <w:kern w:val="2"/>
      <w:sz w:val="21"/>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12</Pages>
  <Words>8276</Words>
  <Characters>8751</Characters>
  <Lines>67</Lines>
  <Paragraphs>19</Paragraphs>
  <TotalTime>15</TotalTime>
  <ScaleCrop>false</ScaleCrop>
  <LinksUpToDate>false</LinksUpToDate>
  <CharactersWithSpaces>8757</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菱歌雪</cp:lastModifiedBy>
  <cp:lastPrinted>2022-01-19T07:24:00Z</cp:lastPrinted>
  <dcterms:modified xsi:type="dcterms:W3CDTF">2023-05-23T01:29:43Z</dcterms:modified>
  <dc:title>附件3：</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39E33B0434E143D2893190F714678EB5_13</vt:lpwstr>
  </property>
</Properties>
</file>