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ageBreakBefore w:val="0"/>
        <w:kinsoku/>
        <w:wordWrap/>
        <w:overflowPunct/>
        <w:topLinePunct w:val="0"/>
        <w:autoSpaceDE/>
        <w:autoSpaceDN/>
        <w:bidi w:val="0"/>
        <w:spacing w:line="560" w:lineRule="exact"/>
        <w:ind w:firstLine="643" w:firstLineChars="200"/>
        <w:jc w:val="center"/>
        <w:rPr>
          <w:rFonts w:hint="eastAsia" w:ascii="仿宋_GB2312" w:hAnsi="仿宋_GB2312" w:eastAsia="仿宋_GB2312" w:cs="仿宋_GB2312"/>
          <w:b/>
          <w:bCs/>
          <w:sz w:val="32"/>
          <w:szCs w:val="32"/>
        </w:rPr>
      </w:pPr>
    </w:p>
    <w:p>
      <w:pPr>
        <w:pStyle w:val="2"/>
        <w:rPr>
          <w:rFonts w:hint="eastAsia"/>
        </w:rPr>
      </w:pPr>
    </w:p>
    <w:p>
      <w:pPr>
        <w:pageBreakBefore w:val="0"/>
        <w:kinsoku/>
        <w:wordWrap/>
        <w:overflowPunct/>
        <w:topLinePunct w:val="0"/>
        <w:autoSpaceDE/>
        <w:autoSpaceDN/>
        <w:bidi w:val="0"/>
        <w:spacing w:line="560" w:lineRule="exact"/>
        <w:jc w:val="center"/>
        <w:rPr>
          <w:rFonts w:hint="eastAsia" w:asciiTheme="majorEastAsia" w:hAnsiTheme="majorEastAsia" w:eastAsiaTheme="majorEastAsia" w:cstheme="majorEastAsia"/>
          <w:b/>
          <w:bCs/>
          <w:sz w:val="44"/>
          <w:szCs w:val="44"/>
        </w:rPr>
      </w:pPr>
      <w:r>
        <w:rPr>
          <w:rFonts w:hint="eastAsia" w:asciiTheme="majorEastAsia" w:hAnsiTheme="majorEastAsia" w:eastAsiaTheme="majorEastAsia" w:cstheme="majorEastAsia"/>
          <w:b/>
          <w:bCs/>
          <w:sz w:val="44"/>
          <w:szCs w:val="44"/>
          <w:lang w:eastAsia="zh-CN"/>
        </w:rPr>
        <w:t>石家庄市交通运输</w:t>
      </w:r>
      <w:r>
        <w:rPr>
          <w:rFonts w:hint="eastAsia" w:asciiTheme="majorEastAsia" w:hAnsiTheme="majorEastAsia" w:eastAsiaTheme="majorEastAsia" w:cstheme="majorEastAsia"/>
          <w:b/>
          <w:bCs/>
          <w:sz w:val="44"/>
          <w:szCs w:val="44"/>
        </w:rPr>
        <w:t>部门</w:t>
      </w:r>
    </w:p>
    <w:p>
      <w:pPr>
        <w:pageBreakBefore w:val="0"/>
        <w:kinsoku/>
        <w:wordWrap/>
        <w:overflowPunct/>
        <w:topLinePunct w:val="0"/>
        <w:autoSpaceDE/>
        <w:autoSpaceDN/>
        <w:bidi w:val="0"/>
        <w:spacing w:line="560" w:lineRule="exact"/>
        <w:jc w:val="center"/>
        <w:rPr>
          <w:rFonts w:hint="eastAsia" w:ascii="仿宋_GB2312" w:hAnsi="仿宋_GB2312" w:eastAsia="仿宋_GB2312" w:cs="仿宋_GB2312"/>
          <w:b/>
          <w:bCs/>
          <w:sz w:val="32"/>
          <w:szCs w:val="32"/>
        </w:rPr>
      </w:pPr>
      <w:r>
        <w:rPr>
          <w:rFonts w:hint="eastAsia" w:asciiTheme="majorEastAsia" w:hAnsiTheme="majorEastAsia" w:eastAsiaTheme="majorEastAsia" w:cstheme="majorEastAsia"/>
          <w:b/>
          <w:bCs/>
          <w:sz w:val="44"/>
          <w:szCs w:val="44"/>
        </w:rPr>
        <w:t>2022年度整体支出绩效自评报告</w:t>
      </w:r>
    </w:p>
    <w:p>
      <w:pPr>
        <w:keepNext w:val="0"/>
        <w:keepLines w:val="0"/>
        <w:pageBreakBefore w:val="0"/>
        <w:widowControl w:val="0"/>
        <w:kinsoku/>
        <w:wordWrap/>
        <w:overflowPunct/>
        <w:topLinePunct w:val="0"/>
        <w:autoSpaceDE/>
        <w:autoSpaceDN/>
        <w:bidi w:val="0"/>
        <w:adjustRightInd/>
        <w:snapToGrid/>
        <w:spacing w:line="340" w:lineRule="exact"/>
        <w:ind w:firstLine="360" w:firstLineChars="200"/>
        <w:jc w:val="center"/>
        <w:textAlignment w:val="auto"/>
        <w:rPr>
          <w:rFonts w:hint="eastAsia" w:ascii="仿宋_GB2312" w:hAnsi="仿宋_GB2312" w:eastAsia="仿宋_GB2312" w:cs="仿宋_GB2312"/>
          <w:sz w:val="18"/>
          <w:szCs w:val="18"/>
        </w:rPr>
      </w:pPr>
    </w:p>
    <w:p>
      <w:pPr>
        <w:pageBreakBefore w:val="0"/>
        <w:kinsoku/>
        <w:wordWrap/>
        <w:overflowPunct/>
        <w:topLinePunct w:val="0"/>
        <w:autoSpaceDE/>
        <w:autoSpaceDN/>
        <w:bidi w:val="0"/>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贯彻落实市委市政府《关于全面落实预算绩效管理的实施意见》（石发﹝2019﹞8号）文件精神，遵循“科学性、规范性、客观性和公正性”的原则，对</w:t>
      </w:r>
      <w:r>
        <w:rPr>
          <w:rFonts w:hint="eastAsia" w:ascii="仿宋_GB2312" w:hAnsi="仿宋_GB2312" w:eastAsia="仿宋_GB2312" w:cs="仿宋_GB2312"/>
          <w:sz w:val="32"/>
          <w:szCs w:val="32"/>
          <w:lang w:eastAsia="zh-CN"/>
        </w:rPr>
        <w:t>石家庄市交通运输</w:t>
      </w:r>
      <w:r>
        <w:rPr>
          <w:rFonts w:hint="eastAsia" w:ascii="仿宋_GB2312" w:hAnsi="仿宋_GB2312" w:eastAsia="仿宋_GB2312" w:cs="仿宋_GB2312"/>
          <w:sz w:val="32"/>
          <w:szCs w:val="32"/>
        </w:rPr>
        <w:t>部门2022年整体支出情况实施了财政支出绩效自评价，形成本评价报告。</w:t>
      </w:r>
    </w:p>
    <w:p>
      <w:pPr>
        <w:pageBreakBefore w:val="0"/>
        <w:kinsoku/>
        <w:wordWrap/>
        <w:overflowPunct/>
        <w:topLinePunct w:val="0"/>
        <w:autoSpaceDE/>
        <w:autoSpaceDN/>
        <w:bidi w:val="0"/>
        <w:adjustRightInd w:val="0"/>
        <w:snapToGrid w:val="0"/>
        <w:spacing w:line="560" w:lineRule="exact"/>
        <w:ind w:firstLine="640"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sz w:val="32"/>
          <w:szCs w:val="32"/>
        </w:rPr>
        <w:t>一、部门基本情况</w:t>
      </w:r>
    </w:p>
    <w:p>
      <w:pPr>
        <w:pageBreakBefore w:val="0"/>
        <w:kinsoku/>
        <w:wordWrap/>
        <w:overflowPunct/>
        <w:topLinePunct w:val="0"/>
        <w:autoSpaceDE/>
        <w:autoSpaceDN/>
        <w:bidi w:val="0"/>
        <w:adjustRightInd w:val="0"/>
        <w:snapToGrid w:val="0"/>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（一）部门概况</w:t>
      </w:r>
    </w:p>
    <w:p>
      <w:pPr>
        <w:pStyle w:val="2"/>
        <w:pageBreakBefore w:val="0"/>
        <w:kinsoku/>
        <w:wordWrap/>
        <w:overflowPunct/>
        <w:topLinePunct w:val="0"/>
        <w:autoSpaceDE/>
        <w:autoSpaceDN/>
        <w:bidi w:val="0"/>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（1）石家庄市交通运输局</w:t>
      </w:r>
    </w:p>
    <w:p>
      <w:pPr>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单位职能：石家庄市交通运输局加强综合运输体系的规划协调职责，优化交通运输布局，促进各种运输方式的相互衔接，加快形成便捷、通畅、高效、安全的综合运输体系。加强统筹区域和城乡交通运输协调发展职责，优先发展公共交通，大力发展农村交通，加快推进区域和城乡交通运输一体化。健全和完善职能有机统一的交通运输</w:t>
      </w:r>
      <w:r>
        <w:rPr>
          <w:rFonts w:hint="eastAsia" w:ascii="仿宋_GB2312" w:hAnsi="仿宋_GB2312" w:eastAsia="仿宋_GB2312" w:cs="仿宋_GB2312"/>
          <w:sz w:val="32"/>
          <w:szCs w:val="32"/>
          <w:lang w:val="en-US" w:eastAsia="zh-CN"/>
        </w:rPr>
        <w:fldChar w:fldCharType="begin"/>
      </w:r>
      <w:r>
        <w:rPr>
          <w:rFonts w:hint="eastAsia" w:ascii="仿宋_GB2312" w:hAnsi="仿宋_GB2312" w:eastAsia="仿宋_GB2312" w:cs="仿宋_GB2312"/>
          <w:sz w:val="32"/>
          <w:szCs w:val="32"/>
          <w:lang w:val="en-US" w:eastAsia="zh-CN"/>
        </w:rPr>
        <w:instrText xml:space="preserve"> HYPERLINK "https://baike.so.com/doc/407214-431228.html" \t "https://baike.so.com/doc/_blank" </w:instrText>
      </w:r>
      <w:r>
        <w:rPr>
          <w:rFonts w:hint="eastAsia" w:ascii="仿宋_GB2312" w:hAnsi="仿宋_GB2312" w:eastAsia="仿宋_GB2312" w:cs="仿宋_GB2312"/>
          <w:sz w:val="32"/>
          <w:szCs w:val="32"/>
          <w:lang w:val="en-US" w:eastAsia="zh-CN"/>
        </w:rPr>
        <w:fldChar w:fldCharType="separate"/>
      </w:r>
      <w:r>
        <w:rPr>
          <w:rFonts w:hint="eastAsia" w:ascii="仿宋_GB2312" w:hAnsi="仿宋_GB2312" w:eastAsia="仿宋_GB2312" w:cs="仿宋_GB2312"/>
          <w:sz w:val="32"/>
          <w:szCs w:val="32"/>
          <w:lang w:val="en-US" w:eastAsia="zh-CN"/>
        </w:rPr>
        <w:t>大部门体制</w:t>
      </w:r>
      <w:r>
        <w:rPr>
          <w:rFonts w:hint="eastAsia" w:ascii="仿宋_GB2312" w:hAnsi="仿宋_GB2312" w:eastAsia="仿宋_GB2312" w:cs="仿宋_GB2312"/>
          <w:sz w:val="32"/>
          <w:szCs w:val="32"/>
          <w:lang w:val="en-US" w:eastAsia="zh-CN"/>
        </w:rPr>
        <w:fldChar w:fldCharType="end"/>
      </w:r>
      <w:r>
        <w:rPr>
          <w:rFonts w:hint="eastAsia" w:ascii="仿宋_GB2312" w:hAnsi="仿宋_GB2312" w:eastAsia="仿宋_GB2312" w:cs="仿宋_GB2312"/>
          <w:sz w:val="32"/>
          <w:szCs w:val="32"/>
          <w:lang w:val="en-US" w:eastAsia="zh-CN"/>
        </w:rPr>
        <w:t>，进一步优化组织结构，完善综合运输行政运行机制。</w:t>
      </w:r>
    </w:p>
    <w:p>
      <w:pPr>
        <w:pageBreakBefore w:val="0"/>
        <w:widowControl w:val="0"/>
        <w:kinsoku/>
        <w:wordWrap/>
        <w:overflowPunct/>
        <w:topLinePunct w:val="0"/>
        <w:autoSpaceDE/>
        <w:autoSpaceDN/>
        <w:bidi w:val="0"/>
        <w:spacing w:line="56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人员情况：截至2022年底在职67人，离退休80人，共147人。</w:t>
      </w:r>
    </w:p>
    <w:p>
      <w:pPr>
        <w:pageBreakBefore w:val="0"/>
        <w:widowControl w:val="0"/>
        <w:kinsoku/>
        <w:wordWrap/>
        <w:overflowPunct/>
        <w:topLinePunct w:val="0"/>
        <w:autoSpaceDE/>
        <w:autoSpaceDN/>
        <w:bidi w:val="0"/>
        <w:spacing w:line="56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资产情况：截至2022年底，资产总额为</w:t>
      </w:r>
      <w:r>
        <w:rPr>
          <w:rFonts w:hint="eastAsia" w:ascii="仿宋_GB2312" w:hAnsi="仿宋_GB2312" w:eastAsia="仿宋_GB2312" w:cs="仿宋_GB2312"/>
          <w:sz w:val="32"/>
          <w:szCs w:val="32"/>
          <w:highlight w:val="none"/>
          <w:lang w:val="en-US" w:eastAsia="zh-CN"/>
        </w:rPr>
        <w:t>1887430.02</w:t>
      </w:r>
      <w:r>
        <w:rPr>
          <w:rFonts w:hint="eastAsia" w:ascii="仿宋_GB2312" w:hAnsi="仿宋_GB2312" w:eastAsia="仿宋_GB2312" w:cs="仿宋_GB2312"/>
          <w:sz w:val="32"/>
          <w:szCs w:val="32"/>
          <w:lang w:val="en-US" w:eastAsia="zh-CN"/>
        </w:rPr>
        <w:t>万元。</w:t>
      </w:r>
    </w:p>
    <w:p>
      <w:pPr>
        <w:pageBreakBefore w:val="0"/>
        <w:kinsoku/>
        <w:wordWrap/>
        <w:overflowPunct/>
        <w:topLinePunct w:val="0"/>
        <w:autoSpaceDE/>
        <w:autoSpaceDN/>
        <w:bidi w:val="0"/>
        <w:adjustRightInd w:val="0"/>
        <w:snapToGrid w:val="0"/>
        <w:spacing w:line="560" w:lineRule="exact"/>
        <w:ind w:firstLine="640" w:firstLineChars="200"/>
        <w:rPr>
          <w:rFonts w:hint="eastAsia" w:ascii="仿宋_GB2312" w:hAnsi="仿宋_GB2312" w:eastAsia="仿宋_GB2312" w:cs="仿宋_GB2312"/>
          <w:b w:val="0"/>
          <w:bCs/>
          <w:kern w:val="2"/>
          <w:sz w:val="32"/>
          <w:szCs w:val="32"/>
          <w:lang w:val="en-US" w:eastAsia="zh-CN" w:bidi="ar-SA"/>
        </w:rPr>
      </w:pPr>
      <w:r>
        <w:rPr>
          <w:rFonts w:hint="eastAsia" w:ascii="仿宋_GB2312" w:hAnsi="仿宋_GB2312" w:eastAsia="仿宋_GB2312" w:cs="仿宋_GB2312"/>
          <w:b w:val="0"/>
          <w:bCs/>
          <w:kern w:val="2"/>
          <w:sz w:val="32"/>
          <w:szCs w:val="32"/>
          <w:lang w:val="en-US" w:eastAsia="zh-CN" w:bidi="ar-SA"/>
        </w:rPr>
        <w:t>（2）石家庄市公路服务保障中心</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石家庄市公路服务保障中心成立于1979年8月,是隶属于石家庄市交通运输局的副处级（副县级）事业单位，2020年8月经市编委批准，我单位更名为石家庄市公路服务保障中心（石机编[2020]38号）。</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单位职能：负责国省干线公路、桥梁的养护、绿化、施工、应急处理等；负责公路标志及信息等维护工作。</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人员情况：截</w:t>
      </w:r>
      <w:r>
        <w:rPr>
          <w:rFonts w:hint="eastAsia" w:ascii="仿宋_GB2312" w:hAnsi="仿宋_GB2312" w:eastAsia="仿宋_GB2312" w:cs="仿宋_GB2312"/>
          <w:sz w:val="32"/>
          <w:szCs w:val="32"/>
          <w:lang w:eastAsia="zh-CN"/>
        </w:rPr>
        <w:t>至</w:t>
      </w:r>
      <w:r>
        <w:rPr>
          <w:rFonts w:hint="eastAsia" w:ascii="仿宋_GB2312" w:hAnsi="仿宋_GB2312" w:eastAsia="仿宋_GB2312" w:cs="仿宋_GB2312"/>
          <w:sz w:val="32"/>
          <w:szCs w:val="32"/>
        </w:rPr>
        <w:t>2022年12月31日在职170人，离休0人，退休154人，共324人。</w:t>
      </w:r>
    </w:p>
    <w:p>
      <w:pPr>
        <w:pageBreakBefore w:val="0"/>
        <w:kinsoku/>
        <w:wordWrap/>
        <w:overflowPunct/>
        <w:topLinePunct w:val="0"/>
        <w:autoSpaceDE/>
        <w:autoSpaceDN/>
        <w:bidi w:val="0"/>
        <w:adjustRightInd w:val="0"/>
        <w:snapToGrid w:val="0"/>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sz w:val="32"/>
          <w:szCs w:val="32"/>
        </w:rPr>
        <w:t>资产情况：截</w:t>
      </w:r>
      <w:r>
        <w:rPr>
          <w:rFonts w:hint="eastAsia" w:ascii="仿宋_GB2312" w:hAnsi="仿宋_GB2312" w:eastAsia="仿宋_GB2312" w:cs="仿宋_GB2312"/>
          <w:sz w:val="32"/>
          <w:szCs w:val="32"/>
          <w:lang w:eastAsia="zh-CN"/>
        </w:rPr>
        <w:t>至</w:t>
      </w:r>
      <w:r>
        <w:rPr>
          <w:rFonts w:hint="eastAsia" w:ascii="仿宋_GB2312" w:hAnsi="仿宋_GB2312" w:eastAsia="仿宋_GB2312" w:cs="仿宋_GB2312"/>
          <w:sz w:val="32"/>
          <w:szCs w:val="32"/>
        </w:rPr>
        <w:t>2022年12月31日固定资产原值5052.194618万元。</w:t>
      </w:r>
    </w:p>
    <w:p>
      <w:pPr>
        <w:pStyle w:val="2"/>
        <w:keepNext/>
        <w:keepLines/>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（3）石家庄市公路建设发展中心</w:t>
      </w:r>
    </w:p>
    <w:p>
      <w:pPr>
        <w:pageBreakBefore w:val="0"/>
        <w:kinsoku/>
        <w:wordWrap/>
        <w:overflowPunct/>
        <w:topLinePunct w:val="0"/>
        <w:autoSpaceDE/>
        <w:autoSpaceDN/>
        <w:bidi w:val="0"/>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主要职能</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组织实施全市公路新建、改建工程项目建设等，负责为地方道路建设、养护等提供技术服务保障。</w:t>
      </w:r>
    </w:p>
    <w:p>
      <w:pPr>
        <w:pageBreakBefore w:val="0"/>
        <w:kinsoku/>
        <w:wordWrap/>
        <w:overflowPunct/>
        <w:topLinePunct w:val="0"/>
        <w:autoSpaceDE/>
        <w:autoSpaceDN/>
        <w:bidi w:val="0"/>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机构情况</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石家庄市公路建设发展中心于1995年11月经市编委批准成立，为副县级事业单位，隶属于石家庄市交通运输局。根据中共石家庄市委机构编制委员会《关于调整市交通运输局部分县级事业单位机构编制事项的通知》（石机编[2020]38号）文件精神，2020年将石家庄市公路工程管理处更名为石家庄市公路建设发展中心，规格仍为副县级。根据中共石家庄市委机构编制委员会办公室文件石机编办[2020]117号文件精神，单位内设办公室、组织人事科、财务科、工程科、计划科、地方道路科及技术与质量安全科共7个科室。</w:t>
      </w:r>
    </w:p>
    <w:p>
      <w:pPr>
        <w:pageBreakBefore w:val="0"/>
        <w:kinsoku/>
        <w:wordWrap/>
        <w:overflowPunct/>
        <w:topLinePunct w:val="0"/>
        <w:autoSpaceDE/>
        <w:autoSpaceDN/>
        <w:bidi w:val="0"/>
        <w:adjustRightInd w:val="0"/>
        <w:snapToGrid w:val="0"/>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sz w:val="32"/>
          <w:szCs w:val="32"/>
        </w:rPr>
        <w:t>人员情况</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年初共有在职职工54人，调入1人，退休减少2人，年末共有在职职工53人。</w:t>
      </w:r>
    </w:p>
    <w:p>
      <w:pPr>
        <w:pStyle w:val="2"/>
        <w:keepNext/>
        <w:keepLines/>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（4）石家庄市交通运输服务中心</w:t>
      </w:r>
    </w:p>
    <w:p>
      <w:pPr>
        <w:pageBreakBefore w:val="0"/>
        <w:kinsoku/>
        <w:wordWrap/>
        <w:overflowPunct/>
        <w:topLinePunct w:val="0"/>
        <w:autoSpaceDE/>
        <w:autoSpaceDN/>
        <w:bidi w:val="0"/>
        <w:adjustRightInd w:val="0"/>
        <w:snapToGrid w:val="0"/>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主要职能：负责为我市交通运输相关工作提供保障和服务。</w:t>
      </w:r>
    </w:p>
    <w:p>
      <w:pPr>
        <w:pageBreakBefore w:val="0"/>
        <w:kinsoku/>
        <w:wordWrap/>
        <w:overflowPunct/>
        <w:topLinePunct w:val="0"/>
        <w:autoSpaceDE/>
        <w:autoSpaceDN/>
        <w:bidi w:val="0"/>
        <w:adjustRightInd w:val="0"/>
        <w:snapToGrid w:val="0"/>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机构情况：石家庄市交通运输服务中心成立于2019年1月，内设6个机构：办公室、财务人事科、企业服务科、从业人员服务科（职业技能鉴定所）、车辆审验服务科、信息中心，是一个独立编制，独立核算机构。</w:t>
      </w:r>
    </w:p>
    <w:p>
      <w:pPr>
        <w:pageBreakBefore w:val="0"/>
        <w:kinsoku/>
        <w:wordWrap/>
        <w:overflowPunct/>
        <w:topLinePunct w:val="0"/>
        <w:autoSpaceDE/>
        <w:autoSpaceDN/>
        <w:bidi w:val="0"/>
        <w:adjustRightInd w:val="0"/>
        <w:snapToGrid w:val="0"/>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人员情况</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2021年期末人数138人，2022年末人数138人，其中：在职29人、退休109人。</w:t>
      </w:r>
    </w:p>
    <w:p>
      <w:pPr>
        <w:pageBreakBefore w:val="0"/>
        <w:kinsoku/>
        <w:wordWrap/>
        <w:overflowPunct/>
        <w:topLinePunct w:val="0"/>
        <w:autoSpaceDE/>
        <w:autoSpaceDN/>
        <w:bidi w:val="0"/>
        <w:adjustRightInd w:val="0"/>
        <w:snapToGrid w:val="0"/>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lang w:val="en-US" w:eastAsia="zh-CN"/>
        </w:rPr>
        <w:t>（5）石家庄市三环路管护中心</w:t>
      </w:r>
    </w:p>
    <w:p>
      <w:pPr>
        <w:pageBreakBefore w:val="0"/>
        <w:kinsoku/>
        <w:wordWrap/>
        <w:overflowPunct/>
        <w:topLinePunct w:val="0"/>
        <w:autoSpaceDE/>
        <w:autoSpaceDN/>
        <w:bidi w:val="0"/>
        <w:adjustRightInd w:val="0"/>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石家庄市三环路管护中心的主要职责是：负责石环公路工程的建设与管理维护，收费与还贷等相关工作。</w:t>
      </w:r>
    </w:p>
    <w:p>
      <w:pPr>
        <w:pStyle w:val="2"/>
        <w:keepNext/>
        <w:keepLines/>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（6）石家庄市交通运输综合行政执法支队</w:t>
      </w:r>
    </w:p>
    <w:p>
      <w:pPr>
        <w:pageBreakBefore w:val="0"/>
        <w:widowControl/>
        <w:kinsoku/>
        <w:wordWrap/>
        <w:overflowPunct/>
        <w:topLinePunct w:val="0"/>
        <w:autoSpaceDE/>
        <w:autoSpaceDN/>
        <w:bidi w:val="0"/>
        <w:spacing w:line="56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主要职能</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根据中共石家庄市委机构编制委员会《关于调整市交通运输综合行政执法支队机构编制的批复》(石机编〔2020〕15号要求，市交通运输综合行政执法支队，公益一类，规格为副县级，经费形式为财政性资金基本保障，核定事业编制127名，其中用于执法一线的编制不低于编制总数的85%。领导职数由1正3副。主要职责调整为：负责长安区、桥西区、新华区、裕华区、正定机场、高新区、综合保税区及市本级所管辖公路（含市管高速公路）、水域的交通运输综合行政执法工作；负责组织协调查处跨县（市、区）重大执法案件以及具有重要影响的复杂案件；可按照程序调用县（市、区）交通运输综合行政执法队伍人员力量。</w:t>
      </w:r>
    </w:p>
    <w:p>
      <w:pPr>
        <w:pageBreakBefore w:val="0"/>
        <w:kinsoku/>
        <w:wordWrap/>
        <w:overflowPunct/>
        <w:topLinePunct w:val="0"/>
        <w:autoSpaceDE/>
        <w:autoSpaceDN/>
        <w:bidi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机构情况</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核定内设（下设）机构17个，核定科级职数9正17副。其中，内设机构8个，即：办公室、人事科、财务科、党办（纪检监察）室、科技装备科、法制科、综合业务协调科、违章处理综合科，核定副科级职数8名；下设机构9个，即：长安执法大队、桥西执法大队、新华执法大队、裕华执法大队、高新区执法大队、机场执法大队、环城执法大队、高速公路执法大队、机动执法大队，核定科级职数9正9副。</w:t>
      </w:r>
    </w:p>
    <w:p>
      <w:pPr>
        <w:pageBreakBefore w:val="0"/>
        <w:kinsoku/>
        <w:wordWrap/>
        <w:overflowPunct/>
        <w:topLinePunct w:val="0"/>
        <w:autoSpaceDE/>
        <w:autoSpaceDN/>
        <w:bidi w:val="0"/>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人员情况</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市交通运输综合行政执法支队现实有的251名正式干部职工中，55岁以上38人，50岁至55岁87人，45岁至50岁70人，40岁至45岁28人，40岁以下28人。45岁以上195人，占总人数78%。 2023年度预计15人退休。劳动聘用劳务派遣辅助管理人员现为170名，40岁以下153人,40岁以上17人。</w:t>
      </w:r>
    </w:p>
    <w:p>
      <w:pPr>
        <w:pageBreakBefore w:val="0"/>
        <w:kinsoku/>
        <w:wordWrap/>
        <w:overflowPunct/>
        <w:topLinePunct w:val="0"/>
        <w:autoSpaceDE/>
        <w:autoSpaceDN/>
        <w:bidi w:val="0"/>
        <w:adjustRightInd w:val="0"/>
        <w:snapToGrid w:val="0"/>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sz w:val="32"/>
          <w:szCs w:val="32"/>
        </w:rPr>
        <w:t>资产情况</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截</w:t>
      </w:r>
      <w:r>
        <w:rPr>
          <w:rFonts w:hint="eastAsia" w:ascii="仿宋_GB2312" w:hAnsi="仿宋_GB2312" w:eastAsia="仿宋_GB2312" w:cs="仿宋_GB2312"/>
          <w:sz w:val="32"/>
          <w:szCs w:val="32"/>
          <w:lang w:eastAsia="zh-CN"/>
        </w:rPr>
        <w:t>止</w:t>
      </w:r>
      <w:bookmarkStart w:id="0" w:name="_GoBack"/>
      <w:bookmarkEnd w:id="0"/>
      <w:r>
        <w:rPr>
          <w:rFonts w:hint="eastAsia" w:ascii="仿宋_GB2312" w:hAnsi="仿宋_GB2312" w:eastAsia="仿宋_GB2312" w:cs="仿宋_GB2312"/>
          <w:sz w:val="32"/>
          <w:szCs w:val="32"/>
        </w:rPr>
        <w:t>到2022年12月31日固定资产期末余额13997341.66元，其中：通用设备6298020.66元，专用设备211979元，交通运输设备6549758元，家具用具937584元。</w:t>
      </w:r>
    </w:p>
    <w:p>
      <w:pPr>
        <w:pageBreakBefore w:val="0"/>
        <w:kinsoku/>
        <w:wordWrap/>
        <w:overflowPunct/>
        <w:topLinePunct w:val="0"/>
        <w:autoSpaceDE/>
        <w:autoSpaceDN/>
        <w:bidi w:val="0"/>
        <w:adjustRightInd w:val="0"/>
        <w:snapToGrid w:val="0"/>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 w:val="0"/>
          <w:bCs/>
          <w:sz w:val="32"/>
          <w:szCs w:val="32"/>
          <w:lang w:val="en-US" w:eastAsia="zh-CN"/>
        </w:rPr>
        <w:t>(7)石家庄市公路工程质量安全站</w:t>
      </w:r>
    </w:p>
    <w:p>
      <w:pPr>
        <w:pageBreakBefore w:val="0"/>
        <w:widowControl/>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石家庄市公路工程质量安全站（简称“质安站”）隶属于石家庄市交通运输管理局，为财政全额拨款事业单位，主要职责是监督检查从业单位质量保证体系及运转情况；监督检查勘察、设计质量情况，工程质量情况，使用的材料、设备质量情况；监督检查从业单位在工作实施过程中的质量行为等。</w:t>
      </w:r>
    </w:p>
    <w:p>
      <w:pPr>
        <w:pageBreakBefore w:val="0"/>
        <w:widowControl/>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主要职能：是监督检查从业单位质量保证体系及运转情况；监督检查勘察、设计质量情况，工程质量情况，使用的材料、设备质量情况；监督检查从业单位在工作实施过程中的质量行为等。</w:t>
      </w:r>
    </w:p>
    <w:p>
      <w:pPr>
        <w:pageBreakBefore w:val="0"/>
        <w:widowControl/>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机构情况：单位内设办公室、财务科、监督科、资质科等9个科室。</w:t>
      </w:r>
    </w:p>
    <w:p>
      <w:pPr>
        <w:pageBreakBefore w:val="0"/>
        <w:widowControl/>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人员情况：截</w:t>
      </w:r>
      <w:r>
        <w:rPr>
          <w:rFonts w:hint="eastAsia" w:ascii="仿宋_GB2312" w:hAnsi="仿宋_GB2312" w:eastAsia="仿宋_GB2312" w:cs="仿宋_GB2312"/>
          <w:sz w:val="32"/>
          <w:szCs w:val="32"/>
          <w:lang w:eastAsia="zh-CN"/>
        </w:rPr>
        <w:t>至</w:t>
      </w:r>
      <w:r>
        <w:rPr>
          <w:rFonts w:hint="eastAsia" w:ascii="仿宋_GB2312" w:hAnsi="仿宋_GB2312" w:eastAsia="仿宋_GB2312" w:cs="仿宋_GB2312"/>
          <w:sz w:val="32"/>
          <w:szCs w:val="32"/>
        </w:rPr>
        <w:t>2022年底事业编制30人，在职职工42人，离退休17人。</w:t>
      </w:r>
    </w:p>
    <w:p>
      <w:pPr>
        <w:pageBreakBefore w:val="0"/>
        <w:widowControl/>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资产情况：</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022年初初资产数419.787836万元，其中固定资产原值767.862679万元，年初固定资产累计折旧604.410415万元，年初固定资产净值163.452264万元。对外投资50万元。年初财政基本支出结转200.88万元；负债年初数5.455572万元。净资产年初数414.332264万元，其中：非流动资产基金213.452264万元，基本支出结转200.88万元。</w:t>
      </w:r>
    </w:p>
    <w:p>
      <w:pPr>
        <w:pageBreakBefore w:val="0"/>
        <w:kinsoku/>
        <w:wordWrap/>
        <w:overflowPunct/>
        <w:topLinePunct w:val="0"/>
        <w:autoSpaceDE/>
        <w:autoSpaceDN/>
        <w:bidi w:val="0"/>
        <w:adjustRightInd w:val="0"/>
        <w:snapToGrid w:val="0"/>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sz w:val="32"/>
          <w:szCs w:val="32"/>
        </w:rPr>
        <w:t>2022年末资产数126.779259万元；其中固定资产原值767.862679万元，固定资产累计折旧646.939019万元，固定资产净值120.92366万元。负债年末数5.855599万元。净资产年末数120.92366万元，其中非流动资产基金120.92366万元。</w:t>
      </w:r>
    </w:p>
    <w:p>
      <w:pPr>
        <w:pageBreakBefore w:val="0"/>
        <w:kinsoku/>
        <w:wordWrap/>
        <w:overflowPunct/>
        <w:topLinePunct w:val="0"/>
        <w:autoSpaceDE/>
        <w:autoSpaceDN/>
        <w:bidi w:val="0"/>
        <w:adjustRightInd w:val="0"/>
        <w:snapToGrid w:val="0"/>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（二）部门收支预决算情况</w:t>
      </w:r>
    </w:p>
    <w:p>
      <w:pPr>
        <w:pStyle w:val="2"/>
        <w:pageBreakBefore w:val="0"/>
        <w:kinsoku/>
        <w:wordWrap/>
        <w:overflowPunct/>
        <w:topLinePunct w:val="0"/>
        <w:autoSpaceDE/>
        <w:autoSpaceDN/>
        <w:bidi w:val="0"/>
        <w:spacing w:before="0" w:line="560" w:lineRule="exact"/>
        <w:ind w:firstLine="640" w:firstLineChars="200"/>
        <w:textAlignment w:val="auto"/>
        <w:rPr>
          <w:rFonts w:hint="eastAsia" w:ascii="仿宋_GB2312" w:hAnsi="仿宋_GB2312" w:eastAsia="仿宋_GB2312" w:cs="仿宋_GB2312"/>
          <w:b w:val="0"/>
          <w:kern w:val="2"/>
          <w:sz w:val="32"/>
          <w:szCs w:val="32"/>
          <w:lang w:val="en-US" w:eastAsia="zh-CN" w:bidi="ar-SA"/>
        </w:rPr>
      </w:pPr>
      <w:r>
        <w:rPr>
          <w:rFonts w:hint="eastAsia" w:ascii="仿宋_GB2312" w:hAnsi="仿宋_GB2312" w:eastAsia="仿宋_GB2312" w:cs="仿宋_GB2312"/>
          <w:b w:val="0"/>
          <w:kern w:val="2"/>
          <w:sz w:val="32"/>
          <w:szCs w:val="32"/>
          <w:lang w:val="en-US" w:eastAsia="zh-CN" w:bidi="ar-SA"/>
        </w:rPr>
        <w:t>（1）石家庄市交通运输局</w:t>
      </w:r>
    </w:p>
    <w:p>
      <w:pPr>
        <w:pStyle w:val="2"/>
        <w:pageBreakBefore w:val="0"/>
        <w:kinsoku/>
        <w:wordWrap/>
        <w:overflowPunct/>
        <w:topLinePunct w:val="0"/>
        <w:autoSpaceDE/>
        <w:autoSpaceDN/>
        <w:bidi w:val="0"/>
        <w:spacing w:before="0" w:line="560" w:lineRule="exact"/>
        <w:ind w:firstLine="640" w:firstLineChars="200"/>
        <w:textAlignment w:val="auto"/>
        <w:rPr>
          <w:rFonts w:hint="eastAsia" w:ascii="仿宋_GB2312" w:hAnsi="仿宋_GB2312" w:eastAsia="仿宋_GB2312" w:cs="仿宋_GB2312"/>
          <w:b w:val="0"/>
          <w:kern w:val="2"/>
          <w:sz w:val="32"/>
          <w:szCs w:val="32"/>
          <w:highlight w:val="none"/>
          <w:lang w:val="en-US" w:eastAsia="zh-CN" w:bidi="ar-SA"/>
        </w:rPr>
      </w:pPr>
      <w:r>
        <w:rPr>
          <w:rFonts w:hint="eastAsia" w:ascii="仿宋_GB2312" w:hAnsi="仿宋_GB2312" w:eastAsia="仿宋_GB2312" w:cs="仿宋_GB2312"/>
          <w:b w:val="0"/>
          <w:kern w:val="2"/>
          <w:sz w:val="32"/>
          <w:szCs w:val="32"/>
          <w:highlight w:val="none"/>
          <w:lang w:val="en-US" w:eastAsia="zh-CN" w:bidi="ar-SA"/>
        </w:rPr>
        <w:t>石家庄市交通运输局预算批复数827476.07万元，实际资金到位827476.07万元，2021年度资金整体支出805668.03万元。</w:t>
      </w:r>
    </w:p>
    <w:p>
      <w:pPr>
        <w:pStyle w:val="2"/>
        <w:keepNext/>
        <w:keepLines/>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（2）石家庄市公路服务保障中心</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2022年度预算批复数38460.83万元，实际收到财政拨款收入51401.772797万元，其中一般公共预算财政拨款收入47476.912797万元，政府性基金预算财政拨款收入3924.86万元。</w:t>
      </w:r>
    </w:p>
    <w:p>
      <w:pPr>
        <w:pageBreakBefore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2022年度支出46680.19847万元，其中基本支出5361.033412万元，项目支出41319.165058万元</w:t>
      </w:r>
      <w:r>
        <w:rPr>
          <w:rFonts w:hint="eastAsia" w:ascii="仿宋_GB2312" w:hAnsi="仿宋_GB2312" w:eastAsia="仿宋_GB2312" w:cs="仿宋_GB2312"/>
          <w:bCs/>
          <w:sz w:val="32"/>
          <w:szCs w:val="32"/>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（3）石家庄市公路建设发展中心</w:t>
      </w:r>
    </w:p>
    <w:p>
      <w:pPr>
        <w:pageBreakBefore w:val="0"/>
        <w:kinsoku/>
        <w:wordWrap/>
        <w:overflowPunct/>
        <w:topLinePunct w:val="0"/>
        <w:autoSpaceDE/>
        <w:autoSpaceDN/>
        <w:bidi w:val="0"/>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年初批复预算数508787400元。其中人员经费10456800元，日常公用经费822400元，项目支出497508200元。2022年调整预算数为553172012.90元。</w:t>
      </w:r>
    </w:p>
    <w:p>
      <w:pPr>
        <w:pageBreakBefore w:val="0"/>
        <w:kinsoku/>
        <w:wordWrap/>
        <w:overflowPunct/>
        <w:topLinePunct w:val="0"/>
        <w:autoSpaceDE/>
        <w:autoSpaceDN/>
        <w:bidi w:val="0"/>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2022年全年总支出553172012.90元，其中年初结转和结余资金25442086元。</w:t>
      </w:r>
    </w:p>
    <w:p>
      <w:pPr>
        <w:pageBreakBefore w:val="0"/>
        <w:kinsoku/>
        <w:wordWrap/>
        <w:overflowPunct/>
        <w:topLinePunct w:val="0"/>
        <w:autoSpaceDE/>
        <w:autoSpaceDN/>
        <w:bidi w:val="0"/>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2022年底结转人员经费387814元，结转项目支出60870931.40元。</w:t>
      </w:r>
    </w:p>
    <w:p>
      <w:pPr>
        <w:pStyle w:val="2"/>
        <w:pageBreakBefore w:val="0"/>
        <w:numPr>
          <w:ilvl w:val="0"/>
          <w:numId w:val="0"/>
        </w:numPr>
        <w:kinsoku/>
        <w:wordWrap/>
        <w:overflowPunct/>
        <w:topLinePunct w:val="0"/>
        <w:autoSpaceDE/>
        <w:autoSpaceDN/>
        <w:bidi w:val="0"/>
        <w:spacing w:before="0" w:line="560" w:lineRule="exact"/>
        <w:ind w:firstLine="640" w:firstLineChars="200"/>
        <w:textAlignment w:val="auto"/>
        <w:rPr>
          <w:rFonts w:hint="eastAsia" w:ascii="仿宋_GB2312" w:hAnsi="仿宋_GB2312" w:eastAsia="仿宋_GB2312" w:cs="仿宋_GB2312"/>
          <w:b w:val="0"/>
          <w:kern w:val="2"/>
          <w:sz w:val="32"/>
          <w:szCs w:val="32"/>
          <w:lang w:val="en-US" w:eastAsia="zh-CN" w:bidi="ar-SA"/>
        </w:rPr>
      </w:pPr>
      <w:r>
        <w:rPr>
          <w:rFonts w:hint="eastAsia" w:ascii="仿宋_GB2312" w:hAnsi="仿宋_GB2312" w:eastAsia="仿宋_GB2312" w:cs="仿宋_GB2312"/>
          <w:b w:val="0"/>
          <w:kern w:val="2"/>
          <w:sz w:val="32"/>
          <w:szCs w:val="32"/>
          <w:lang w:val="en-US" w:eastAsia="zh-CN" w:bidi="ar-SA"/>
        </w:rPr>
        <w:t>（4）石家庄市交通运输服务中心</w:t>
      </w:r>
    </w:p>
    <w:p>
      <w:pPr>
        <w:keepNext w:val="0"/>
        <w:keepLines w:val="0"/>
        <w:pageBreakBefore w:val="0"/>
        <w:widowControl w:val="0"/>
        <w:kinsoku/>
        <w:wordWrap/>
        <w:overflowPunct/>
        <w:topLinePunct w:val="0"/>
        <w:autoSpaceDE/>
        <w:autoSpaceDN/>
        <w:bidi w:val="0"/>
        <w:adjustRightInd/>
        <w:snapToGrid w:val="0"/>
        <w:spacing w:line="560" w:lineRule="exact"/>
        <w:ind w:left="0" w:leftChars="0" w:firstLine="640" w:firstLineChars="200"/>
        <w:textAlignment w:val="auto"/>
        <w:rPr>
          <w:rFonts w:hint="eastAsia" w:ascii="仿宋_GB2312" w:hAnsi="仿宋_GB2312" w:eastAsia="仿宋_GB2312" w:cs="仿宋_GB2312"/>
          <w:sz w:val="32"/>
          <w:szCs w:val="32"/>
          <w:lang w:val="en-US"/>
        </w:rPr>
      </w:pPr>
      <w:r>
        <w:rPr>
          <w:rFonts w:hint="eastAsia" w:ascii="仿宋_GB2312" w:hAnsi="仿宋_GB2312" w:eastAsia="仿宋_GB2312" w:cs="仿宋_GB2312"/>
          <w:sz w:val="32"/>
          <w:szCs w:val="32"/>
        </w:rPr>
        <w:t>反映本单位当年全部收入。202</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年初</w:t>
      </w:r>
      <w:r>
        <w:rPr>
          <w:rFonts w:hint="eastAsia" w:ascii="仿宋_GB2312" w:hAnsi="仿宋_GB2312" w:eastAsia="仿宋_GB2312" w:cs="仿宋_GB2312"/>
          <w:sz w:val="32"/>
          <w:szCs w:val="32"/>
        </w:rPr>
        <w:t>预算收入1</w:t>
      </w:r>
      <w:r>
        <w:rPr>
          <w:rFonts w:hint="eastAsia" w:ascii="仿宋_GB2312" w:hAnsi="仿宋_GB2312" w:eastAsia="仿宋_GB2312" w:cs="仿宋_GB2312"/>
          <w:sz w:val="32"/>
          <w:szCs w:val="32"/>
          <w:lang w:val="en-US" w:eastAsia="zh-CN"/>
        </w:rPr>
        <w:t>413.94</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val="en-US" w:eastAsia="zh-CN"/>
        </w:rPr>
        <w:t>调整预算收入为2113.985253万元(含期初数），决算数为2092.752192万元（含期初数）。</w:t>
      </w:r>
    </w:p>
    <w:p>
      <w:pPr>
        <w:pageBreakBefore w:val="0"/>
        <w:kinsoku/>
        <w:wordWrap/>
        <w:overflowPunct/>
        <w:topLinePunct w:val="0"/>
        <w:autoSpaceDE/>
        <w:autoSpaceDN/>
        <w:bidi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keepNext w:val="0"/>
        <w:keepLines w:val="0"/>
        <w:pageBreakBefore w:val="0"/>
        <w:widowControl w:val="0"/>
        <w:kinsoku/>
        <w:wordWrap/>
        <w:overflowPunct/>
        <w:topLinePunct w:val="0"/>
        <w:autoSpaceDE/>
        <w:autoSpaceDN/>
        <w:bidi w:val="0"/>
        <w:adjustRightInd/>
        <w:snapToGrid w:val="0"/>
        <w:spacing w:line="560" w:lineRule="exact"/>
        <w:ind w:left="0"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收支预算总表支出栏、基本支出表、项目支出表按经济分类和支出功能分类科目编制，反映石家庄市交通运输服务中心年度单位预算中支出预算的总体情况。202</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年单位支出为</w:t>
      </w:r>
      <w:r>
        <w:rPr>
          <w:rFonts w:hint="eastAsia" w:ascii="仿宋_GB2312" w:hAnsi="仿宋_GB2312" w:eastAsia="仿宋_GB2312" w:cs="仿宋_GB2312"/>
          <w:sz w:val="32"/>
          <w:szCs w:val="32"/>
          <w:lang w:val="en-US" w:eastAsia="zh-CN"/>
        </w:rPr>
        <w:t>2092.752192万元（含期初数）</w:t>
      </w:r>
      <w:r>
        <w:rPr>
          <w:rFonts w:hint="eastAsia" w:ascii="仿宋_GB2312" w:hAnsi="仿宋_GB2312" w:eastAsia="仿宋_GB2312" w:cs="仿宋_GB2312"/>
          <w:sz w:val="32"/>
          <w:szCs w:val="32"/>
        </w:rPr>
        <w:t>，其中基本支出</w:t>
      </w:r>
      <w:r>
        <w:rPr>
          <w:rFonts w:hint="eastAsia" w:ascii="仿宋_GB2312" w:hAnsi="仿宋_GB2312" w:eastAsia="仿宋_GB2312" w:cs="仿宋_GB2312"/>
          <w:sz w:val="32"/>
          <w:szCs w:val="32"/>
          <w:lang w:val="en-US" w:eastAsia="zh-CN"/>
        </w:rPr>
        <w:t>1774.912148</w:t>
      </w:r>
      <w:r>
        <w:rPr>
          <w:rFonts w:hint="eastAsia" w:ascii="仿宋_GB2312" w:hAnsi="仿宋_GB2312" w:eastAsia="仿宋_GB2312" w:cs="仿宋_GB2312"/>
          <w:sz w:val="32"/>
          <w:szCs w:val="32"/>
        </w:rPr>
        <w:t>万元，包括人员经费</w:t>
      </w:r>
      <w:r>
        <w:rPr>
          <w:rFonts w:hint="eastAsia" w:ascii="仿宋_GB2312" w:hAnsi="仿宋_GB2312" w:eastAsia="仿宋_GB2312" w:cs="仿宋_GB2312"/>
          <w:sz w:val="32"/>
          <w:szCs w:val="32"/>
          <w:lang w:val="en-US" w:eastAsia="zh-CN"/>
        </w:rPr>
        <w:t>1664.562053</w:t>
      </w:r>
      <w:r>
        <w:rPr>
          <w:rFonts w:hint="eastAsia" w:ascii="仿宋_GB2312" w:hAnsi="仿宋_GB2312" w:eastAsia="仿宋_GB2312" w:cs="仿宋_GB2312"/>
          <w:sz w:val="32"/>
          <w:szCs w:val="32"/>
        </w:rPr>
        <w:t>万元和日常公用经费</w:t>
      </w:r>
      <w:r>
        <w:rPr>
          <w:rFonts w:hint="eastAsia" w:ascii="仿宋_GB2312" w:hAnsi="仿宋_GB2312" w:eastAsia="仿宋_GB2312" w:cs="仿宋_GB2312"/>
          <w:sz w:val="32"/>
          <w:szCs w:val="32"/>
          <w:lang w:val="en-US" w:eastAsia="zh-CN"/>
        </w:rPr>
        <w:t>110.350095</w:t>
      </w:r>
      <w:r>
        <w:rPr>
          <w:rFonts w:hint="eastAsia" w:ascii="仿宋_GB2312" w:hAnsi="仿宋_GB2312" w:eastAsia="仿宋_GB2312" w:cs="仿宋_GB2312"/>
          <w:sz w:val="32"/>
          <w:szCs w:val="32"/>
        </w:rPr>
        <w:t>万元；项目支出</w:t>
      </w:r>
      <w:r>
        <w:rPr>
          <w:rFonts w:hint="eastAsia" w:ascii="仿宋_GB2312" w:hAnsi="仿宋_GB2312" w:eastAsia="仿宋_GB2312" w:cs="仿宋_GB2312"/>
          <w:sz w:val="32"/>
          <w:szCs w:val="32"/>
          <w:lang w:val="en-US" w:eastAsia="zh-CN"/>
        </w:rPr>
        <w:t>317.840044</w:t>
      </w:r>
      <w:r>
        <w:rPr>
          <w:rFonts w:hint="eastAsia" w:ascii="仿宋_GB2312" w:hAnsi="仿宋_GB2312" w:eastAsia="仿宋_GB2312" w:cs="仿宋_GB2312"/>
          <w:sz w:val="32"/>
          <w:szCs w:val="32"/>
        </w:rPr>
        <w:t>万元，主要为</w:t>
      </w:r>
      <w:r>
        <w:rPr>
          <w:rFonts w:hint="eastAsia" w:ascii="仿宋_GB2312" w:hAnsi="仿宋_GB2312" w:eastAsia="仿宋_GB2312" w:cs="仿宋_GB2312"/>
          <w:sz w:val="32"/>
          <w:szCs w:val="32"/>
          <w:lang w:val="en-US" w:eastAsia="zh-CN"/>
        </w:rPr>
        <w:t>网约车监管平台建设资金质保金</w:t>
      </w:r>
      <w:r>
        <w:rPr>
          <w:rFonts w:hint="eastAsia" w:ascii="仿宋_GB2312" w:hAnsi="仿宋_GB2312" w:eastAsia="仿宋_GB2312" w:cs="仿宋_GB2312"/>
          <w:sz w:val="32"/>
          <w:szCs w:val="32"/>
        </w:rPr>
        <w:t>支出</w:t>
      </w:r>
      <w:r>
        <w:rPr>
          <w:rFonts w:hint="eastAsia" w:ascii="仿宋_GB2312" w:hAnsi="仿宋_GB2312" w:eastAsia="仿宋_GB2312" w:cs="仿宋_GB2312"/>
          <w:sz w:val="32"/>
          <w:szCs w:val="32"/>
          <w:lang w:val="en-US" w:eastAsia="zh-CN"/>
        </w:rPr>
        <w:t>28.89</w:t>
      </w:r>
      <w:r>
        <w:rPr>
          <w:rFonts w:hint="eastAsia" w:ascii="仿宋_GB2312" w:hAnsi="仿宋_GB2312" w:eastAsia="仿宋_GB2312" w:cs="仿宋_GB2312"/>
          <w:sz w:val="32"/>
          <w:szCs w:val="32"/>
        </w:rPr>
        <w:t>万元，党组织活动经费支出2.75万元，业务咨询委托费（律师费）支出5万元，劳务派遣费支出1</w:t>
      </w:r>
      <w:r>
        <w:rPr>
          <w:rFonts w:hint="eastAsia" w:ascii="仿宋_GB2312" w:hAnsi="仿宋_GB2312" w:eastAsia="仿宋_GB2312" w:cs="仿宋_GB2312"/>
          <w:sz w:val="32"/>
          <w:szCs w:val="32"/>
          <w:lang w:val="en-US" w:eastAsia="zh-CN"/>
        </w:rPr>
        <w:t>28.243332</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val="en-US" w:eastAsia="zh-CN"/>
        </w:rPr>
        <w:t>公务用车购置12</w:t>
      </w:r>
      <w:r>
        <w:rPr>
          <w:rFonts w:hint="eastAsia" w:ascii="仿宋_GB2312" w:hAnsi="仿宋_GB2312" w:eastAsia="仿宋_GB2312" w:cs="仿宋_GB2312"/>
          <w:sz w:val="32"/>
          <w:szCs w:val="32"/>
        </w:rPr>
        <w:t>万元，公务用车租赁费支出</w:t>
      </w:r>
      <w:r>
        <w:rPr>
          <w:rFonts w:hint="eastAsia" w:ascii="仿宋_GB2312" w:hAnsi="仿宋_GB2312" w:eastAsia="仿宋_GB2312" w:cs="仿宋_GB2312"/>
          <w:sz w:val="32"/>
          <w:szCs w:val="32"/>
          <w:lang w:val="en-US" w:eastAsia="zh-CN"/>
        </w:rPr>
        <w:t>12.337</w:t>
      </w:r>
      <w:r>
        <w:rPr>
          <w:rFonts w:hint="eastAsia" w:ascii="仿宋_GB2312" w:hAnsi="仿宋_GB2312" w:eastAsia="仿宋_GB2312" w:cs="仿宋_GB2312"/>
          <w:sz w:val="32"/>
          <w:szCs w:val="32"/>
        </w:rPr>
        <w:t>万元，业务咨询委托费（保安保洁物业服务费）支出5</w:t>
      </w:r>
      <w:r>
        <w:rPr>
          <w:rFonts w:hint="eastAsia" w:ascii="仿宋_GB2312" w:hAnsi="仿宋_GB2312" w:eastAsia="仿宋_GB2312" w:cs="仿宋_GB2312"/>
          <w:sz w:val="32"/>
          <w:szCs w:val="32"/>
          <w:lang w:val="en-US" w:eastAsia="zh-CN"/>
        </w:rPr>
        <w:t>5.5</w:t>
      </w:r>
      <w:r>
        <w:rPr>
          <w:rFonts w:hint="eastAsia" w:ascii="仿宋_GB2312" w:hAnsi="仿宋_GB2312" w:eastAsia="仿宋_GB2312" w:cs="仿宋_GB2312"/>
          <w:sz w:val="32"/>
          <w:szCs w:val="32"/>
        </w:rPr>
        <w:t>万元，业务咨询委托费（统计费）支出4.5万元，专用设备维修费支出5</w:t>
      </w:r>
      <w:r>
        <w:rPr>
          <w:rFonts w:hint="eastAsia" w:ascii="仿宋_GB2312" w:hAnsi="仿宋_GB2312" w:eastAsia="仿宋_GB2312" w:cs="仿宋_GB2312"/>
          <w:sz w:val="32"/>
          <w:szCs w:val="32"/>
          <w:lang w:val="en-US" w:eastAsia="zh-CN"/>
        </w:rPr>
        <w:t>4.999712</w:t>
      </w:r>
      <w:r>
        <w:rPr>
          <w:rFonts w:hint="eastAsia" w:ascii="仿宋_GB2312" w:hAnsi="仿宋_GB2312" w:eastAsia="仿宋_GB2312" w:cs="仿宋_GB2312"/>
          <w:sz w:val="32"/>
          <w:szCs w:val="32"/>
        </w:rPr>
        <w:t>万元，电梯电费支出3.6万元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12328交通服务监督电话经费10.02万元</w:t>
      </w:r>
      <w:r>
        <w:rPr>
          <w:rFonts w:hint="eastAsia" w:ascii="仿宋_GB2312" w:hAnsi="仿宋_GB2312" w:eastAsia="仿宋_GB2312" w:cs="仿宋_GB2312"/>
          <w:sz w:val="32"/>
          <w:szCs w:val="32"/>
        </w:rPr>
        <w:t>。</w:t>
      </w:r>
    </w:p>
    <w:p>
      <w:pPr>
        <w:pageBreakBefore w:val="0"/>
        <w:kinsoku/>
        <w:wordWrap/>
        <w:overflowPunct/>
        <w:topLinePunct w:val="0"/>
        <w:autoSpaceDE/>
        <w:autoSpaceDN/>
        <w:bidi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ageBreakBefore w:val="0"/>
        <w:kinsoku/>
        <w:wordWrap/>
        <w:overflowPunct/>
        <w:topLinePunct w:val="0"/>
        <w:autoSpaceDE/>
        <w:autoSpaceDN/>
        <w:bidi w:val="0"/>
        <w:snapToGrid w:val="0"/>
        <w:spacing w:line="560" w:lineRule="exact"/>
        <w:ind w:firstLine="640" w:firstLineChars="200"/>
        <w:textAlignment w:val="auto"/>
        <w:rPr>
          <w:rFonts w:hint="eastAsia" w:ascii="仿宋_GB2312" w:hAnsi="仿宋_GB2312" w:eastAsia="仿宋_GB2312" w:cs="仿宋_GB2312"/>
          <w:b w:val="0"/>
          <w:kern w:val="2"/>
          <w:sz w:val="32"/>
          <w:szCs w:val="32"/>
          <w:lang w:val="en-US" w:eastAsia="zh-CN" w:bidi="ar-SA"/>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年单位预算收支安排16</w:t>
      </w:r>
      <w:r>
        <w:rPr>
          <w:rFonts w:hint="eastAsia" w:ascii="仿宋_GB2312" w:hAnsi="仿宋_GB2312" w:eastAsia="仿宋_GB2312" w:cs="仿宋_GB2312"/>
          <w:sz w:val="32"/>
          <w:szCs w:val="32"/>
          <w:lang w:val="en-US" w:eastAsia="zh-CN"/>
        </w:rPr>
        <w:t>44.185253</w:t>
      </w:r>
      <w:r>
        <w:rPr>
          <w:rFonts w:hint="eastAsia" w:ascii="仿宋_GB2312" w:hAnsi="仿宋_GB2312" w:eastAsia="仿宋_GB2312" w:cs="仿宋_GB2312"/>
          <w:sz w:val="32"/>
          <w:szCs w:val="32"/>
        </w:rPr>
        <w:t>万元，较202</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年减少</w:t>
      </w:r>
      <w:r>
        <w:rPr>
          <w:rFonts w:hint="eastAsia" w:ascii="仿宋_GB2312" w:hAnsi="仿宋_GB2312" w:eastAsia="仿宋_GB2312" w:cs="仿宋_GB2312"/>
          <w:sz w:val="32"/>
          <w:szCs w:val="32"/>
          <w:lang w:val="en-US" w:eastAsia="zh-CN"/>
        </w:rPr>
        <w:t>53.119747</w:t>
      </w:r>
      <w:r>
        <w:rPr>
          <w:rFonts w:hint="eastAsia" w:ascii="仿宋_GB2312" w:hAnsi="仿宋_GB2312" w:eastAsia="仿宋_GB2312" w:cs="仿宋_GB2312"/>
          <w:sz w:val="32"/>
          <w:szCs w:val="32"/>
        </w:rPr>
        <w:t>万元，其中：基本支出</w:t>
      </w:r>
      <w:r>
        <w:rPr>
          <w:rFonts w:hint="eastAsia" w:ascii="仿宋_GB2312" w:hAnsi="仿宋_GB2312" w:eastAsia="仿宋_GB2312" w:cs="仿宋_GB2312"/>
          <w:sz w:val="32"/>
          <w:szCs w:val="32"/>
          <w:lang w:val="en-US" w:eastAsia="zh-CN"/>
        </w:rPr>
        <w:t>增加33.770253</w:t>
      </w:r>
      <w:r>
        <w:rPr>
          <w:rFonts w:hint="eastAsia" w:ascii="仿宋_GB2312" w:hAnsi="仿宋_GB2312" w:eastAsia="仿宋_GB2312" w:cs="仿宋_GB2312"/>
          <w:sz w:val="32"/>
          <w:szCs w:val="32"/>
        </w:rPr>
        <w:t>万元，主要是</w:t>
      </w:r>
      <w:r>
        <w:rPr>
          <w:rFonts w:hint="eastAsia" w:ascii="仿宋_GB2312" w:hAnsi="仿宋_GB2312" w:eastAsia="仿宋_GB2312" w:cs="仿宋_GB2312"/>
          <w:sz w:val="32"/>
          <w:szCs w:val="32"/>
          <w:lang w:val="en-US" w:eastAsia="zh-CN"/>
        </w:rPr>
        <w:t>人员经费</w:t>
      </w:r>
      <w:r>
        <w:rPr>
          <w:rFonts w:hint="eastAsia" w:ascii="仿宋_GB2312" w:hAnsi="仿宋_GB2312" w:eastAsia="仿宋_GB2312" w:cs="仿宋_GB2312"/>
          <w:sz w:val="32"/>
          <w:szCs w:val="32"/>
        </w:rPr>
        <w:t>增加</w:t>
      </w:r>
      <w:r>
        <w:rPr>
          <w:rFonts w:hint="eastAsia" w:ascii="仿宋_GB2312" w:hAnsi="仿宋_GB2312" w:eastAsia="仿宋_GB2312" w:cs="仿宋_GB2312"/>
          <w:sz w:val="32"/>
          <w:szCs w:val="32"/>
          <w:lang w:val="en-US" w:eastAsia="zh-CN"/>
        </w:rPr>
        <w:t>55.050253万元</w:t>
      </w:r>
      <w:r>
        <w:rPr>
          <w:rFonts w:hint="eastAsia" w:ascii="仿宋_GB2312" w:hAnsi="仿宋_GB2312" w:eastAsia="仿宋_GB2312" w:cs="仿宋_GB2312"/>
          <w:sz w:val="32"/>
          <w:szCs w:val="32"/>
        </w:rPr>
        <w:t>，日常公用经费</w:t>
      </w:r>
      <w:r>
        <w:rPr>
          <w:rFonts w:hint="eastAsia" w:ascii="仿宋_GB2312" w:hAnsi="仿宋_GB2312" w:eastAsia="仿宋_GB2312" w:cs="仿宋_GB2312"/>
          <w:sz w:val="32"/>
          <w:szCs w:val="32"/>
          <w:lang w:val="en-US" w:eastAsia="zh-CN"/>
        </w:rPr>
        <w:t>减少21.28万元</w:t>
      </w:r>
      <w:r>
        <w:rPr>
          <w:rFonts w:hint="eastAsia" w:ascii="仿宋_GB2312" w:hAnsi="仿宋_GB2312" w:eastAsia="仿宋_GB2312" w:cs="仿宋_GB2312"/>
          <w:sz w:val="32"/>
          <w:szCs w:val="32"/>
        </w:rPr>
        <w:t>；项目支出减少</w:t>
      </w:r>
      <w:r>
        <w:rPr>
          <w:rFonts w:hint="eastAsia" w:ascii="仿宋_GB2312" w:hAnsi="仿宋_GB2312" w:eastAsia="仿宋_GB2312" w:cs="仿宋_GB2312"/>
          <w:sz w:val="32"/>
          <w:szCs w:val="32"/>
          <w:lang w:val="en-US" w:eastAsia="zh-CN"/>
        </w:rPr>
        <w:t>86.89</w:t>
      </w:r>
      <w:r>
        <w:rPr>
          <w:rFonts w:hint="eastAsia" w:ascii="仿宋_GB2312" w:hAnsi="仿宋_GB2312" w:eastAsia="仿宋_GB2312" w:cs="仿宋_GB2312"/>
          <w:sz w:val="32"/>
          <w:szCs w:val="32"/>
        </w:rPr>
        <w:t>万元，主要是减少了</w:t>
      </w:r>
      <w:r>
        <w:rPr>
          <w:rFonts w:hint="eastAsia" w:ascii="仿宋_GB2312" w:hAnsi="仿宋_GB2312" w:eastAsia="仿宋_GB2312" w:cs="仿宋_GB2312"/>
          <w:sz w:val="32"/>
          <w:szCs w:val="32"/>
          <w:lang w:val="en-US" w:eastAsia="zh-CN"/>
        </w:rPr>
        <w:t>信息化项目运行维护费项目</w:t>
      </w:r>
      <w:r>
        <w:rPr>
          <w:rFonts w:hint="eastAsia" w:ascii="仿宋_GB2312" w:hAnsi="仿宋_GB2312" w:eastAsia="仿宋_GB2312" w:cs="仿宋_GB2312"/>
          <w:sz w:val="32"/>
          <w:szCs w:val="32"/>
        </w:rPr>
        <w:t>的支出，其他支出基本无</w:t>
      </w:r>
      <w:r>
        <w:rPr>
          <w:rFonts w:hint="eastAsia" w:ascii="仿宋_GB2312" w:hAnsi="仿宋_GB2312" w:eastAsia="仿宋_GB2312" w:cs="仿宋_GB2312"/>
          <w:sz w:val="32"/>
          <w:szCs w:val="32"/>
          <w:lang w:val="en-US" w:eastAsia="zh-CN"/>
        </w:rPr>
        <w:t>大的</w:t>
      </w:r>
      <w:r>
        <w:rPr>
          <w:rFonts w:hint="eastAsia" w:ascii="仿宋_GB2312" w:hAnsi="仿宋_GB2312" w:eastAsia="仿宋_GB2312" w:cs="仿宋_GB2312"/>
          <w:sz w:val="32"/>
          <w:szCs w:val="32"/>
        </w:rPr>
        <w:t>增减变化。</w:t>
      </w:r>
    </w:p>
    <w:p>
      <w:pPr>
        <w:pStyle w:val="2"/>
        <w:pageBreakBefore w:val="0"/>
        <w:numPr>
          <w:ilvl w:val="0"/>
          <w:numId w:val="0"/>
        </w:numPr>
        <w:kinsoku/>
        <w:wordWrap/>
        <w:overflowPunct/>
        <w:topLinePunct w:val="0"/>
        <w:autoSpaceDE/>
        <w:autoSpaceDN/>
        <w:bidi w:val="0"/>
        <w:spacing w:before="0" w:line="560" w:lineRule="exact"/>
        <w:ind w:firstLine="640" w:firstLineChars="200"/>
        <w:textAlignment w:val="auto"/>
        <w:rPr>
          <w:rFonts w:hint="eastAsia" w:ascii="仿宋_GB2312" w:hAnsi="仿宋_GB2312" w:eastAsia="仿宋_GB2312" w:cs="仿宋_GB2312"/>
          <w:b w:val="0"/>
          <w:kern w:val="2"/>
          <w:sz w:val="32"/>
          <w:szCs w:val="32"/>
          <w:lang w:val="en-US" w:eastAsia="zh-CN" w:bidi="ar-SA"/>
        </w:rPr>
      </w:pPr>
      <w:r>
        <w:rPr>
          <w:rFonts w:hint="eastAsia" w:ascii="仿宋_GB2312" w:hAnsi="仿宋_GB2312" w:eastAsia="仿宋_GB2312" w:cs="仿宋_GB2312"/>
          <w:b w:val="0"/>
          <w:kern w:val="2"/>
          <w:sz w:val="32"/>
          <w:szCs w:val="32"/>
          <w:lang w:val="en-US" w:eastAsia="zh-CN" w:bidi="ar-SA"/>
        </w:rPr>
        <w:t>（5）石家庄市三环路管护中心</w:t>
      </w:r>
    </w:p>
    <w:p>
      <w:pPr>
        <w:pageBreakBefore w:val="0"/>
        <w:kinsoku/>
        <w:wordWrap/>
        <w:overflowPunct/>
        <w:topLinePunct w:val="0"/>
        <w:autoSpaceDE/>
        <w:autoSpaceDN/>
        <w:bidi w:val="0"/>
        <w:adjustRightInd w:val="0"/>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本单位202</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年度收支总计24967</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eastAsia="zh-CN"/>
        </w:rPr>
        <w:t>201134万元。本年收入24967</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eastAsia="zh-CN"/>
        </w:rPr>
        <w:t>201134</w:t>
      </w:r>
      <w:r>
        <w:rPr>
          <w:rFonts w:hint="eastAsia" w:ascii="仿宋_GB2312" w:hAnsi="仿宋_GB2312" w:eastAsia="仿宋_GB2312" w:cs="仿宋_GB2312"/>
          <w:sz w:val="32"/>
          <w:szCs w:val="32"/>
          <w:lang w:val="en-US" w:eastAsia="zh-CN"/>
        </w:rPr>
        <w:t>万元，本年支出</w:t>
      </w:r>
      <w:r>
        <w:rPr>
          <w:rFonts w:hint="eastAsia" w:ascii="仿宋_GB2312" w:hAnsi="仿宋_GB2312" w:eastAsia="仿宋_GB2312" w:cs="仿宋_GB2312"/>
          <w:sz w:val="32"/>
          <w:szCs w:val="32"/>
          <w:lang w:eastAsia="zh-CN"/>
        </w:rPr>
        <w:t>24967</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eastAsia="zh-CN"/>
        </w:rPr>
        <w:t>201134</w:t>
      </w:r>
      <w:r>
        <w:rPr>
          <w:rFonts w:hint="eastAsia" w:ascii="仿宋_GB2312" w:hAnsi="仿宋_GB2312" w:eastAsia="仿宋_GB2312" w:cs="仿宋_GB2312"/>
          <w:sz w:val="32"/>
          <w:szCs w:val="32"/>
          <w:lang w:val="en-US" w:eastAsia="zh-CN"/>
        </w:rPr>
        <w:t>万元。</w:t>
      </w:r>
    </w:p>
    <w:p>
      <w:pPr>
        <w:pStyle w:val="2"/>
        <w:pageBreakBefore w:val="0"/>
        <w:numPr>
          <w:ilvl w:val="0"/>
          <w:numId w:val="0"/>
        </w:numPr>
        <w:kinsoku/>
        <w:wordWrap/>
        <w:overflowPunct/>
        <w:topLinePunct w:val="0"/>
        <w:autoSpaceDE/>
        <w:autoSpaceDN/>
        <w:bidi w:val="0"/>
        <w:spacing w:before="0" w:line="560" w:lineRule="exact"/>
        <w:ind w:firstLine="640" w:firstLineChars="200"/>
        <w:textAlignment w:val="auto"/>
        <w:rPr>
          <w:rFonts w:hint="eastAsia" w:ascii="仿宋_GB2312" w:hAnsi="仿宋_GB2312" w:eastAsia="仿宋_GB2312" w:cs="仿宋_GB2312"/>
          <w:b w:val="0"/>
          <w:kern w:val="2"/>
          <w:sz w:val="32"/>
          <w:szCs w:val="32"/>
          <w:lang w:val="en-US" w:eastAsia="zh-CN" w:bidi="ar-SA"/>
        </w:rPr>
      </w:pPr>
      <w:r>
        <w:rPr>
          <w:rFonts w:hint="eastAsia" w:ascii="仿宋_GB2312" w:hAnsi="仿宋_GB2312" w:eastAsia="仿宋_GB2312" w:cs="仿宋_GB2312"/>
          <w:b w:val="0"/>
          <w:kern w:val="2"/>
          <w:sz w:val="32"/>
          <w:szCs w:val="32"/>
          <w:lang w:val="en-US" w:eastAsia="zh-CN" w:bidi="ar-SA"/>
        </w:rPr>
        <w:t>（6）石家庄市交通运输综合行政执法支队</w:t>
      </w:r>
    </w:p>
    <w:p>
      <w:pPr>
        <w:pageBreakBefore w:val="0"/>
        <w:kinsoku/>
        <w:wordWrap/>
        <w:overflowPunct/>
        <w:topLinePunct w:val="0"/>
        <w:autoSpaceDE/>
        <w:autoSpaceDN/>
        <w:bidi w:val="0"/>
        <w:adjustRightInd w:val="0"/>
        <w:snapToGrid w:val="0"/>
        <w:spacing w:line="560" w:lineRule="exact"/>
        <w:ind w:firstLine="640" w:firstLineChars="200"/>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sz w:val="32"/>
          <w:szCs w:val="32"/>
        </w:rPr>
        <w:t>我支队2022年预算收入6789.68元，全部为预算拨款，其中：财政拨款6709.68万元，上级一般公共预算安排转移支付80万元。预算支出6789.68万元，其中：人员经费4764.05万元，日常公用经费470.59万元，项目支出1555.04万元。2022年度决算数123884368.48元，其中：人员经费66248960.72元，公用经费4046542.36元，项目支出53588865.40元。</w:t>
      </w:r>
    </w:p>
    <w:p>
      <w:pPr>
        <w:pageBreakBefore w:val="0"/>
        <w:kinsoku/>
        <w:wordWrap/>
        <w:overflowPunct/>
        <w:topLinePunct w:val="0"/>
        <w:autoSpaceDE/>
        <w:autoSpaceDN/>
        <w:bidi w:val="0"/>
        <w:adjustRightInd w:val="0"/>
        <w:snapToGrid w:val="0"/>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kern w:val="2"/>
          <w:sz w:val="32"/>
          <w:szCs w:val="32"/>
          <w:lang w:val="en-US" w:eastAsia="zh-CN" w:bidi="ar-SA"/>
        </w:rPr>
        <w:t>（7）石家庄市公路工程质量安全站</w:t>
      </w:r>
    </w:p>
    <w:p>
      <w:pPr>
        <w:pageBreakBefore w:val="0"/>
        <w:widowControl/>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石家庄市公路工程质量安全站2022年度收入支出年初预算1134.54万元，其中人员支出750.47万元，日常公用经费55.52万元，项目支出328.55万元，项目支出包括：①购质量监督检测经费项目307.41万元；②党组织活动经费1.14万元；③专用设备维修维护费项目20万元。 </w:t>
      </w:r>
    </w:p>
    <w:p>
      <w:pPr>
        <w:pageBreakBefore w:val="0"/>
        <w:widowControl/>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2022年度收入决算1237.642708万元，其中人员支出912.778976万元，日常公用经费50.284032万元，项目支出274.5797万元，项目支出包括：①购质量监督检测经费项目273.4397万元；②党组织活动经费1.14万元；③专用设备维修维护费项目0万元。</w:t>
      </w:r>
    </w:p>
    <w:p>
      <w:pPr>
        <w:pageBreakBefore w:val="0"/>
        <w:widowControl/>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2022年度支出决算1237.642708万元，其中人员支出912.778976万元，日常公用经费50.284032万元，项目支出274.5797万元，项目支出包括：①购质量监督检测经费项目273.4397万元；②党组织活动经费1.14万元；③专用设备维修维护费项目0万元。</w:t>
      </w:r>
    </w:p>
    <w:p>
      <w:pPr>
        <w:pageBreakBefore w:val="0"/>
        <w:kinsoku/>
        <w:wordWrap/>
        <w:overflowPunct/>
        <w:topLinePunct w:val="0"/>
        <w:autoSpaceDE/>
        <w:autoSpaceDN/>
        <w:bidi w:val="0"/>
        <w:adjustRightInd w:val="0"/>
        <w:snapToGrid w:val="0"/>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（三）部门整体支出绩效目标、指标</w:t>
      </w:r>
    </w:p>
    <w:p>
      <w:pPr>
        <w:pStyle w:val="8"/>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总体绩效目标</w:t>
      </w:r>
    </w:p>
    <w:p>
      <w:pPr>
        <w:pStyle w:val="8"/>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完成2022年市管高速公路、普通国省干线公路、农村公路等工程建设任务。完成三环主辅路、复兴大街、启程路及连接线的道路桥梁和交通设施养护、路面清扫保洁抑尘、绿化、照明等工作。完成2022年普通国省干线公路的养护改造、大中修、桥隧加固、绿化、安保、灾害防治、标志整治等工作。做好西柏坡高速公路运营管理及养护工作。抓好网约车监管平台建设和12328公开电话服务窗口建设，畅通民生诉求反馈渠道，为信息化管理和交通行政综合执法提供强有力的技术支撑，塑造良好的交通运输服务形象；推进智慧交通和“京津冀一体化”交通发展，完善交通基础设施网络建设，提升综合交通运输网络效率。加强行业管理，保障客货运、出租车、水运、汽修等交通运输行业健康发展；做好路警联合治超工作，严格称重卸载，消除违法行为；开展辖区国省干线日常路政巡查，加强桥梁、匝道及辅道的管理，制止查处未经许可的违法涉路施工，加强行政许可涉路施工工地现场扬尘整治，确保干线道路安全通畅。继续协助政府推进出租车实名制改革，规范出租汽车营运区域，维护出租汽车经营良好秩序。</w:t>
      </w:r>
    </w:p>
    <w:p>
      <w:pPr>
        <w:pStyle w:val="9"/>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lang w:val="en-US" w:eastAsia="zh-CN"/>
        </w:rPr>
        <w:t>2</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sz w:val="32"/>
          <w:szCs w:val="32"/>
        </w:rPr>
        <w:t>分项绩效目标</w:t>
      </w:r>
    </w:p>
    <w:p>
      <w:pPr>
        <w:pStyle w:val="9"/>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市管高速公路建设</w:t>
      </w:r>
    </w:p>
    <w:p>
      <w:pPr>
        <w:pStyle w:val="9"/>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绩效目标：推进2022年市管高速公路建设计划，保证工程质量合格，按时归还贷款本息，促进省会交通高质量发展，加快建设经济强省美丽河北步伐。</w:t>
      </w:r>
    </w:p>
    <w:p>
      <w:pPr>
        <w:pStyle w:val="9"/>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绩效指标：2022年度市管高速公路建设项目工程施工进度达到序时要求；工程质量合格率达到90%；贷款违约率为0。</w:t>
      </w:r>
    </w:p>
    <w:p>
      <w:pPr>
        <w:pStyle w:val="9"/>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普通干线公路建设及养护</w:t>
      </w:r>
    </w:p>
    <w:p>
      <w:pPr>
        <w:pStyle w:val="9"/>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组织实施各项普通国省干线公路建设及养护工作，完成全年大中修、桥梁维修加固工程及其他养护任务；推进胜利大街南延、G307晋州绕城、元赞公路赞皇段等重点项目建设。充分发挥预算资金效益，创精品工程，提高城市出口路及周边公路的路况水平和环境质量。</w:t>
      </w:r>
    </w:p>
    <w:p>
      <w:pPr>
        <w:pStyle w:val="9"/>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项目工程施工量完成率达到上级下达任务的70%以上；普通干线公路养护投资完成率达到80%；完成2022年国道G107、G308、G338和省道S038市区管养段14.416公里的日常养护及小修工作，保证公路技术状况处于优良，减少事故发生；完成南二环东延线与新元高速互通立交主线长1.38公里的路面清扫保洁抑尘、照明等养护工作，改善群众出行，社会公众对项目实施效果的满意度达到90%以上；</w:t>
      </w:r>
    </w:p>
    <w:p>
      <w:pPr>
        <w:pStyle w:val="9"/>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农村公路建设及养护</w:t>
      </w:r>
    </w:p>
    <w:p>
      <w:pPr>
        <w:pStyle w:val="9"/>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绩效目标：完成2022年农村公路建设养护任务，维修相关附属设施，保障村民出行更加安全便捷。</w:t>
      </w:r>
    </w:p>
    <w:p>
      <w:pPr>
        <w:pStyle w:val="9"/>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绩效指标：农村公路建设验收合格率达到98%；农村公路列养率达到100%；改善群众出行，受益人口满意度达到90%以上。</w:t>
      </w:r>
    </w:p>
    <w:p>
      <w:pPr>
        <w:pStyle w:val="9"/>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交通基础设施建设及维护</w:t>
      </w:r>
    </w:p>
    <w:p>
      <w:pPr>
        <w:pStyle w:val="9"/>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绩效目标：实施交通基础设施建设，达到设计要求；确保新火车站东西广场出租车待客区域干净卫生，出租车辆严格有序文明经营；维护、完善附属设施（设备），保持良好的技术状况，保障服务水平。</w:t>
      </w:r>
    </w:p>
    <w:p>
      <w:pPr>
        <w:pStyle w:val="9"/>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绩效指标：项目建设完成率达到90%；项目验收合格率到达90%；交通配套设施养护工程投资完成率达到90%；社会公众或服务对象对项目实施效果的满意程度达到90%以上。</w:t>
      </w:r>
    </w:p>
    <w:p>
      <w:pPr>
        <w:pStyle w:val="9"/>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交通运输管理</w:t>
      </w:r>
    </w:p>
    <w:p>
      <w:pPr>
        <w:pStyle w:val="9"/>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完成公路建设项目交工核验检测工作；拆除违法非交通标志，维护公路路产路权完整；治理超载超限工作顺利进行，纠正违法行为；做好道路运输从业人员有违法行为时的培训教育工作，督导出租客运经营企业和服务企业的服务质量信誉考核；保障道路运输从业资格证的办证、换证、补证、诚信考核业务顺利进行，保障出租车从业人员报名的顺利进行；提高全市道路运输行业应对和处置各类突发事件的能力。</w:t>
      </w:r>
    </w:p>
    <w:p>
      <w:pPr>
        <w:pStyle w:val="9"/>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受理监督的公路建设项目监督覆盖率达到100%，质量安全监督工作完成率达到95%以上，监督对象满意度达到90%以上，总体实现我市公路建设质量进一步提升、安全生产工作总体可控并持续向好的工作目标；非法标志拆除率达到90%；2022年度运营公交线路条数达到240条，2022年度年载客里程达到1.62亿公里以，新能源公交车占有率达到55%，2021年度运营车辆使用率达到80%以上，保障群众出行。</w:t>
      </w:r>
    </w:p>
    <w:p>
      <w:pPr>
        <w:pStyle w:val="9"/>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收费公路运营管理</w:t>
      </w:r>
    </w:p>
    <w:p>
      <w:pPr>
        <w:pStyle w:val="9"/>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绩效目标：保障收费公路安全畅通，收费设施正常运营，维护道路安全畅通，完成2022年通行费收入。</w:t>
      </w:r>
    </w:p>
    <w:p>
      <w:pPr>
        <w:pStyle w:val="9"/>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绩效指标：贷款偿还率达到100%，收费设施（设备）运行正常率达到90%，收入完成率达到80%，改善群众出行。</w:t>
      </w:r>
    </w:p>
    <w:p>
      <w:pPr>
        <w:pStyle w:val="9"/>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三环主辅路、复兴大街、启程路及连接线养护工作</w:t>
      </w:r>
    </w:p>
    <w:p>
      <w:pPr>
        <w:pStyle w:val="9"/>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完成日常保洁、小修保养、桥梁检查、交通安全设施维护、机电照明设施维护、绿化养护、应急抢险、大气污染防治等工作，保持路面干净整洁、无杂物、行车舒适，路肩整洁、边坡稳定、排水畅通，桥梁构造物及附属设施完好，沿线交通安全设施完善，绿化协调美观，亮化设施功能完整，构建“畅、洁、绿、美”的道路交通环境。</w:t>
      </w:r>
    </w:p>
    <w:p>
      <w:pPr>
        <w:pageBreakBefore w:val="0"/>
        <w:kinsoku/>
        <w:wordWrap/>
        <w:overflowPunct/>
        <w:topLinePunct w:val="0"/>
        <w:autoSpaceDE/>
        <w:autoSpaceDN/>
        <w:bidi w:val="0"/>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每年实施沥青灌缝及沥青路面挖补工作，处置各类桥梁病害，桥梁定期检查每年1次，路面技术状况检测评定每年1次。设施正常运转率达到95%及以上，恢复设计功能（恢复率）达到90%及以上，出行群众满意度达到90%及以上。</w:t>
      </w:r>
    </w:p>
    <w:p>
      <w:pPr>
        <w:pageBreakBefore w:val="0"/>
        <w:kinsoku/>
        <w:wordWrap/>
        <w:overflowPunct/>
        <w:topLinePunct w:val="0"/>
        <w:autoSpaceDE/>
        <w:autoSpaceDN/>
        <w:bidi w:val="0"/>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二、自评工作开展情况</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(一)自评的组织工作</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为做好2021年度专项资金绩效自评工作，各单位组织分别研究制定工作实施方案，成立绩效评价工作领导小组，统筹谋划、精心组织，对2021年度资金进行了全面梳理，明确了评价项目内容和具体职责分工。</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(二)自评的方法和过程</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各单位对照年初确定的绩效目标、指标和评价标准，结合项目完成情况，对2021年度专项资金逐项进行了绩效自评，形成绩效自评报告。评价过程中各单位对各项目的支出情况进行了分析，同时查看相关文件，严格按照项目计划和规定用途专款专用，并严格按照会计法律法规及公司规定的制度执行，自评过程科学合理，结果公平、公正。</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sz w:val="32"/>
          <w:szCs w:val="32"/>
        </w:rPr>
        <w:t>三、部门整体支出绩效目标实现情况及指标分析</w:t>
      </w:r>
    </w:p>
    <w:p>
      <w:pPr>
        <w:pageBreakBefore w:val="0"/>
        <w:numPr>
          <w:ilvl w:val="0"/>
          <w:numId w:val="1"/>
        </w:numPr>
        <w:kinsoku/>
        <w:wordWrap/>
        <w:overflowPunct/>
        <w:topLinePunct w:val="0"/>
        <w:autoSpaceDE/>
        <w:autoSpaceDN/>
        <w:bidi w:val="0"/>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总体绩效目标实现情况</w:t>
      </w:r>
    </w:p>
    <w:p>
      <w:pPr>
        <w:pStyle w:val="8"/>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基本实现了</w:t>
      </w:r>
      <w:r>
        <w:rPr>
          <w:rFonts w:hint="eastAsia" w:ascii="仿宋_GB2312" w:hAnsi="仿宋_GB2312" w:eastAsia="仿宋_GB2312" w:cs="仿宋_GB2312"/>
          <w:sz w:val="32"/>
          <w:szCs w:val="32"/>
          <w:lang w:val="en-US" w:eastAsia="zh-CN"/>
        </w:rPr>
        <w:t>2022年总体绩效目标。</w:t>
      </w:r>
      <w:r>
        <w:rPr>
          <w:rFonts w:hint="eastAsia" w:ascii="仿宋_GB2312" w:hAnsi="仿宋_GB2312" w:eastAsia="仿宋_GB2312" w:cs="仿宋_GB2312"/>
          <w:sz w:val="32"/>
          <w:szCs w:val="32"/>
        </w:rPr>
        <w:t>完成</w:t>
      </w:r>
      <w:r>
        <w:rPr>
          <w:rFonts w:hint="eastAsia" w:ascii="仿宋_GB2312" w:hAnsi="仿宋_GB2312" w:eastAsia="仿宋_GB2312" w:cs="仿宋_GB2312"/>
          <w:sz w:val="32"/>
          <w:szCs w:val="32"/>
          <w:lang w:eastAsia="zh-CN"/>
        </w:rPr>
        <w:t>了</w:t>
      </w:r>
      <w:r>
        <w:rPr>
          <w:rFonts w:hint="eastAsia" w:ascii="仿宋_GB2312" w:hAnsi="仿宋_GB2312" w:eastAsia="仿宋_GB2312" w:cs="仿宋_GB2312"/>
          <w:sz w:val="32"/>
          <w:szCs w:val="32"/>
        </w:rPr>
        <w:t>2022年市管高速公路、普通国省干线公路、农村公路等工程建设任务。完成</w:t>
      </w:r>
      <w:r>
        <w:rPr>
          <w:rFonts w:hint="eastAsia" w:ascii="仿宋_GB2312" w:hAnsi="仿宋_GB2312" w:eastAsia="仿宋_GB2312" w:cs="仿宋_GB2312"/>
          <w:sz w:val="32"/>
          <w:szCs w:val="32"/>
          <w:lang w:eastAsia="zh-CN"/>
        </w:rPr>
        <w:t>了</w:t>
      </w:r>
      <w:r>
        <w:rPr>
          <w:rFonts w:hint="eastAsia" w:ascii="仿宋_GB2312" w:hAnsi="仿宋_GB2312" w:eastAsia="仿宋_GB2312" w:cs="仿宋_GB2312"/>
          <w:sz w:val="32"/>
          <w:szCs w:val="32"/>
        </w:rPr>
        <w:t>三环主辅路、复兴大街、启程路及连接线的道路桥梁和交通设施养护、路面清扫保洁抑尘、绿化、照明等工作。完成</w:t>
      </w:r>
      <w:r>
        <w:rPr>
          <w:rFonts w:hint="eastAsia" w:ascii="仿宋_GB2312" w:hAnsi="仿宋_GB2312" w:eastAsia="仿宋_GB2312" w:cs="仿宋_GB2312"/>
          <w:sz w:val="32"/>
          <w:szCs w:val="32"/>
          <w:lang w:eastAsia="zh-CN"/>
        </w:rPr>
        <w:t>了</w:t>
      </w:r>
      <w:r>
        <w:rPr>
          <w:rFonts w:hint="eastAsia" w:ascii="仿宋_GB2312" w:hAnsi="仿宋_GB2312" w:eastAsia="仿宋_GB2312" w:cs="仿宋_GB2312"/>
          <w:sz w:val="32"/>
          <w:szCs w:val="32"/>
        </w:rPr>
        <w:t>2022年普通国省干线公路的养护改造、大中修、桥隧加固、绿化、安保、灾害防治、标志整治等工作。</w:t>
      </w:r>
      <w:r>
        <w:rPr>
          <w:rFonts w:hint="eastAsia" w:ascii="仿宋_GB2312" w:hAnsi="仿宋_GB2312" w:eastAsia="仿宋_GB2312" w:cs="仿宋_GB2312"/>
          <w:sz w:val="32"/>
          <w:szCs w:val="32"/>
          <w:lang w:eastAsia="zh-CN"/>
        </w:rPr>
        <w:t>按照计划</w:t>
      </w:r>
      <w:r>
        <w:rPr>
          <w:rFonts w:hint="eastAsia" w:ascii="仿宋_GB2312" w:hAnsi="仿宋_GB2312" w:eastAsia="仿宋_GB2312" w:cs="仿宋_GB2312"/>
          <w:sz w:val="32"/>
          <w:szCs w:val="32"/>
        </w:rPr>
        <w:t>做好</w:t>
      </w:r>
      <w:r>
        <w:rPr>
          <w:rFonts w:hint="eastAsia" w:ascii="仿宋_GB2312" w:hAnsi="仿宋_GB2312" w:eastAsia="仿宋_GB2312" w:cs="仿宋_GB2312"/>
          <w:sz w:val="32"/>
          <w:szCs w:val="32"/>
          <w:lang w:eastAsia="zh-CN"/>
        </w:rPr>
        <w:t>了</w:t>
      </w:r>
      <w:r>
        <w:rPr>
          <w:rFonts w:hint="eastAsia" w:ascii="仿宋_GB2312" w:hAnsi="仿宋_GB2312" w:eastAsia="仿宋_GB2312" w:cs="仿宋_GB2312"/>
          <w:sz w:val="32"/>
          <w:szCs w:val="32"/>
        </w:rPr>
        <w:t>西柏坡高速公路运营管理及养护工作。抓好网约车监管平台建设和12328公开电话服务窗口建设，</w:t>
      </w:r>
      <w:r>
        <w:rPr>
          <w:rFonts w:hint="eastAsia" w:ascii="仿宋_GB2312" w:hAnsi="仿宋_GB2312" w:eastAsia="仿宋_GB2312" w:cs="仿宋_GB2312"/>
          <w:sz w:val="32"/>
          <w:szCs w:val="32"/>
          <w:lang w:eastAsia="zh-CN"/>
        </w:rPr>
        <w:t>进一步</w:t>
      </w:r>
      <w:r>
        <w:rPr>
          <w:rFonts w:hint="eastAsia" w:ascii="仿宋_GB2312" w:hAnsi="仿宋_GB2312" w:eastAsia="仿宋_GB2312" w:cs="仿宋_GB2312"/>
          <w:sz w:val="32"/>
          <w:szCs w:val="32"/>
        </w:rPr>
        <w:t>畅通民生诉求反馈渠道，为信息化管理和交通行政综合执法提供</w:t>
      </w:r>
      <w:r>
        <w:rPr>
          <w:rFonts w:hint="eastAsia" w:ascii="仿宋_GB2312" w:hAnsi="仿宋_GB2312" w:eastAsia="仿宋_GB2312" w:cs="仿宋_GB2312"/>
          <w:sz w:val="32"/>
          <w:szCs w:val="32"/>
          <w:lang w:eastAsia="zh-CN"/>
        </w:rPr>
        <w:t>了</w:t>
      </w:r>
      <w:r>
        <w:rPr>
          <w:rFonts w:hint="eastAsia" w:ascii="仿宋_GB2312" w:hAnsi="仿宋_GB2312" w:eastAsia="仿宋_GB2312" w:cs="仿宋_GB2312"/>
          <w:sz w:val="32"/>
          <w:szCs w:val="32"/>
        </w:rPr>
        <w:t>强有力的技术支撑；推进</w:t>
      </w:r>
      <w:r>
        <w:rPr>
          <w:rFonts w:hint="eastAsia" w:ascii="仿宋_GB2312" w:hAnsi="仿宋_GB2312" w:eastAsia="仿宋_GB2312" w:cs="仿宋_GB2312"/>
          <w:sz w:val="32"/>
          <w:szCs w:val="32"/>
          <w:lang w:eastAsia="zh-CN"/>
        </w:rPr>
        <w:t>了</w:t>
      </w:r>
      <w:r>
        <w:rPr>
          <w:rFonts w:hint="eastAsia" w:ascii="仿宋_GB2312" w:hAnsi="仿宋_GB2312" w:eastAsia="仿宋_GB2312" w:cs="仿宋_GB2312"/>
          <w:sz w:val="32"/>
          <w:szCs w:val="32"/>
        </w:rPr>
        <w:t>智慧交通和“京津冀一体化”交通发展，完善</w:t>
      </w:r>
      <w:r>
        <w:rPr>
          <w:rFonts w:hint="eastAsia" w:ascii="仿宋_GB2312" w:hAnsi="仿宋_GB2312" w:eastAsia="仿宋_GB2312" w:cs="仿宋_GB2312"/>
          <w:sz w:val="32"/>
          <w:szCs w:val="32"/>
          <w:lang w:eastAsia="zh-CN"/>
        </w:rPr>
        <w:t>了</w:t>
      </w:r>
      <w:r>
        <w:rPr>
          <w:rFonts w:hint="eastAsia" w:ascii="仿宋_GB2312" w:hAnsi="仿宋_GB2312" w:eastAsia="仿宋_GB2312" w:cs="仿宋_GB2312"/>
          <w:sz w:val="32"/>
          <w:szCs w:val="32"/>
        </w:rPr>
        <w:t>交通基础设施网络建设，提升</w:t>
      </w:r>
      <w:r>
        <w:rPr>
          <w:rFonts w:hint="eastAsia" w:ascii="仿宋_GB2312" w:hAnsi="仿宋_GB2312" w:eastAsia="仿宋_GB2312" w:cs="仿宋_GB2312"/>
          <w:sz w:val="32"/>
          <w:szCs w:val="32"/>
          <w:lang w:eastAsia="zh-CN"/>
        </w:rPr>
        <w:t>了</w:t>
      </w:r>
      <w:r>
        <w:rPr>
          <w:rFonts w:hint="eastAsia" w:ascii="仿宋_GB2312" w:hAnsi="仿宋_GB2312" w:eastAsia="仿宋_GB2312" w:cs="仿宋_GB2312"/>
          <w:sz w:val="32"/>
          <w:szCs w:val="32"/>
        </w:rPr>
        <w:t>综合交通运输网络效率。保障</w:t>
      </w:r>
      <w:r>
        <w:rPr>
          <w:rFonts w:hint="eastAsia" w:ascii="仿宋_GB2312" w:hAnsi="仿宋_GB2312" w:eastAsia="仿宋_GB2312" w:cs="仿宋_GB2312"/>
          <w:sz w:val="32"/>
          <w:szCs w:val="32"/>
          <w:lang w:eastAsia="zh-CN"/>
        </w:rPr>
        <w:t>了</w:t>
      </w:r>
      <w:r>
        <w:rPr>
          <w:rFonts w:hint="eastAsia" w:ascii="仿宋_GB2312" w:hAnsi="仿宋_GB2312" w:eastAsia="仿宋_GB2312" w:cs="仿宋_GB2312"/>
          <w:sz w:val="32"/>
          <w:szCs w:val="32"/>
        </w:rPr>
        <w:t>客货运、出租车、水运、汽修等交通运输行业健康发展；做好路警联合治超工作，严格称重卸载，消除违法行为；开展辖区国省干线日常路政巡查，加强桥梁、匝道及辅道的管理，制止查处未经许可的违法涉路施工，加强行政许可涉路施工工地现场扬尘整治，确保干线道路安全通畅。继续协助政府推进出租车实名制改革，规范出租汽车营运区域，维护出租汽车经营良好秩序。</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（二）分项绩效目标实现情况及指标分析</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default" w:ascii="仿宋_GB2312" w:hAnsi="仿宋_GB2312" w:eastAsia="仿宋_GB2312" w:cs="仿宋_GB2312"/>
          <w:sz w:val="32"/>
          <w:szCs w:val="32"/>
          <w:lang w:val="en"/>
        </w:rPr>
        <w:t>(</w:t>
      </w:r>
      <w:r>
        <w:rPr>
          <w:rFonts w:hint="eastAsia" w:ascii="仿宋_GB2312" w:hAnsi="仿宋_GB2312" w:eastAsia="仿宋_GB2312" w:cs="仿宋_GB2312"/>
          <w:sz w:val="32"/>
          <w:szCs w:val="32"/>
        </w:rPr>
        <w:t>1</w:t>
      </w:r>
      <w:r>
        <w:rPr>
          <w:rFonts w:hint="default" w:ascii="仿宋_GB2312" w:hAnsi="仿宋_GB2312" w:eastAsia="仿宋_GB2312" w:cs="仿宋_GB2312"/>
          <w:sz w:val="32"/>
          <w:szCs w:val="32"/>
          <w:lang w:val="en"/>
        </w:rPr>
        <w:t>)</w:t>
      </w:r>
      <w:r>
        <w:rPr>
          <w:rFonts w:hint="eastAsia" w:ascii="仿宋_GB2312" w:hAnsi="仿宋_GB2312" w:eastAsia="仿宋_GB2312" w:cs="仿宋_GB2312"/>
          <w:sz w:val="32"/>
          <w:szCs w:val="32"/>
        </w:rPr>
        <w:t>石家庄市交通运输局</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年绩效自评项目</w:t>
      </w:r>
      <w:r>
        <w:rPr>
          <w:rFonts w:hint="eastAsia" w:ascii="仿宋_GB2312" w:hAnsi="仿宋_GB2312" w:eastAsia="仿宋_GB2312" w:cs="仿宋_GB2312"/>
          <w:sz w:val="32"/>
          <w:szCs w:val="32"/>
          <w:lang w:val="en-US" w:eastAsia="zh-CN"/>
        </w:rPr>
        <w:t>44</w:t>
      </w:r>
      <w:r>
        <w:rPr>
          <w:rFonts w:hint="eastAsia" w:ascii="仿宋_GB2312" w:hAnsi="仿宋_GB2312" w:eastAsia="仿宋_GB2312" w:cs="仿宋_GB2312"/>
          <w:sz w:val="32"/>
          <w:szCs w:val="32"/>
        </w:rPr>
        <w:t>个，其中</w:t>
      </w:r>
      <w:r>
        <w:rPr>
          <w:rFonts w:hint="eastAsia" w:ascii="仿宋_GB2312" w:hAnsi="仿宋_GB2312" w:eastAsia="仿宋_GB2312" w:cs="仿宋_GB2312"/>
          <w:sz w:val="32"/>
          <w:szCs w:val="32"/>
          <w:lang w:val="en-US" w:eastAsia="zh-CN"/>
        </w:rPr>
        <w:t>44</w:t>
      </w:r>
      <w:r>
        <w:rPr>
          <w:rFonts w:hint="eastAsia" w:ascii="仿宋_GB2312" w:hAnsi="仿宋_GB2312" w:eastAsia="仿宋_GB2312" w:cs="仿宋_GB2312"/>
          <w:sz w:val="32"/>
          <w:szCs w:val="32"/>
        </w:rPr>
        <w:t>个具备绩效自评条件。</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结合</w:t>
      </w:r>
      <w:r>
        <w:rPr>
          <w:rFonts w:hint="eastAsia" w:ascii="仿宋_GB2312" w:hAnsi="仿宋_GB2312" w:eastAsia="仿宋_GB2312" w:cs="仿宋_GB2312"/>
          <w:sz w:val="32"/>
          <w:szCs w:val="32"/>
          <w:lang w:eastAsia="zh-CN"/>
        </w:rPr>
        <w:t>各项目绩效目标</w:t>
      </w:r>
      <w:r>
        <w:rPr>
          <w:rFonts w:hint="eastAsia" w:ascii="仿宋_GB2312" w:hAnsi="仿宋_GB2312" w:eastAsia="仿宋_GB2312" w:cs="仿宋_GB2312"/>
          <w:sz w:val="32"/>
          <w:szCs w:val="32"/>
        </w:rPr>
        <w:t>及项目支出</w:t>
      </w:r>
      <w:r>
        <w:rPr>
          <w:rFonts w:hint="eastAsia" w:ascii="仿宋_GB2312" w:hAnsi="仿宋_GB2312" w:eastAsia="仿宋_GB2312" w:cs="仿宋_GB2312"/>
          <w:sz w:val="32"/>
          <w:szCs w:val="32"/>
          <w:lang w:eastAsia="zh-CN"/>
        </w:rPr>
        <w:t>完成</w:t>
      </w:r>
      <w:r>
        <w:rPr>
          <w:rFonts w:hint="eastAsia" w:ascii="仿宋_GB2312" w:hAnsi="仿宋_GB2312" w:eastAsia="仿宋_GB2312" w:cs="仿宋_GB2312"/>
          <w:sz w:val="32"/>
          <w:szCs w:val="32"/>
        </w:rPr>
        <w:t>情况</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2022</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eastAsia="zh-CN"/>
        </w:rPr>
        <w:t>专项项目预算</w:t>
      </w:r>
      <w:r>
        <w:rPr>
          <w:rFonts w:hint="eastAsia" w:ascii="仿宋_GB2312" w:hAnsi="仿宋_GB2312" w:eastAsia="仿宋_GB2312" w:cs="仿宋_GB2312"/>
          <w:sz w:val="32"/>
          <w:szCs w:val="32"/>
          <w:lang w:val="en-US" w:eastAsia="zh-CN"/>
        </w:rPr>
        <w:t>82.53亿元，实现支出80.35亿元，贷款违约率为0，</w:t>
      </w:r>
      <w:r>
        <w:rPr>
          <w:rFonts w:hint="eastAsia" w:ascii="仿宋_GB2312" w:hAnsi="仿宋_GB2312" w:eastAsia="仿宋_GB2312" w:cs="仿宋_GB2312"/>
          <w:sz w:val="32"/>
          <w:szCs w:val="32"/>
        </w:rPr>
        <w:t>收费设施（设备）运行正常率达到90%，收入完成率达到80%，改善群众出行</w:t>
      </w:r>
      <w:r>
        <w:rPr>
          <w:rFonts w:hint="eastAsia" w:ascii="仿宋_GB2312" w:hAnsi="仿宋_GB2312" w:eastAsia="仿宋_GB2312" w:cs="仿宋_GB2312"/>
          <w:sz w:val="32"/>
          <w:szCs w:val="32"/>
          <w:lang w:eastAsia="zh-CN"/>
        </w:rPr>
        <w:t>，基本完成绩效目标，实现情况优秀</w:t>
      </w:r>
      <w:r>
        <w:rPr>
          <w:rFonts w:hint="eastAsia" w:ascii="仿宋_GB2312" w:hAnsi="仿宋_GB2312" w:eastAsia="仿宋_GB2312" w:cs="仿宋_GB2312"/>
          <w:sz w:val="32"/>
          <w:szCs w:val="32"/>
        </w:rPr>
        <w:t>。</w:t>
      </w:r>
    </w:p>
    <w:p>
      <w:pPr>
        <w:pageBreakBefore w:val="0"/>
        <w:kinsoku/>
        <w:wordWrap/>
        <w:overflowPunct/>
        <w:topLinePunct w:val="0"/>
        <w:autoSpaceDE/>
        <w:autoSpaceDN/>
        <w:bidi w:val="0"/>
        <w:adjustRightInd w:val="0"/>
        <w:snapToGrid w:val="0"/>
        <w:spacing w:line="560" w:lineRule="exact"/>
        <w:ind w:firstLine="640" w:firstLineChars="200"/>
        <w:rPr>
          <w:rFonts w:hint="eastAsia" w:ascii="仿宋_GB2312" w:hAnsi="仿宋_GB2312" w:eastAsia="仿宋_GB2312" w:cs="仿宋_GB2312"/>
          <w:b w:val="0"/>
          <w:bCs/>
          <w:kern w:val="2"/>
          <w:sz w:val="32"/>
          <w:szCs w:val="32"/>
          <w:lang w:val="en-US" w:eastAsia="zh-CN" w:bidi="ar-SA"/>
        </w:rPr>
      </w:pPr>
      <w:r>
        <w:rPr>
          <w:rFonts w:hint="eastAsia" w:ascii="仿宋_GB2312" w:hAnsi="仿宋_GB2312" w:eastAsia="仿宋_GB2312" w:cs="仿宋_GB2312"/>
          <w:b w:val="0"/>
          <w:bCs/>
          <w:kern w:val="2"/>
          <w:sz w:val="32"/>
          <w:szCs w:val="32"/>
          <w:lang w:val="en-US" w:eastAsia="zh-CN" w:bidi="ar-SA"/>
        </w:rPr>
        <w:t>（2）石家庄市公路服务保障中心</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2022年我单位共29个项目需进行绩效自评工作，涉及资金47677.91627 万元，年初设定的绩效目标均已完成，部分项目受疫情影响，财政评审的原因造成预算执行率略低，总体各项指标全部实现。现分类进行说明：</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lang w:val="en-US" w:eastAsia="zh-CN"/>
        </w:rPr>
        <w:t>1.</w:t>
      </w:r>
      <w:r>
        <w:rPr>
          <w:rFonts w:hint="eastAsia" w:ascii="仿宋_GB2312" w:hAnsi="仿宋_GB2312" w:eastAsia="仿宋_GB2312" w:cs="仿宋_GB2312"/>
          <w:color w:val="000000" w:themeColor="text1"/>
          <w:sz w:val="32"/>
          <w:szCs w:val="32"/>
        </w:rPr>
        <w:t>专项公用经费</w:t>
      </w:r>
      <w:r>
        <w:rPr>
          <w:rFonts w:hint="eastAsia" w:ascii="仿宋_GB2312" w:hAnsi="仿宋_GB2312" w:eastAsia="仿宋_GB2312" w:cs="仿宋_GB2312"/>
          <w:color w:val="000000" w:themeColor="text1"/>
          <w:sz w:val="32"/>
          <w:szCs w:val="32"/>
          <w:lang w:eastAsia="zh-CN"/>
        </w:rPr>
        <w:t>。</w:t>
      </w:r>
      <w:r>
        <w:rPr>
          <w:rFonts w:hint="eastAsia" w:ascii="仿宋_GB2312" w:hAnsi="仿宋_GB2312" w:eastAsia="仿宋_GB2312" w:cs="仿宋_GB2312"/>
          <w:color w:val="000000" w:themeColor="text1"/>
          <w:sz w:val="32"/>
          <w:szCs w:val="32"/>
        </w:rPr>
        <w:t>分别为业务培训费、办公设备购置、专用设备维修费（办公楼及设备维修）、公用用车租赁费、电梯电费、党组织活动经费、专用设备维修费（会议室设备及电子屏维护），7个，全现实现年初设定的目标，按期保质的完成。预算执行率100%。</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lang w:val="en-US" w:eastAsia="zh-CN"/>
        </w:rPr>
        <w:t>2.</w:t>
      </w:r>
      <w:r>
        <w:rPr>
          <w:rFonts w:hint="eastAsia" w:ascii="仿宋_GB2312" w:hAnsi="仿宋_GB2312" w:eastAsia="仿宋_GB2312" w:cs="仿宋_GB2312"/>
          <w:color w:val="000000" w:themeColor="text1"/>
          <w:sz w:val="32"/>
          <w:szCs w:val="32"/>
        </w:rPr>
        <w:t>大中修项目</w:t>
      </w:r>
      <w:r>
        <w:rPr>
          <w:rFonts w:hint="eastAsia" w:ascii="仿宋_GB2312" w:hAnsi="仿宋_GB2312" w:eastAsia="仿宋_GB2312" w:cs="仿宋_GB2312"/>
          <w:color w:val="000000" w:themeColor="text1"/>
          <w:sz w:val="32"/>
          <w:szCs w:val="32"/>
          <w:lang w:eastAsia="zh-CN"/>
        </w:rPr>
        <w:t>。</w:t>
      </w:r>
      <w:r>
        <w:rPr>
          <w:rFonts w:hint="eastAsia" w:ascii="仿宋_GB2312" w:hAnsi="仿宋_GB2312" w:eastAsia="仿宋_GB2312" w:cs="仿宋_GB2312"/>
          <w:color w:val="000000" w:themeColor="text1"/>
          <w:sz w:val="32"/>
          <w:szCs w:val="32"/>
        </w:rPr>
        <w:t>8个项目41070.97万元，项目已完工，部分项目因财政评审的原因造成预算执行率略低，预算执行率91%。</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lang w:val="en-US" w:eastAsia="zh-CN"/>
        </w:rPr>
        <w:t>3.</w:t>
      </w:r>
      <w:r>
        <w:rPr>
          <w:rFonts w:hint="eastAsia" w:ascii="仿宋_GB2312" w:hAnsi="仿宋_GB2312" w:eastAsia="仿宋_GB2312" w:cs="仿宋_GB2312"/>
          <w:color w:val="000000" w:themeColor="text1"/>
          <w:sz w:val="32"/>
          <w:szCs w:val="32"/>
        </w:rPr>
        <w:t>桥梁维修加固及事项专项</w:t>
      </w:r>
      <w:r>
        <w:rPr>
          <w:rFonts w:hint="eastAsia" w:ascii="仿宋_GB2312" w:hAnsi="仿宋_GB2312" w:eastAsia="仿宋_GB2312" w:cs="仿宋_GB2312"/>
          <w:color w:val="000000" w:themeColor="text1"/>
          <w:sz w:val="32"/>
          <w:szCs w:val="32"/>
          <w:lang w:eastAsia="zh-CN"/>
        </w:rPr>
        <w:t>。</w:t>
      </w:r>
      <w:r>
        <w:rPr>
          <w:rFonts w:hint="eastAsia" w:ascii="仿宋_GB2312" w:hAnsi="仿宋_GB2312" w:eastAsia="仿宋_GB2312" w:cs="仿宋_GB2312"/>
          <w:color w:val="000000" w:themeColor="text1"/>
          <w:sz w:val="32"/>
          <w:szCs w:val="32"/>
        </w:rPr>
        <w:t>8个项目6165.83万元，因大部分项目批复时间为2022年4月份，完成招投标程序后，9-12月份才开工建设，致使未完成。因支付金额最高到合同金额的80％，项目资金全部下达，导致资金执行率低，预算执行率60％。</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color w:val="000000" w:themeColor="text1"/>
          <w:sz w:val="32"/>
          <w:szCs w:val="32"/>
          <w:lang w:val="en-US" w:eastAsia="zh-CN"/>
        </w:rPr>
        <w:t>4.</w:t>
      </w:r>
      <w:r>
        <w:rPr>
          <w:rFonts w:hint="eastAsia" w:ascii="仿宋_GB2312" w:hAnsi="仿宋_GB2312" w:eastAsia="仿宋_GB2312" w:cs="仿宋_GB2312"/>
          <w:color w:val="000000" w:themeColor="text1"/>
          <w:sz w:val="32"/>
          <w:szCs w:val="32"/>
        </w:rPr>
        <w:t>国省干线日常养护等其他项目</w:t>
      </w:r>
      <w:r>
        <w:rPr>
          <w:rFonts w:hint="eastAsia" w:ascii="仿宋_GB2312" w:hAnsi="仿宋_GB2312" w:eastAsia="仿宋_GB2312" w:cs="仿宋_GB2312"/>
          <w:color w:val="000000" w:themeColor="text1"/>
          <w:sz w:val="32"/>
          <w:szCs w:val="32"/>
          <w:lang w:eastAsia="zh-CN"/>
        </w:rPr>
        <w:t>。</w:t>
      </w:r>
      <w:r>
        <w:rPr>
          <w:rFonts w:hint="eastAsia" w:ascii="仿宋_GB2312" w:hAnsi="仿宋_GB2312" w:eastAsia="仿宋_GB2312" w:cs="仿宋_GB2312"/>
          <w:color w:val="000000" w:themeColor="text1"/>
          <w:sz w:val="32"/>
          <w:szCs w:val="32"/>
        </w:rPr>
        <w:t>6个367.05627万元，项目已完工。因财政评审价低于低于预算安排数，故预算执行率为95.6%。</w:t>
      </w:r>
    </w:p>
    <w:p>
      <w:pPr>
        <w:pStyle w:val="2"/>
        <w:keepNext/>
        <w:keepLines/>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（3）石家庄市公路建设发展中心</w:t>
      </w:r>
    </w:p>
    <w:p>
      <w:pPr>
        <w:pageBreakBefore w:val="0"/>
        <w:kinsoku/>
        <w:wordWrap/>
        <w:overflowPunct/>
        <w:topLinePunct w:val="0"/>
        <w:autoSpaceDE/>
        <w:autoSpaceDN/>
        <w:bidi w:val="0"/>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1、新改建工程项目绩效目标</w:t>
      </w:r>
    </w:p>
    <w:p>
      <w:pPr>
        <w:pageBreakBefore w:val="0"/>
        <w:kinsoku/>
        <w:wordWrap/>
        <w:overflowPunct/>
        <w:topLinePunct w:val="0"/>
        <w:autoSpaceDE/>
        <w:autoSpaceDN/>
        <w:bidi w:val="0"/>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对已完成财政评审的工程项目完成了资金拨付。对已完成工程决算的项目拨付了全部欠付资金。同时组织实施普通国省干线公路新项目建设，完成投资任务。</w:t>
      </w:r>
    </w:p>
    <w:p>
      <w:pPr>
        <w:pageBreakBefore w:val="0"/>
        <w:kinsoku/>
        <w:wordWrap/>
        <w:overflowPunct/>
        <w:topLinePunct w:val="0"/>
        <w:autoSpaceDE/>
        <w:autoSpaceDN/>
        <w:bidi w:val="0"/>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完成了省道S334南防口至井陉平山界段改建工程、张石高速公路行唐南出口至灵寿县城连接线、张石高速公路行唐南出口至行唐县城连接线、新城大道、省道S542元氏至赞皇公路赞皇段改建工程等项目建设，完成对已评审项目及已工程决算项目的支付工作，社会公众对项目实施效果的满意度达到90%以上。</w:t>
      </w:r>
    </w:p>
    <w:p>
      <w:pPr>
        <w:pageBreakBefore w:val="0"/>
        <w:kinsoku/>
        <w:wordWrap/>
        <w:overflowPunct/>
        <w:topLinePunct w:val="0"/>
        <w:autoSpaceDE/>
        <w:autoSpaceDN/>
        <w:bidi w:val="0"/>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2、养护项目绩效目标</w:t>
      </w:r>
    </w:p>
    <w:p>
      <w:pPr>
        <w:pageBreakBefore w:val="0"/>
        <w:kinsoku/>
        <w:wordWrap/>
        <w:overflowPunct/>
        <w:topLinePunct w:val="0"/>
        <w:autoSpaceDE/>
        <w:autoSpaceDN/>
        <w:bidi w:val="0"/>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完成了南二环东延线与新元高速互通立交工程主线工程养护任务，该路段的养护管理得到加强，提供了良好的道路交通环境。</w:t>
      </w:r>
    </w:p>
    <w:p>
      <w:pPr>
        <w:pageBreakBefore w:val="0"/>
        <w:kinsoku/>
        <w:wordWrap/>
        <w:overflowPunct/>
        <w:topLinePunct w:val="0"/>
        <w:autoSpaceDE/>
        <w:autoSpaceDN/>
        <w:bidi w:val="0"/>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完成南二环东延线与新元高速互通立交主线长1.38公里的路面清扫保洁抑尘、照明等养护工作，改善群众出行，受益人口满意度达到90%以上。</w:t>
      </w:r>
    </w:p>
    <w:p>
      <w:pPr>
        <w:pStyle w:val="2"/>
        <w:keepNext w:val="0"/>
        <w:keepLines w:val="0"/>
        <w:pageBreakBefore w:val="0"/>
        <w:widowControl w:val="0"/>
        <w:kinsoku/>
        <w:wordWrap/>
        <w:overflowPunct/>
        <w:topLinePunct w:val="0"/>
        <w:autoSpaceDE/>
        <w:autoSpaceDN/>
        <w:bidi w:val="0"/>
        <w:adjustRightInd/>
        <w:snapToGrid w:val="0"/>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（4）石家庄市交通运输服务中心</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1</w:t>
      </w:r>
      <w:r>
        <w:rPr>
          <w:rFonts w:hint="eastAsia" w:ascii="仿宋_GB2312" w:hAnsi="仿宋_GB2312" w:eastAsia="仿宋_GB2312" w:cs="仿宋_GB2312"/>
          <w:b w:val="0"/>
          <w:bCs/>
          <w:sz w:val="32"/>
          <w:szCs w:val="32"/>
        </w:rPr>
        <w:t>、</w:t>
      </w:r>
      <w:r>
        <w:rPr>
          <w:rFonts w:hint="eastAsia" w:ascii="仿宋_GB2312" w:hAnsi="仿宋_GB2312" w:eastAsia="仿宋_GB2312" w:cs="仿宋_GB2312"/>
          <w:b w:val="0"/>
          <w:bCs/>
          <w:sz w:val="32"/>
          <w:szCs w:val="32"/>
          <w:lang w:val="en-US" w:eastAsia="zh-CN"/>
        </w:rPr>
        <w:t>党组织活动经费2.75万元</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绩效目标：</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1）通过党组织专项资金的运用，保障处党委和所属党支部党建活动的正常开展。</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（2）订阅党报党刊，组织党员进行党性教育，警示教育，革命传统教育等</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绩效指标：</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产出指标：党组织活动的数量不少于3次；组织活动人员的参加率100%；党性教育的周期为1年；项目资金的控制额度为2.75万元。自评得分40分。</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效益指标：党员的理论素养得到显著提高，自评得分40分。</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预算执行情况：年初预算执行率实际完成100%，自评得分10分。</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满意度指标：党员对组织党建活动的满意程度达到100%，自评得分10分。</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根据项目执行情况和项目绩效情况，总得分为100分，项目综合绩效评价等级为优秀。</w:t>
      </w:r>
    </w:p>
    <w:p>
      <w:pPr>
        <w:keepNext w:val="0"/>
        <w:keepLines w:val="0"/>
        <w:pageBreakBefore w:val="0"/>
        <w:widowControl w:val="0"/>
        <w:numPr>
          <w:ilvl w:val="0"/>
          <w:numId w:val="2"/>
        </w:numPr>
        <w:kinsoku/>
        <w:wordWrap/>
        <w:overflowPunct/>
        <w:topLinePunct w:val="0"/>
        <w:autoSpaceDE/>
        <w:autoSpaceDN/>
        <w:bidi w:val="0"/>
        <w:adjustRightInd w:val="0"/>
        <w:snapToGrid w:val="0"/>
        <w:spacing w:line="560" w:lineRule="exact"/>
        <w:ind w:left="630" w:leftChars="0"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rPr>
        <w:t>业务咨询委托费（律师费）</w:t>
      </w:r>
      <w:r>
        <w:rPr>
          <w:rFonts w:hint="eastAsia" w:ascii="仿宋_GB2312" w:hAnsi="仿宋_GB2312" w:eastAsia="仿宋_GB2312" w:cs="仿宋_GB2312"/>
          <w:b w:val="0"/>
          <w:bCs/>
          <w:sz w:val="32"/>
          <w:szCs w:val="32"/>
          <w:lang w:val="en-US" w:eastAsia="zh-CN"/>
        </w:rPr>
        <w:t>5万元</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绩效目标：</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eastAsia="zh-CN"/>
        </w:rPr>
      </w:pP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1）</w:t>
      </w:r>
      <w:r>
        <w:rPr>
          <w:rFonts w:hint="eastAsia" w:ascii="仿宋_GB2312" w:hAnsi="仿宋_GB2312" w:eastAsia="仿宋_GB2312" w:cs="仿宋_GB2312"/>
          <w:b w:val="0"/>
          <w:bCs/>
          <w:sz w:val="32"/>
          <w:szCs w:val="32"/>
          <w:lang w:eastAsia="zh-CN"/>
        </w:rPr>
        <w:t>通过聘请法律顾问，解决涉及单位和行业的各种涉法问题。</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2）</w:t>
      </w:r>
      <w:r>
        <w:rPr>
          <w:rFonts w:hint="eastAsia" w:ascii="仿宋_GB2312" w:hAnsi="仿宋_GB2312" w:eastAsia="仿宋_GB2312" w:cs="仿宋_GB2312"/>
          <w:b w:val="0"/>
          <w:bCs/>
          <w:sz w:val="32"/>
          <w:szCs w:val="32"/>
          <w:lang w:eastAsia="zh-CN"/>
        </w:rPr>
        <w:t>保证各项工作符合法律规范，年内进行法律咨询20例</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绩效指标：</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产出指标：进行法律咨询服务的数量不低于20例；法律咨询工作达到合同设置的要求；法律咨询服务周期为1年；法律咨询费资金为5万元。自评得分40分。</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效益指标：通过法律咨询解决的事务占总解决事务的比率达到95%，自评得分40分。</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预算执行情况：年初预算执行率实际完成100%，自评得分10分。</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满意度指标：单位和行业人员对聘请律师的满意度达到90%以上，自评得分10分。</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根据项目执行情况和项目绩效情况，总得分为100分，项目综合绩效评价等级为优秀。</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3</w:t>
      </w:r>
      <w:r>
        <w:rPr>
          <w:rFonts w:hint="eastAsia" w:ascii="仿宋_GB2312" w:hAnsi="仿宋_GB2312" w:eastAsia="仿宋_GB2312" w:cs="仿宋_GB2312"/>
          <w:b w:val="0"/>
          <w:bCs/>
          <w:sz w:val="32"/>
          <w:szCs w:val="32"/>
        </w:rPr>
        <w:t>、</w:t>
      </w:r>
      <w:r>
        <w:rPr>
          <w:rFonts w:hint="eastAsia" w:ascii="仿宋_GB2312" w:hAnsi="仿宋_GB2312" w:eastAsia="仿宋_GB2312" w:cs="仿宋_GB2312"/>
          <w:b w:val="0"/>
          <w:bCs/>
          <w:sz w:val="32"/>
          <w:szCs w:val="32"/>
          <w:lang w:val="en-US" w:eastAsia="zh-CN"/>
        </w:rPr>
        <w:t>聘用人员劳务费用128.243332万元</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绩效目标：</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维护好劳务派遣辅助管理人员的合法权益，工资福利、养老医疗等社会保险得到保障。及时支付劳务派遣执勤人员工资及保险费用，确保该人员安心工作，并有效的保证交通运输服务保障工作稳步提升。</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绩效指标：</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产出指标：劳务派遣人员数量30人；对劳务派遣人员对所从事工作考核的合格率到达100%；派遣人员服务周期为1年；项目的资金成本为128.243332万元。自评得分39.5分。</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效益指标：各项工作能顺利开展，使机构得到正常运转，自评得分40分。</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预算执行情况：年初预算执行率实际完成95%，自评得分9.5分。</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满意度指标：所属科室对劳务派遣人员完成工作情况的满意度达到95%以上。自评得分10分。</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根据项目执行情况和项目绩效情况，总得分为99分，项目综合绩效评价等级为优秀。</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4</w:t>
      </w:r>
      <w:r>
        <w:rPr>
          <w:rFonts w:hint="eastAsia" w:ascii="仿宋_GB2312" w:hAnsi="仿宋_GB2312" w:eastAsia="仿宋_GB2312" w:cs="仿宋_GB2312"/>
          <w:b w:val="0"/>
          <w:bCs/>
          <w:sz w:val="32"/>
          <w:szCs w:val="32"/>
        </w:rPr>
        <w:t>、</w:t>
      </w:r>
      <w:r>
        <w:rPr>
          <w:rFonts w:hint="eastAsia" w:ascii="仿宋_GB2312" w:hAnsi="仿宋_GB2312" w:eastAsia="仿宋_GB2312" w:cs="仿宋_GB2312"/>
          <w:b w:val="0"/>
          <w:bCs/>
          <w:sz w:val="32"/>
          <w:szCs w:val="32"/>
          <w:lang w:val="en-US" w:eastAsia="zh-CN"/>
        </w:rPr>
        <w:t>公务用车购置12万元</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绩效目标：</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购置公务用车1辆，满足正常业务工作需要。</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绩效指标：</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产出指标：购置公务用车数量为1辆；公车的使用率为100%；公车购置的周期为1年；公车购置的成本为12万元。自评得分40分。</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效益指标：保障工作外出的每天用车，自评得分40分。</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预算执行情况：年初预算执行率实际完成100%，自评得分10分。</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满意度指标：公车使用人员的满意度达到95%，自评得分10分。</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根据项目执行情况和项目绩效情况，总得分为100分，项目综合绩效评价等级为优秀。</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5</w:t>
      </w:r>
      <w:r>
        <w:rPr>
          <w:rFonts w:hint="eastAsia" w:ascii="仿宋_GB2312" w:hAnsi="仿宋_GB2312" w:eastAsia="仿宋_GB2312" w:cs="仿宋_GB2312"/>
          <w:b w:val="0"/>
          <w:bCs/>
          <w:sz w:val="32"/>
          <w:szCs w:val="32"/>
        </w:rPr>
        <w:t>、</w:t>
      </w:r>
      <w:r>
        <w:rPr>
          <w:rFonts w:hint="eastAsia" w:ascii="仿宋_GB2312" w:hAnsi="仿宋_GB2312" w:eastAsia="仿宋_GB2312" w:cs="仿宋_GB2312"/>
          <w:b w:val="0"/>
          <w:bCs/>
          <w:sz w:val="32"/>
          <w:szCs w:val="32"/>
          <w:lang w:val="en-US" w:eastAsia="zh-CN"/>
        </w:rPr>
        <w:t>公务用车租赁费12.337万元</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绩效目标：</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提高工作效率，降低车辆维护费和人员费用；保障工作的及     时顺利完成。</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绩效指标：</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产出指标：租车的数量为3辆；公车正常使用率为100%；工作人员的安全出行率达到90%以上；租赁公车的服务周期为1年；公车租赁的成本为12.337万元。自评得分40分。</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效益指标：工作用车的次数每日最少为2次，自评得分40分。</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预算执行情况：年初预算执行率实际完成100%，自评得分10分。</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满意度指标：工作人员对租用车的满意程度达到90%以上，自评得分10分。</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根据项目执行情况和项目绩效情况，总得分为100分，项目综合绩效评价等级为优秀。</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6</w:t>
      </w:r>
      <w:r>
        <w:rPr>
          <w:rFonts w:hint="eastAsia" w:ascii="仿宋_GB2312" w:hAnsi="仿宋_GB2312" w:eastAsia="仿宋_GB2312" w:cs="仿宋_GB2312"/>
          <w:b w:val="0"/>
          <w:bCs/>
          <w:sz w:val="32"/>
          <w:szCs w:val="32"/>
        </w:rPr>
        <w:t>、</w:t>
      </w:r>
      <w:r>
        <w:rPr>
          <w:rFonts w:hint="eastAsia" w:ascii="仿宋_GB2312" w:hAnsi="仿宋_GB2312" w:eastAsia="仿宋_GB2312" w:cs="仿宋_GB2312"/>
          <w:b w:val="0"/>
          <w:bCs/>
          <w:sz w:val="32"/>
          <w:szCs w:val="32"/>
          <w:lang w:val="en-US" w:eastAsia="zh-CN"/>
        </w:rPr>
        <w:t>业务咨询委托费（保安保洁物业服务费）55.5万元</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绩效目标：</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按着实际工作人员的工作时间进度支付此费用；定期考核在岗工作人员的工作情况：包括工作完成情况和对他们满意度的调查。</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绩效指标：</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产出指标：人员在岗人数达到16人；人员在岗时间为8小时；服务周期为1年；项目的人均成本控制在3.48万元，自评得分40分。</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效益指标：办公环境的改善程度为优，自评得分40分。</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预算执行情况：年初预算执行率实际完成100%，自评得分10分。</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满意度指标：相关服务对象对物业保安保洁人员完成工作的情况的满意度达到90%以上，自评得分10分。</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根据项目执行情况和项目绩效情况，总得分为100分，项目综合绩效评价等级为优秀。</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7</w:t>
      </w:r>
      <w:r>
        <w:rPr>
          <w:rFonts w:hint="eastAsia" w:ascii="仿宋_GB2312" w:hAnsi="仿宋_GB2312" w:eastAsia="仿宋_GB2312" w:cs="仿宋_GB2312"/>
          <w:b w:val="0"/>
          <w:bCs/>
          <w:sz w:val="32"/>
          <w:szCs w:val="32"/>
        </w:rPr>
        <w:t>、</w:t>
      </w:r>
      <w:r>
        <w:rPr>
          <w:rFonts w:hint="eastAsia" w:ascii="仿宋_GB2312" w:hAnsi="仿宋_GB2312" w:eastAsia="仿宋_GB2312" w:cs="仿宋_GB2312"/>
          <w:b w:val="0"/>
          <w:bCs/>
          <w:sz w:val="32"/>
          <w:szCs w:val="32"/>
          <w:lang w:val="en-US" w:eastAsia="zh-CN"/>
        </w:rPr>
        <w:t>业务咨询委托费（统计费）4.5万元</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绩效目标：</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（1）对下属管理单位及本级企业进行工作部署和培训，做到统计培训全覆盖，加大宣传力度，提高填报质量，保证审核通过率。</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（2）对统计调查对象报送数据质量的事中事后跟踪检查</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绩效指标：</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产出指标：印刷的资料数为6350份；上报数据的回退率小于5%；统计数据上报周期性为17次；统计费支出数为4.5万元。自评得分40分。</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效益指标：涵盖了道路客运，货运及城市客运，自评得分40分。</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预算执行情况：年初预算执行率实际完成100%，自评得分10分。</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满意度指标：统计对象的满意度达到90%以上，自评得分10分。</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根据项目执行情况和项目绩效情况，总得分为100分，项目综合绩效评价等级为优秀。</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8</w:t>
      </w:r>
      <w:r>
        <w:rPr>
          <w:rFonts w:hint="eastAsia" w:ascii="仿宋_GB2312" w:hAnsi="仿宋_GB2312" w:eastAsia="仿宋_GB2312" w:cs="仿宋_GB2312"/>
          <w:b w:val="0"/>
          <w:bCs/>
          <w:sz w:val="32"/>
          <w:szCs w:val="32"/>
        </w:rPr>
        <w:t>、</w:t>
      </w:r>
      <w:r>
        <w:rPr>
          <w:rFonts w:hint="eastAsia" w:ascii="仿宋_GB2312" w:hAnsi="仿宋_GB2312" w:eastAsia="仿宋_GB2312" w:cs="仿宋_GB2312"/>
          <w:b w:val="0"/>
          <w:bCs/>
          <w:sz w:val="32"/>
          <w:szCs w:val="32"/>
          <w:lang w:val="en-US" w:eastAsia="zh-CN"/>
        </w:rPr>
        <w:t>专用设备维修费54.999712万元</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绩效目标：</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项目实施的完成情况的统计和项目维修维护后的达标情况，保障办公大楼的顺利运转，保障各项业务工作的正常开展。</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绩效指标：</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产出指标：项目的数量为6次；空调正常运转的达标率为100%；专业设备维修的及时率到达95%以上；维修费用的成本控制在55万元之内；自评得分40分。</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效益指标：保障各项业务、工作开展的情况正常进行，自评得分40分。</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预算执行情况：年初预算执行率实际完成100%，自评得分10分。</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满意度指标：单位员工对维修后的满意度达到95%以上，自评得分10分。</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根据项目执行情况和项目绩效情况，总得分为100分，项目综合绩效评价等级为优秀。</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9</w:t>
      </w:r>
      <w:r>
        <w:rPr>
          <w:rFonts w:hint="eastAsia" w:ascii="仿宋_GB2312" w:hAnsi="仿宋_GB2312" w:eastAsia="仿宋_GB2312" w:cs="仿宋_GB2312"/>
          <w:b w:val="0"/>
          <w:bCs/>
          <w:sz w:val="32"/>
          <w:szCs w:val="32"/>
        </w:rPr>
        <w:t>、</w:t>
      </w:r>
      <w:r>
        <w:rPr>
          <w:rFonts w:hint="eastAsia" w:ascii="仿宋_GB2312" w:hAnsi="仿宋_GB2312" w:eastAsia="仿宋_GB2312" w:cs="仿宋_GB2312"/>
          <w:b w:val="0"/>
          <w:bCs/>
          <w:sz w:val="32"/>
          <w:szCs w:val="32"/>
          <w:lang w:val="en-US" w:eastAsia="zh-CN"/>
        </w:rPr>
        <w:t>电梯电费3.6万元</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绩效目标：</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核算电梯的正常运行时间，工作时间电梯的利用情况；工作时间电梯运转的载人数量。</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绩效指标：</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产出指标：电梯的数量为2部；电梯的运转率到达95%以上；电梯服务周期为1年；电梯电费资金为3.6万元。自评得分40分。</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效益指标：保障电梯的正常运转，自评得分40分。</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预算执行情况：年初预算执行率实际完成100%，自评得分10分。</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满意度指标：工作人员对支付电费及时性的满意程度达到90%以上，自评得分10分。</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根据项目执行情况和项目绩效情况，总得分为100分，项目综合绩效评价等级为优秀。</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10</w:t>
      </w:r>
      <w:r>
        <w:rPr>
          <w:rFonts w:hint="eastAsia" w:ascii="仿宋_GB2312" w:hAnsi="仿宋_GB2312" w:eastAsia="仿宋_GB2312" w:cs="仿宋_GB2312"/>
          <w:b w:val="0"/>
          <w:bCs/>
          <w:sz w:val="32"/>
          <w:szCs w:val="32"/>
        </w:rPr>
        <w:t>、</w:t>
      </w:r>
      <w:r>
        <w:rPr>
          <w:rFonts w:hint="eastAsia" w:ascii="仿宋_GB2312" w:hAnsi="仿宋_GB2312" w:eastAsia="仿宋_GB2312" w:cs="仿宋_GB2312"/>
          <w:b w:val="0"/>
          <w:bCs/>
          <w:sz w:val="32"/>
          <w:szCs w:val="32"/>
          <w:lang w:val="en-US" w:eastAsia="zh-CN"/>
        </w:rPr>
        <w:t>网约车监管平台建设资金质保金28.89万元</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绩效目标：</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通过建设网约车监管平台，实现网约车企业、车辆和驾驶员信息录入，并与运政信息系统对接，实时传输更新相关信息；实时取得网约车企业上报的基础静态信息以及订单信息、经营信息、定位信息、服务质量信息等运营数据，并达到在线保存6个月的要求，实现向部、省交互平台数据报送率100%。</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绩效指标：</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产出指标：监管平台的数量为1个；验收的合格率到达100%；质保周期为1年；项目的尾款成本为28.89万元；自评得分40分。</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效益指标：提高了网约车的监管能力，自评得分40分。</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预算执行情况：年初预算执行率实际完成100%，自评得分10分。</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满意度指标：对服务对象的监管安全性提高了，自评得分10分。</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根据项目执行情况和项目绩效情况，总得分为100分，项目综合绩效评价等级为优秀。</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rPr>
        <w:t>1</w:t>
      </w:r>
      <w:r>
        <w:rPr>
          <w:rFonts w:hint="eastAsia" w:ascii="仿宋_GB2312" w:hAnsi="仿宋_GB2312" w:eastAsia="仿宋_GB2312" w:cs="仿宋_GB2312"/>
          <w:b w:val="0"/>
          <w:bCs/>
          <w:sz w:val="32"/>
          <w:szCs w:val="32"/>
          <w:lang w:val="en-US" w:eastAsia="zh-CN"/>
        </w:rPr>
        <w:t>1</w:t>
      </w:r>
      <w:r>
        <w:rPr>
          <w:rFonts w:hint="eastAsia" w:ascii="仿宋_GB2312" w:hAnsi="仿宋_GB2312" w:eastAsia="仿宋_GB2312" w:cs="仿宋_GB2312"/>
          <w:b w:val="0"/>
          <w:bCs/>
          <w:sz w:val="32"/>
          <w:szCs w:val="32"/>
        </w:rPr>
        <w:t>、</w:t>
      </w:r>
      <w:r>
        <w:rPr>
          <w:rFonts w:hint="eastAsia" w:ascii="仿宋_GB2312" w:hAnsi="仿宋_GB2312" w:eastAsia="仿宋_GB2312" w:cs="仿宋_GB2312"/>
          <w:b w:val="0"/>
          <w:bCs/>
          <w:sz w:val="32"/>
          <w:szCs w:val="32"/>
          <w:lang w:val="en-US" w:eastAsia="zh-CN"/>
        </w:rPr>
        <w:t>12328交通服务监督电话经费10.02万元</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绩效目标：</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建设12328业务系统，实现工单流转、分析、统计等功能，该系统需要对接省12328工单系统的数据。</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绩效指标：</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产出指标：数据对接的模块数量为7个；数据的准确性达到95%以上；项目资金的使用时间为1年；项目资金支出金额为10.02万元。自评得分35.6分。</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效益指标：对接数据的完善程度得到了加强，自评得分40分。</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预算执行情况：年初预算执行率实际完成100%，自评得分10分。</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满意度指标：系统用户对系统运行的满意度达到95%，自评得分10分。</w:t>
      </w:r>
    </w:p>
    <w:p>
      <w:pPr>
        <w:keepNext w:val="0"/>
        <w:keepLines w:val="0"/>
        <w:pageBreakBefore w:val="0"/>
        <w:widowControl w:val="0"/>
        <w:kinsoku/>
        <w:wordWrap/>
        <w:overflowPunct/>
        <w:topLinePunct w:val="0"/>
        <w:autoSpaceDE/>
        <w:autoSpaceDN/>
        <w:bidi w:val="0"/>
        <w:adjustRightInd w:val="0"/>
        <w:snapToGrid w:val="0"/>
        <w:spacing w:line="560" w:lineRule="exact"/>
        <w:ind w:left="8" w:leftChars="4" w:firstLine="640" w:firstLineChars="200"/>
        <w:jc w:val="left"/>
        <w:textAlignment w:val="auto"/>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lang w:val="en-US" w:eastAsia="zh-CN"/>
        </w:rPr>
        <w:t>根据项目执行情况和项目绩效情况，总得分为95.6分，项目综合绩效评价等级为优秀。</w:t>
      </w:r>
    </w:p>
    <w:p>
      <w:pPr>
        <w:pageBreakBefore w:val="0"/>
        <w:kinsoku/>
        <w:wordWrap/>
        <w:overflowPunct/>
        <w:topLinePunct w:val="0"/>
        <w:autoSpaceDE/>
        <w:autoSpaceDN/>
        <w:bidi w:val="0"/>
        <w:adjustRightInd w:val="0"/>
        <w:snapToGrid w:val="0"/>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lang w:val="en-US" w:eastAsia="zh-CN"/>
        </w:rPr>
        <w:t>（5）石家庄市三环路管护中心</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（一）2022年三环路等道路维护费</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绩效目标：</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完成日常保洁、小修保养、桥梁检查、交通安全设施维护、机电照明设施维护、绿化养护、应急抢险、大气污染防治等工作，保持路面干净整洁、无杂物、行车舒适，路肩整洁、边坡稳定、排水畅通，桥梁构造物及附属设施完好，沿线交通安全设施完善，绿化协调美观，亮化设施功能完整，构建“畅、洁、绿、美”的道路交通环境。</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绩效指标：</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做好三环主辅路及连接线长278.4984公里的道路桥梁、交通设施、路面清扫保洁抑尘、绿化、照明等养护工作；恢复设计功能（恢复率）达到90%及以上；预算执行率达到100%；周边群众满意度达到90%及以上。</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根据指标体系评分标准得100分。</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（二）关于提前下达2022年中央成品油税费改革转移支付专项资金（石环公路辅道SL91良村至西古城段改建资金）　</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绩效目标：</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完成投资2303万元；2022年9月按期完成。</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绩效指标：</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完成投资2303万元；2022年9月按期完成；工程质量合格；服务对象满意度通过调查问卷形式调查用户反馈满意度和较满意占全部用户比例的80%以上。</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根据指标体系评分标准得100分。</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（三）市三环路管护中心聘用人员劳务费用</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绩效目标：</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完成全年劳务派遣人员工资及保险费的支付。</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绩效指标：</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劳务派遣人员在岗人数13人；劳务派遣费发放率达到95%；劳务派遣人员合格率达到95%；劳务派遣服务水平提升；领导满意度达到95%以上。</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根据指标体系评分标准得98分。</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（四）三环路桥梁景观提升工程</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绩效目标：</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保质保量完成施工任务；夜景亮化效果明显、达到预期目标。</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绩效指标：</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按照规范要求，验收合格；工程竣工及时率≥90%；项目预算资金211.8947万元，执行资金202.5581万元，预算执行率为95.5%；周边群众对亮化的满意度达到90%以上。</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根据指标体系评分标准得99分。</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（五）三环路排水设施完善工程</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绩效目标：</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1、保质保量完成项目基础设施建设任务，各项设施运转正常；2、提升三环路排水设施的排水能力，雨季不积水，保障车辆正常通行；3、按时完工，保证沿线人民出行需要；达到预期效果。</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绩效指标：</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新建建筑验收合格率≥95%；已建工程良性运行；社会公众满意度达到95%以上。</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根据指标体系评分标准得99分。</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（六）三环绿化租地经费</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绩效目标：</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三环路景观绿化提升，完成绿化租地工作</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绩效指标：</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绿化成活率达到90%以上；分项工程合格率达到95%以上；2022年5月30日前完成；周边群众满意度达到90%以上。</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根据指标体系评分标准得100分。</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（七）高营大街北二环至古城东路改建工程第一期　　</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绩效目标：</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完成高营大街北二环至古城东路改建工程第一期，项目通车。</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绩效指标：</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完成分部工程数量≥5；验收合格率&gt;= 95%；项目完成时间2021年12月；服务对象满意度95%以上。</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根据指标体系评分标准得100分。</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（八）石环公路东三环辅道贯通工程</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绩效目标：</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保质保量完成施工任务，各断点全部打通，改善交通环境，实现交通微循环，使广大市民出行更加方便、快捷。</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绩效指标：</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保质保量完成施工任务；验收合格率&gt;= 95%；改善交通环境；社会公众满意度95%以上。</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根据指标体系评分标准得100分。</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（九）重型货车高速绕行标志布设资金　</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绩效目标：</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 xml:space="preserve">在绕城高速相应出口前相关路段设置提示标志，引导重型货车，提前分流绕行；优化主城区交通环境，促进省会高质量发展。 </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绩效指标：</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完成路段提示牌51个，验收合格率&gt;=85%；服务对象满意度通过调查问卷形式调查用户反馈满意度和较满意占全部用户比例的80%以上。</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根据指标体系评分标准得100分。</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（十）三环路管护中心城建项目资金　</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绩效目标：</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1、足额支付石家庄市三环路监控设施完善工程施工、监理项目质保金；</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2、足额支付石家庄市三环路限行抓拍设施安装工程施工、监理项目工程款；</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3、足额支付石家庄市三环路排水设施完善工程第二标段（箱变及外电）施工项目工程款。</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绩效指标：</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足额支付款项；完整申报项目材料；对省会经济发展起到促进作用；收款单位满意。</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根据指标体系评分标准得100分。</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（十一）办公设备购置　</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绩效目标：</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所采购商品满足日常办公需要。保障各项业务工作畅通。</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绩效指标：</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办公设备购置完成率100%，集中采购率100%；服务对象满意度100%。</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根据指标体系评分标准得100分。</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（十二）党组织活动经费　</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绩效目标：</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完成定期开展党内活动的基本要求，支部建设的要求，确保通过党课、培训等增强党性，贯彻党的基础路线和方针政策，提高党员素质和加强基层党组织建设服务。</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绩效指标：</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三环路党课完成率100%，党员活动完成率100%；党员对比提高率100%。</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根据指标体系评分标准得100分。</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（十三）业务咨询委托费（律师服务咨询费）</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绩效目标：</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通过比选选择满足需要的律师事务所，明确专职律师对全年涉法事务提供咨询服务，确保全处依法行政，依法办事。保障各项业务工作畅通。</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绩效指标：</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律师出庭率100%；服务对象普法率100%；合同审核率100%。</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根据指标体系评分标准得100分。</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（十三）业务咨询委托费（物业管理费）</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绩效目标：</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选取资质合格、服务优良、能满足办公区日常服务管理需要的物业公司，完成全年安保，卫生、维护等日常办公需求，确保办公环境整洁，公共设施完好，保障各项业务工作畅通。</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绩效指标：</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管理设备完好率100%；管理安全达标率100%；服务对象满意率100%。</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根据指标体系评分标准得100分。</w:t>
      </w:r>
    </w:p>
    <w:p>
      <w:pPr>
        <w:pStyle w:val="2"/>
        <w:keepNext w:val="0"/>
        <w:keepLines w:val="0"/>
        <w:pageBreakBefore w:val="0"/>
        <w:widowControl w:val="0"/>
        <w:kinsoku/>
        <w:wordWrap/>
        <w:overflowPunct/>
        <w:topLinePunct w:val="0"/>
        <w:autoSpaceDE/>
        <w:autoSpaceDN/>
        <w:bidi w:val="0"/>
        <w:adjustRightInd/>
        <w:snapToGrid/>
        <w:spacing w:before="0"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（6）石家庄市交通运输综合行政执法支队</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办公场所租赁费（执法大队租赁费）项目预算安排资金16.28万元，实际执行金额16.28万元，预算执行率100%，自评10分。租赁面积1485平方米，自评得分10分；业务工作完成率100%，自评得分10分；资金支付按合同约定时间及时支付，自评得分10分；三个执法大队集中办公节约行政成本，自评得分10分；租赁办公场所方便群众办理业务，提升便民服务水平，自评得分20分；租赁办公场所便于行业管理，提高办公及执法效率，自评得分20分；工作人员满意度98%，自评得分10分。根据项目执行情况和项目绩效情况，自评100分，项目综合绩效评价等级为优。</w:t>
      </w:r>
    </w:p>
    <w:p>
      <w:pPr>
        <w:pageBreakBefore w:val="0"/>
        <w:kinsoku/>
        <w:wordWrap/>
        <w:overflowPunct/>
        <w:topLinePunct w:val="0"/>
        <w:autoSpaceDE/>
        <w:autoSpaceDN/>
        <w:bidi w:val="0"/>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办公设备购置项目预算安排资金39.97万元，实际执行金额39.5745元，预算执行率99.01%，自评得分10分。购置办公设备数量216件，自评得分10分；设备质量合格率100%，自评得分10分；在预定时间之前完成采购数量，自评得分10分；办公设备成本控制在预算39.97万元内，自评得分10分。购置办公设备提高工作效率，自评得分20分；购置桌椅满足办公需求，改善办公环境，自评得分20分；经调研，工作人员满意度为100%，自评得分10分。根据项目执行情况和项目绩效情况，自评得分100，项目综合绩效评价等级为优。</w:t>
      </w:r>
    </w:p>
    <w:p>
      <w:pPr>
        <w:pageBreakBefore w:val="0"/>
        <w:kinsoku/>
        <w:wordWrap/>
        <w:overflowPunct/>
        <w:topLinePunct w:val="0"/>
        <w:autoSpaceDE/>
        <w:autoSpaceDN/>
        <w:bidi w:val="0"/>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党组织活动经费项目预算安排资金9.68万元，实际执行金额9.68万元，预算执行率100%，自评10分。党组织活动次数48次，自评得分10分，政治理论水平提升方面10分，党组织活动完成及时性10分，成本控制在预算内方面10分，预算执行率10分，党员凝聚力提升方面20分，党员干部思想政治素质提升方面20分，党员对党组织活动满意度为10分。根据项目执行情况和项目绩效情况，自评分100分，自评等级为优秀。</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公务用车租赁费预算安排资金33.48万元，实际执行金额33.4705万元，预算执行率99.97%，自评10分。租赁车辆8辆，自评得分10分；车辆完好率100%，自评得分10分；按合同约定时间2022年6月底之前及时支付租赁费，自评得分10分；项目资金控制在预算33.48万元以内，自评得分10分；车辆年检率100%，自评得分20分；租赁车辆排放标准为国五，自评得分20分；工作人员满意度98%，自评得分10分。根据项目执行情况和项目绩效情况，自评100分，项目综合绩效评价等级为优。</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文件资料印刷费（法律文书印刷）项目预算安排资金15万元，实际执行金额15万元，预算执行率100%，自评得分10分。产出指标中数量指标印制文书种类等于预期值，自评得分10分；质量达标率大于95%，自评得分10分；时效指标在预定时间之内完成，自评得分10分；成本指标文件资料印刷费项目资金控制在预算15万元以内，自评得分10分。2022年度提高了执法人员办案能力，达到执法人员考核合格标准，自评得分20分；社会效益明显，2022年度内没有发生因执法人员填写执法文书过错产生行政复议、行政诉讼，自评得分20分。工作人员满意度100%，自评得分10分。根据项目执行情况和项目绩效情况，自评得分100分，项目综合绩效评价等级为优。</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业务培训费项目预算安排资金3万元，实际执行金额3万元，预算执行率100%，自评10分。产出指标中数量指标参加培训人数大于预期值，自评10分；通过培训，使执法人员熟练掌握路政治超系统的使用和法律条款的熟练运用，自评10分；时效指标在预定时间之内完成，自评10分；成本指标每人每天培训费低于400元，自评10分。效益指标中社会影响力，2022年度内没有发生因执法人员过错产生行政复议、行政诉讼，出现败诉案件，自评20分；社会效益明显，通过路政综合执法业务培训提升和增强执法人员业务水平和服务能力，自评20分。满意度指标中，执法相对人满意度大于95%，自评10分。根据项目执行情况和项目绩效情况，自评100分，项目综合绩效评价等级为优秀。</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业务咨询委托费（法律顾问聘用费）项目预算安排资金10万元，实际执行金额10万元，预算执行率100%，自评得分10分。聘用律师人数2人，自评得分10分；解决在执法过程中出现的行政复议、行政诉讼、法律纠纷等问题，自评得分10分；在诉讼复议法定期限内解决法律问题，自评得分10分；每个律师每年聘用费5万元，自评得分10分。2022年度内减少行政相对人提出国家赔偿，自评得分10分；社会效益明显，减少执法过程中带来的负面影响，自评得分10分。 满意度指标中，工作人员满意度大于95%，自评得分10分。根据项目执行情况和项目绩效情况，自评得分100分，项目综合绩效评价等级为优。</w:t>
      </w:r>
    </w:p>
    <w:p>
      <w:pPr>
        <w:pageBreakBefore w:val="0"/>
        <w:kinsoku/>
        <w:wordWrap/>
        <w:overflowPunct/>
        <w:topLinePunct w:val="0"/>
        <w:autoSpaceDE/>
        <w:autoSpaceDN/>
        <w:bidi w:val="0"/>
        <w:snapToGrid w:val="0"/>
        <w:spacing w:line="56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业务咨询委托费（物业管理费）项目预算安排资金73。98万元，实际执行金额73.7788万元，预算执行率99.73%，自评得分10分。资金支付率100%，自评得分10分；保安保洁人员工作任务完工率100%，自评得分10分；100%，自评得分10分，自评得分10分；项目资金控制在预算73.98万元内，自评得分10分。提升后勤保障能力，自评得分20分；保障办公环境卫生整洁，办公秩序良好，自评得分20分；工作人员满意度100%，自评得分10分。根据项目执行情况和项目绩效情况，自评得分100分，项目综合绩效评价等级为优。</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专用材料购置（执法过程全纪录装备、专用服装购置）预算安排资金200万元，实际执行金额128.532636万元，预算执行率64.27%，自评得分7分。购置服装人数低于预期值，自评得分10分；服装质量合格率99%，自评得分10分；时效指标在预定时间之内完成，自评得分10分；成本指标节约政府采购资金目标，自评得分10分。效益指标中社会效益指标中按照交通部文件要求，整体提升了交通执法形象，达到了依法行政，文明执法，自评得分20分；可持续影响指标落实上级文件要求，按照交通部“四统一”文件内容精神落实，统一了执法人员服装，自评得分20分。 满意度指标中，执法相对人满意度大于95%，自评得分10分。根据项目执行情况和项目绩效情况，自评得分97分，项目综合绩效评价等级为优。</w:t>
      </w:r>
    </w:p>
    <w:p>
      <w:pPr>
        <w:pageBreakBefore w:val="0"/>
        <w:kinsoku/>
        <w:wordWrap/>
        <w:overflowPunct/>
        <w:topLinePunct w:val="0"/>
        <w:autoSpaceDE/>
        <w:autoSpaceDN/>
        <w:bidi w:val="0"/>
        <w:snapToGrid w:val="0"/>
        <w:spacing w:line="56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专用材料购置（执法装备购置）项目预算安排资金6万元，实际执行金额6万元，预算执行率100%，自评得分10分。购置执法装备数量747个，自评得分10分；执法装备质量合格率99%，自评得分10分；在规定时间之前全部完成执法装备采购，自评得分10分；水马采购成本为85元，自评得分10分。提高了执法效率，规范执法行为，严格落实法制政府建设相关内容，自评得分10分；通过购置执法装备保障执法人员在执法过程中的人身安全，自评得分10分。 满意度指标中，执法相对人满意度99%，自评得分10分。根据项目执行情况和项目绩效情况，自评得分100分，项目综合绩效评价等级为优。</w:t>
      </w:r>
    </w:p>
    <w:p>
      <w:pPr>
        <w:pageBreakBefore w:val="0"/>
        <w:kinsoku/>
        <w:wordWrap/>
        <w:overflowPunct/>
        <w:topLinePunct w:val="0"/>
        <w:autoSpaceDE/>
        <w:autoSpaceDN/>
        <w:bidi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11、包车客运标志牌、出租车监督卡制作经费项目预算安排资金20万元，实际执行金额20万元，预算执行率100%，自评得分10分。制作包车客运标志牌达到预计数量70000张；客运标志牌质量合格率质量指标达到100%；出租车监督卡租赁合格率达到99%；客运标志牌制作按时完成；出租车监督卡制作及时完成；客运标志牌单张制作成本与预期一致；产出指标自评得分39分。按照《道路旅客运输及客运站管理规定》和交通运输部的统一式样印制，按照实际需求完成向经营者发放包车客运标志牌和为市区巡游出租车配发监督卡；起到了规范运营行为的作用，提升了执法效率，效益指标自评得分40分。对客运包车公司、客运包车司机、乘客及一线执法人员进行抽样调查和意见征询汇总分析，评价得分9分。根据项目执行情况和项目绩效情况，</w:t>
      </w:r>
      <w:r>
        <w:rPr>
          <w:rFonts w:hint="eastAsia" w:ascii="仿宋_GB2312" w:hAnsi="仿宋_GB2312" w:eastAsia="仿宋_GB2312" w:cs="仿宋_GB2312"/>
          <w:bCs/>
          <w:sz w:val="32"/>
          <w:szCs w:val="32"/>
        </w:rPr>
        <w:t>预算执行情况、项目产出</w:t>
      </w:r>
      <w:r>
        <w:rPr>
          <w:rFonts w:hint="eastAsia" w:ascii="仿宋_GB2312" w:hAnsi="仿宋_GB2312" w:eastAsia="仿宋_GB2312" w:cs="仿宋_GB2312"/>
          <w:sz w:val="32"/>
          <w:szCs w:val="32"/>
        </w:rPr>
        <w:t>、</w:t>
      </w:r>
      <w:r>
        <w:rPr>
          <w:rFonts w:hint="eastAsia" w:ascii="仿宋_GB2312" w:hAnsi="仿宋_GB2312" w:eastAsia="仿宋_GB2312" w:cs="仿宋_GB2312"/>
          <w:bCs/>
          <w:sz w:val="32"/>
          <w:szCs w:val="32"/>
        </w:rPr>
        <w:t>满意度</w:t>
      </w:r>
      <w:r>
        <w:rPr>
          <w:rFonts w:hint="eastAsia" w:ascii="仿宋_GB2312" w:hAnsi="仿宋_GB2312" w:eastAsia="仿宋_GB2312" w:cs="仿宋_GB2312"/>
          <w:sz w:val="32"/>
          <w:szCs w:val="32"/>
        </w:rPr>
        <w:t>、</w:t>
      </w:r>
      <w:r>
        <w:rPr>
          <w:rFonts w:hint="eastAsia" w:ascii="仿宋_GB2312" w:hAnsi="仿宋_GB2312" w:eastAsia="仿宋_GB2312" w:cs="仿宋_GB2312"/>
          <w:bCs/>
          <w:sz w:val="32"/>
          <w:szCs w:val="32"/>
        </w:rPr>
        <w:t>项目效益</w:t>
      </w:r>
      <w:r>
        <w:rPr>
          <w:rFonts w:hint="eastAsia" w:ascii="仿宋_GB2312" w:hAnsi="仿宋_GB2312" w:eastAsia="仿宋_GB2312" w:cs="仿宋_GB2312"/>
          <w:sz w:val="32"/>
          <w:szCs w:val="32"/>
        </w:rPr>
        <w:t>总得分99分，绩效评价等级为优秀。</w:t>
      </w:r>
    </w:p>
    <w:p>
      <w:pPr>
        <w:pageBreakBefore w:val="0"/>
        <w:kinsoku/>
        <w:wordWrap/>
        <w:overflowPunct/>
        <w:topLinePunct w:val="0"/>
        <w:autoSpaceDE/>
        <w:autoSpaceDN/>
        <w:bidi w:val="0"/>
        <w:snapToGrid w:val="0"/>
        <w:spacing w:line="56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12、拆除违法非交通标志项目财政预算安排资金19.65万元，实际执行金额12.65万元，预算执行率64.38%，自评7分。数量指标拆除率100%，自评得分10分；质量指标路域环境恢复率100%，自评10分；时效指标2022年内完成拆除工作，自评得分10分；成本指标控制在预算内，自评收到10分。经济效益指标，维护路产路权，确保国有资产不受侵害，自评得分20分；保证路域环境完好，确保国有资产不受侵害，自评得分40分。可持续影响指标保证路域环境完好，公路畅通无安全隐患，自评得分20分。满意度指标，通过问卷等方式。群众满意度为98%，自评得分10分。根据项目执行情况和项目绩效情况，自评得分97分，项目综合绩效评价等级为优秀。</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13、工作场地租赁经费（从业业务大厅以及出租车考场租赁费）项目预算安排资金33.09万元，实际执行金额33.09万元，预算执行率100%。道路运输驾驶员从业资格办理补、换证38500个，出租车报名11229人，出租（包括网约、巡游）从业资格考试共8331人，完成值100%，自评得分10分。顺利完成补、换证业务，完成值100%，自评得分10分。按期支付租赁费用，于6月底前支付20万元，12月份完成支付全部33.09万元，自评得分10分。</w:t>
      </w:r>
      <w:r>
        <w:rPr>
          <w:rFonts w:hint="eastAsia" w:ascii="仿宋_GB2312" w:hAnsi="仿宋_GB2312" w:eastAsia="仿宋_GB2312" w:cs="仿宋_GB2312"/>
          <w:color w:val="000000"/>
          <w:sz w:val="32"/>
          <w:szCs w:val="32"/>
        </w:rPr>
        <w:t>从业业务大厅以及出租车考场租赁费项目</w:t>
      </w:r>
      <w:r>
        <w:rPr>
          <w:rFonts w:hint="eastAsia" w:ascii="仿宋_GB2312" w:hAnsi="仿宋_GB2312" w:eastAsia="仿宋_GB2312" w:cs="仿宋_GB2312"/>
          <w:sz w:val="32"/>
          <w:szCs w:val="32"/>
        </w:rPr>
        <w:t>成本控制在33.09万元以内，完成值100%，自评得分10分。保障了道路运输从业资格证的办证、换证、补证、诚信考核业务、出租车从业人员报名的顺利进行，保障了出租车从业人员考试的顺利进行，完成值100%，自评得分40分。道路运输从业人员满意度95%，自评得分10分。根据项目执行情况和项目绩效情况，自评100分，项目综合绩效评价等级为优。</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14、工作场地租用费（违法车辆保管费）项目预算安排资金23万元，实际执行金额23万元，预算执行率100%，自评10分。租用停车场3个，完成值100%，自评得分10分。保管完好的违法车辆数占总保管违法车辆数的比率达100%，自评得分10分。按合同约定时间及时支付，完成值100%，自评得分10分。违法车辆保管费控制在预算23万元以内，完成值100%，自评得分10分。涉案车辆妥善保管且完好无损，执法工作正常开展，完成值100%，自评得分40分。调查中满意的涉案车辆所有者数量占调查总数95%，自评得分10分。根据项目执行情况和项目绩效情况，自评得分100分，项目综合绩效评价等级为优秀。</w:t>
      </w:r>
    </w:p>
    <w:p>
      <w:pPr>
        <w:pageBreakBefore w:val="0"/>
        <w:kinsoku/>
        <w:wordWrap/>
        <w:overflowPunct/>
        <w:topLinePunct w:val="0"/>
        <w:autoSpaceDE/>
        <w:autoSpaceDN/>
        <w:bidi w:val="0"/>
        <w:snapToGrid w:val="0"/>
        <w:spacing w:line="56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15、关于提前下达2022年普通国省干线公路建设养护发展专项资金（普通公路超限检测站治超）项目预算安排资金80万元，实际执行金额80万元，预算执行率100%，自评10分。数量指标治超站个数2个，自评得分10分；质量指标治超站检测设备及治超系统完好，自评得分10分；时效指标2022年度内完成了治超站经费补助的使用，自评得分10分；成本指标治超经费补助80万元，自评得分10分。效益指标社会效益指标维护公路路产路权完整率100%，自评40分。社会公众或服务对象满意度，通过问卷等方式。满意度为98%，自评得分10分。根据项目执行情况和项目绩效情况，自评得分100分，项目综合绩效评价等级为优秀。</w:t>
      </w:r>
    </w:p>
    <w:p>
      <w:pPr>
        <w:pageBreakBefore w:val="0"/>
        <w:kinsoku/>
        <w:wordWrap/>
        <w:overflowPunct/>
        <w:topLinePunct w:val="0"/>
        <w:autoSpaceDE/>
        <w:autoSpaceDN/>
        <w:bidi w:val="0"/>
        <w:spacing w:line="560" w:lineRule="exact"/>
        <w:ind w:firstLine="640" w:firstLineChars="200"/>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16、火车站出租车待客区域保洁费用项目预算安排资金49.92万元，实际执行金额49.81万元，预算执行率99.78%，自评10分。资金支付率100%，自评得分10分；保洁人员工作任务完成率100%，自评得分10分；保洁人员按要求及时完成工作任务，自评得分10分；资金控制在预算内，自评得分10分。节约政府采购资金，自评得分20分；提升基本公共服务水平，自评得分,20分。工作人员满意度指标100%，自评得分10分。根据项目执行情况和项目绩效情况，自评得分100，项目综合绩效评价等级为优秀。</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17、市交通运输综合行政执法支队聘用人员劳务费用项目预算安排资金787.37万元。实际执行金额787.24752万元，预算执行率99.98%，自评得分10分。完成劳务派遣政府采购业务，签订派遣合同协议，人员在岗在位，及时有效保障完成三站一场等重点区域巡查监督管理辅助工作，成本控制在预算资金787.37万元内，自评得分40分。劳务派遣人员开展公路路政、道路运政、地方海事等交通运输监督管理辅助管理性工作，有效提升综合保障能力确保各项工作良好开展。保障火车站、机场、客运站、治超站、国省干线公路等客货流集散重点区域负责客货驾修市场管理和稽查巡查辅助管理工作。对客车、出租车营运秩序检查频次，促进客运市场环境，严厉打击“黑车”和“违法营运”行为，调度车辆保障运力，确保正常的流通秩序；对国省干线公路24小时巡查，确保公路安全畅通。经年度工作总结，市场调研，自评得分40分。对石家庄市交通运输综合行政执法支队辅助管理人员劳务派遣费项目所起到的作用、工作人员、工资待遇、资金拨付及时性、社会稳定、经济发展的影响是否满意。经市场调研，自评得分9分。根据项目执行情况和项目绩效情况，自评得分99分，项目综合绩效评价等级为优。</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18、田庄公路超限检测站租赁费项目预算安排资金43.62万元，实际执行金额43.62万元，预算执行率100%，自评得分10分。数量指标资金支付率100%，自评得分10分；质量指标满足办公需求，保障执法工作顺利开展，自评得分10分；时效指标资金按合同约定支付，自评得分10分；成本指标资金控制在预算内，自评得分10分。社会效益指标，治超站租赁后保证治超执法常态化，确保能够开展对违法超限超载车辆称重卸载，自评得分20分；可持续影响指标治超执法工作顺利开展，确保对违法超限超载行为的查处，保障公路完好畅通，自评得分20分。服务对象对项目实施效果满意程度（通过问卷方式）为100%,自评得分10分根据项目执行情况和项目绩效情况，自评得分100分，项目综合绩效评价等级为优秀。</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19、行政处罚培训教育经费项目预算安排资金10万元，实际执行金额10万元，预算执行率100%，自评10分。行政处罚培训教育共2092人，完成值100%，自评得分10分。培训效果良好，很好的纠正了违法行为，完成值100%，自评得分10分。违章从业人员在每周二和每周五上午9点到下午5点及时进行教育培训，完成值100%，自评得分10分。行政处罚教育培训成本控制在10万元以内，完成值100%，自评得分10分。通过行政处罚培训教育提升从业人员服务水平，促进道路运输行业有序稳定发展，完成值100%，自评得分40分。从业人员满意度95%,自评得分10分。根据项目执行情况和项目绩效情况，自评100分，项目综合绩效评价等级为优。</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应急演练费项目预算安排资金9万元，实际执行金额9万元，预算执行率100%，自评得分10分。租用车辆5辆，场地1块，完成值100%，自评得分10分；能够独立完成处置各类突发事件能力，完成值100%，自评得分10分；按规定时间2022年6月底完成应急演练，完成值100%，自评得分10分；资金控制在预算9万元，完成值100%，自评得分10分。通过开展应急演练，降低交通事故损失，完成值100%，自评得分20分；通过开展应急演练，提升急救能力，完成值100%，自评得分20分。工作人员对应急演练效果满意和较满意的人数占调查总人数的比率≧90%，完成值100%，自评得分10分。根据项目执行情况和项目绩效情况，自评得分100分，项目综合绩效评价等级为优。</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21、执法车辆购置经费项目预算安排资金72万元，实际执行金额69.6万元，预算执行率96.67%，自评得分9分。新增执法车数量6辆，自评得分10分；车辆质量合格率100%，自评得分10分；按预计时间之前及时完成政府采购，自评得分10分；执法车辆购置项目资金控制在预算72万元以内。自评得分10分。节约政府采购资金，自评得分20分。车辆购置是否保障执法业务顺利开展，自评得分20分。工作人员满意度98%，自评得分10分。根据项目执行情况和项目绩效情况，自评得分99分，项目综合绩效评价等级为优。</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22、关于下达2022年城市交通发展奖励资金（新能源出租车运营及费改税补贴资金）项目预算安排资金1958.25万元，实际执行金额1957.953104万元，预算执行率99.98%，自评得分10分。出租汽车油价补贴资金实际发放数占应发放数的比值为99.98%,自评得分9分；资金发放程序和资金使用合规到位,自评得分10分；按时完成工作,自评得分10分。油价补贴金额控制在资金分配建议范围内,自评得分10分。促进出租汽车行业稳定发展：促进出租汽车行业健康稳定发展，提高居民出行支付方便程度。自评得分38分。出租车营运企业中满意和较满意的数量占总出租车营运企业数量的90%，自评得分10分。根据项目执行情况和项目绩效情况，自评得分98分，自评等级为优秀。</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23、市交通运输综合行政执法支队劳动聘用人员增资项目预算安排资金66万元，实际执行金额66万元，预算执行率100%，自评得分10分。完成劳务派遣政府采购业务，签订派遣合同协议，人员在岗在位，及时有效保障完成三站一场等重点区域巡查监督管理辅助工作，增资成本控制在预算资金66万元内，自评得分40分。劳务派遣人员开展公路路政、道路运政、地方海事等交通运输监督管理辅助管理性工作，有效提升综合保障能力确保各项工作良好开展。保障火车站、机场、客运站、治超站、国省干线公路等客货流集散重点区域负责客货驾修市场管理和稽查巡查辅助管理工作。对客车、出租车营运秩序检查频次，促进客运市场环境，严厉打击“黑车”和“违法营运”行为，调度车辆保障运力，确保正常的流通秩序；对国省干线公路24小时巡查，确保公路安全畅通。经年度工作总结，市场调研，自评得分40分。对石家庄市交通运输综合行政执法支队辅助管理人员劳务派遣费项目所起到的作用、工作人员、工资待遇、资金拨付及时性、社会稳定、经济发展的影响是否满意。经市场调研，自评得分9分。根据项目执行情况和项目绩效情况，自评得分99分，项目综合绩效评价等级为优。</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24、关于下达2022年农村道路客运补贴资金项目预算安排资金18万元，实际执行金额18万元，预算执行率100%，自评10分。完成汽车站完成实名制查验检票闸机安装的数量2台，完成值100%，自评得分10分；已完成安装实名制查验检票闸机的验收，完成值100%，自评得分10分；及时完成项目，完成值100%，自评得分10分；项目建设所用资金18万元，完成值100%，自评得分10分。对经济发展有明显促进作用，提高省会汽车站窗口形象，保障人民出行安全便捷，完成值100%，自评得分40分。乘客满意程度100%，完成值100%，自评得分10分。根据项目执行情况和项目绩效情况，自评100分，项目综合绩效评价等级为优秀。</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25、新冠疫情防控期间道路运输应急保障费用项目预算安排资金433.60036万元，实际执行金额433.60036万元，预算执行率100%，自评10分。调度客运运输车辆95辆，完成值100%，自评得分10分；已完成疫情期间人员转运工作，完成值100%，自评得分10分；及时完成保障任务，完成值100%，自评得分10分；租赁客运车辆基础价格1500元/天，完成值100%，自评得分10分。应急转运工作车辆及时待命保障运转工作通畅，完成值100%，自评得分40分。政府对车辆保障情况满意程度100%，完成值100%，自评得分10分。根据项目执行情况和项目绩效情况，自评100分，项目综合绩效评价等级为优秀。</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26、新冠疫情防控期间应急保障车辆费用项目预算安排资金1370万元，实际执行金额1370万元，预算执行率100%，自评10分。完成运输企业数量10家，完成值100%，自评得分10分；已完成疫情期间人员转运工作，完成值100%，自评得分10分；及时完成保障任务，完成值100%，自评得分10分；租赁客运车辆基础价格1600元/天，完成值100%，自评得分10分。应急转运工作车辆及时待命保障运转工作通畅，完成值100%，自评得分40分。政府对车辆保障情况满意程度100%，完成值100%，自评得分10分。根据项目执行情况和项目绩效情况，自评100分，项目综合绩效评价等级为优秀。</w:t>
      </w:r>
    </w:p>
    <w:p>
      <w:pPr>
        <w:pageBreakBefore w:val="0"/>
        <w:kinsoku/>
        <w:wordWrap/>
        <w:overflowPunct/>
        <w:topLinePunct w:val="0"/>
        <w:autoSpaceDE/>
        <w:autoSpaceDN/>
        <w:bidi w:val="0"/>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27、出租汽车客运市场专项整治经费项目预算安排资金40万元，实际执行金额40万元，预算执行率100%，自评10分。项目产出指标：数量指标残疾人出租车改色数量，自评得分10分；质量指标完全车体外观改色，自评得分10分；时效指标及时完成车体改色，自评得分10分；成本指标为成本控制在预算40万元内，自评得分10分。项目效益指标：提升行业服务质量，自评得分40分。项目满意指标群众满意度100%，自评得分10分。根据项目执行情况和项目绩效情况，综合评价该项目自评总得分100分，项目综合绩效评价等级为优秀。</w:t>
      </w:r>
    </w:p>
    <w:p>
      <w:pPr>
        <w:pageBreakBefore w:val="0"/>
        <w:kinsoku/>
        <w:wordWrap/>
        <w:overflowPunct/>
        <w:topLinePunct w:val="0"/>
        <w:autoSpaceDE/>
        <w:autoSpaceDN/>
        <w:bidi w:val="0"/>
        <w:adjustRightInd w:val="0"/>
        <w:snapToGrid w:val="0"/>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 w:val="0"/>
          <w:bCs/>
          <w:sz w:val="32"/>
          <w:szCs w:val="32"/>
          <w:lang w:val="en-US" w:eastAsia="zh-CN"/>
        </w:rPr>
        <w:t>(7)石家庄市公路工程质量安全站</w:t>
      </w:r>
    </w:p>
    <w:p>
      <w:pPr>
        <w:pageBreakBefore w:val="0"/>
        <w:widowControl/>
        <w:kinsoku/>
        <w:wordWrap/>
        <w:overflowPunct/>
        <w:topLinePunct w:val="0"/>
        <w:autoSpaceDE/>
        <w:autoSpaceDN/>
        <w:bidi w:val="0"/>
        <w:spacing w:line="560" w:lineRule="exact"/>
        <w:ind w:firstLine="640" w:firstLineChars="200"/>
        <w:rPr>
          <w:rFonts w:hint="eastAsia" w:ascii="仿宋_GB2312" w:hAnsi="仿宋_GB2312" w:eastAsia="仿宋_GB2312" w:cs="仿宋_GB2312"/>
          <w:b w:val="0"/>
          <w:bCs/>
          <w:sz w:val="32"/>
          <w:szCs w:val="32"/>
        </w:rPr>
      </w:pPr>
      <w:r>
        <w:rPr>
          <w:rFonts w:hint="default" w:ascii="仿宋_GB2312" w:hAnsi="仿宋_GB2312" w:eastAsia="仿宋_GB2312" w:cs="仿宋_GB2312"/>
          <w:b w:val="0"/>
          <w:bCs/>
          <w:sz w:val="32"/>
          <w:szCs w:val="32"/>
          <w:lang w:val="en"/>
        </w:rPr>
        <w:t>1.</w:t>
      </w:r>
      <w:r>
        <w:rPr>
          <w:rFonts w:hint="eastAsia" w:ascii="仿宋_GB2312" w:hAnsi="仿宋_GB2312" w:eastAsia="仿宋_GB2312" w:cs="仿宋_GB2312"/>
          <w:b w:val="0"/>
          <w:bCs/>
          <w:sz w:val="32"/>
          <w:szCs w:val="32"/>
        </w:rPr>
        <w:t>质量监督检测经费</w:t>
      </w:r>
    </w:p>
    <w:p>
      <w:pPr>
        <w:pageBreakBefore w:val="0"/>
        <w:widowControl/>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绩效目标：目标１、通过项目实施，能够保障单位对受理监督的公路建设项目正常开展交工核验检测工作；目标２、通过项目实施，能够保障我单位有关业务科室完成年度农村公路质量监督检查等工作任务。</w:t>
      </w:r>
    </w:p>
    <w:p>
      <w:pPr>
        <w:pageBreakBefore w:val="0"/>
        <w:widowControl/>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产出指标(40分)</w:t>
      </w:r>
    </w:p>
    <w:p>
      <w:pPr>
        <w:pageBreakBefore w:val="0"/>
        <w:widowControl/>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数量指标１(5分)：实际实施的交工核验检测项目与总计划完成项目数的比率大于等于85％；实际完成值100%，得分5分。</w:t>
      </w:r>
    </w:p>
    <w:p>
      <w:pPr>
        <w:pageBreakBefore w:val="0"/>
        <w:widowControl/>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数量指标2（5）分：实际开展的农村公路监督检查次数与年度工作计划检查次数的比率等于100％；实际完成值100%，得分5分。</w:t>
      </w:r>
    </w:p>
    <w:p>
      <w:pPr>
        <w:pageBreakBefore w:val="0"/>
        <w:widowControl/>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质量指标（10分）：实际实施的各项质量监督检查工作完成数量占年度工作计划数量的比率大于等于90％；实际完成值100%，得分10分。</w:t>
      </w:r>
    </w:p>
    <w:p>
      <w:pPr>
        <w:pageBreakBefore w:val="0"/>
        <w:widowControl/>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成本指标（10分）：项目完成后实际支出数控制在项目预算数内小于等于307.41万元；实际完成值100%，得分10分。</w:t>
      </w:r>
    </w:p>
    <w:p>
      <w:pPr>
        <w:pageBreakBefore w:val="0"/>
        <w:widowControl/>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时效指标（10分）：检测报告提交时效满足规定要求的数量占总项目数量的比率大于等于95％；实际完成值100%，得分10分。</w:t>
      </w:r>
    </w:p>
    <w:p>
      <w:pPr>
        <w:pageBreakBefore w:val="0"/>
        <w:widowControl/>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效益指标（40分）</w:t>
      </w:r>
    </w:p>
    <w:p>
      <w:pPr>
        <w:pageBreakBefore w:val="0"/>
        <w:widowControl/>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社会效益指标（40分）：保障公路项目能够依法合规的完成质量监督和竣工验收工作，促进公路工程质量提升；实际完成值100%，得分40分。</w:t>
      </w:r>
    </w:p>
    <w:p>
      <w:pPr>
        <w:pageBreakBefore w:val="0"/>
        <w:widowControl/>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满意度指标（10分）：服务对象满意度，调查中反馈满意和较满意人数占总调查对象的的比率大于等于90%；实际完成值100%，得分10分。</w:t>
      </w:r>
    </w:p>
    <w:p>
      <w:pPr>
        <w:pageBreakBefore w:val="0"/>
        <w:widowControl/>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预算执行率指标（7分）：本项目按照年初预算安排大部分完成，部分费用由于个别工程停工的原因未支付；实际完成值89%，得分7分。</w:t>
      </w:r>
    </w:p>
    <w:p>
      <w:pPr>
        <w:pageBreakBefore w:val="0"/>
        <w:widowControl/>
        <w:kinsoku/>
        <w:wordWrap/>
        <w:overflowPunct/>
        <w:topLinePunct w:val="0"/>
        <w:autoSpaceDE/>
        <w:autoSpaceDN/>
        <w:bidi w:val="0"/>
        <w:spacing w:line="560" w:lineRule="exact"/>
        <w:ind w:firstLine="640" w:firstLineChars="200"/>
        <w:rPr>
          <w:rFonts w:hint="default" w:ascii="仿宋_GB2312" w:hAnsi="仿宋_GB2312" w:eastAsia="仿宋_GB2312" w:cs="仿宋_GB2312"/>
          <w:b w:val="0"/>
          <w:bCs/>
          <w:sz w:val="32"/>
          <w:szCs w:val="32"/>
          <w:lang w:val="en"/>
        </w:rPr>
      </w:pPr>
      <w:r>
        <w:rPr>
          <w:rFonts w:hint="default" w:ascii="仿宋_GB2312" w:hAnsi="仿宋_GB2312" w:eastAsia="仿宋_GB2312" w:cs="仿宋_GB2312"/>
          <w:b w:val="0"/>
          <w:bCs/>
          <w:sz w:val="32"/>
          <w:szCs w:val="32"/>
          <w:lang w:val="en"/>
        </w:rPr>
        <w:t>2.</w:t>
      </w:r>
      <w:r>
        <w:rPr>
          <w:rFonts w:hint="eastAsia" w:ascii="仿宋_GB2312" w:hAnsi="仿宋_GB2312" w:eastAsia="仿宋_GB2312" w:cs="仿宋_GB2312"/>
          <w:b w:val="0"/>
          <w:bCs/>
          <w:sz w:val="32"/>
          <w:szCs w:val="32"/>
        </w:rPr>
        <w:t>党组织活动经费</w:t>
      </w:r>
    </w:p>
    <w:p>
      <w:pPr>
        <w:pageBreakBefore w:val="0"/>
        <w:widowControl/>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绩效目标：目标１、通过开展党建活动，活跃党员文化生活，提高党员凝聚力；目标２、通过参观学习爱国主义教育基地，传承爱国主义精神。</w:t>
      </w:r>
    </w:p>
    <w:p>
      <w:pPr>
        <w:pageBreakBefore w:val="0"/>
        <w:widowControl/>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产出指标（40分）</w:t>
      </w:r>
    </w:p>
    <w:p>
      <w:pPr>
        <w:pageBreakBefore w:val="0"/>
        <w:widowControl/>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数量指标（10分）：每次参加活动的党员人数占全体党员人数的百分比大于等于85%；实际完成值100%，得分10分。</w:t>
      </w:r>
    </w:p>
    <w:p>
      <w:pPr>
        <w:pageBreakBefore w:val="0"/>
        <w:widowControl/>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质量指标（10分）：年度参与党组织活动人数占全体人数的百分比大于等于90%；实际完成值100%，得分10分。</w:t>
      </w:r>
    </w:p>
    <w:p>
      <w:pPr>
        <w:pageBreakBefore w:val="0"/>
        <w:widowControl/>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时效指标（10分）：党组织活动是否及时按工作计划完成；实际完成值100%，得分10分。</w:t>
      </w:r>
    </w:p>
    <w:p>
      <w:pPr>
        <w:pageBreakBefore w:val="0"/>
        <w:widowControl/>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成本指标（10分）：项目实际支出数额控制在预算批复数额内小于等于1.14万元；实际完成值100%，得分10分。</w:t>
      </w:r>
    </w:p>
    <w:p>
      <w:pPr>
        <w:pageBreakBefore w:val="0"/>
        <w:widowControl/>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效益指标（40分）</w:t>
      </w:r>
    </w:p>
    <w:p>
      <w:pPr>
        <w:pageBreakBefore w:val="0"/>
        <w:widowControl/>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社会效益指标（40分）：党建活动的组织对党员凝聚力的提升情况；实际完成值100%，得分40分。</w:t>
      </w:r>
    </w:p>
    <w:p>
      <w:pPr>
        <w:pageBreakBefore w:val="0"/>
        <w:widowControl/>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满意度指标（10分）：服务对象满意度，参加活动的党员反馈满意和较满意人数占全体参加调查的党员人数的百分比大于等于90％；实际完成值100%，得分10分。</w:t>
      </w:r>
    </w:p>
    <w:p>
      <w:pPr>
        <w:pageBreakBefore w:val="0"/>
        <w:widowControl/>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预算执行率指标（10分）：本项目严格按照年初预算安排完成了该项目，并取得了较好的成效；实际完成值100%，得分10分。</w:t>
      </w:r>
    </w:p>
    <w:p>
      <w:pPr>
        <w:pageBreakBefore w:val="0"/>
        <w:widowControl/>
        <w:kinsoku/>
        <w:wordWrap/>
        <w:overflowPunct/>
        <w:topLinePunct w:val="0"/>
        <w:autoSpaceDE/>
        <w:autoSpaceDN/>
        <w:bidi w:val="0"/>
        <w:spacing w:line="560" w:lineRule="exact"/>
        <w:ind w:firstLine="640" w:firstLineChars="200"/>
        <w:rPr>
          <w:rFonts w:hint="eastAsia" w:ascii="仿宋_GB2312" w:hAnsi="仿宋_GB2312" w:eastAsia="仿宋_GB2312" w:cs="仿宋_GB2312"/>
          <w:b w:val="0"/>
          <w:bCs/>
          <w:sz w:val="32"/>
          <w:szCs w:val="32"/>
        </w:rPr>
      </w:pPr>
      <w:r>
        <w:rPr>
          <w:rFonts w:hint="default" w:ascii="仿宋_GB2312" w:hAnsi="仿宋_GB2312" w:eastAsia="仿宋_GB2312" w:cs="仿宋_GB2312"/>
          <w:b w:val="0"/>
          <w:bCs/>
          <w:sz w:val="32"/>
          <w:szCs w:val="32"/>
          <w:lang w:val="en"/>
        </w:rPr>
        <w:t>3.</w:t>
      </w:r>
      <w:r>
        <w:rPr>
          <w:rFonts w:hint="eastAsia" w:ascii="仿宋_GB2312" w:hAnsi="仿宋_GB2312" w:eastAsia="仿宋_GB2312" w:cs="仿宋_GB2312"/>
          <w:b w:val="0"/>
          <w:bCs/>
          <w:sz w:val="32"/>
          <w:szCs w:val="32"/>
        </w:rPr>
        <w:t>专用设备维修费</w:t>
      </w:r>
    </w:p>
    <w:p>
      <w:pPr>
        <w:pageBreakBefore w:val="0"/>
        <w:widowControl/>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绩效目标：目标１、通过对设备的维修与标定，保障各项仪器设备能够正常准确的使用，及时完成各项质量监督任务；目标２、通过对设备的维修与标定，设备使用完好率不小于75%，并能够出具准确的数据。</w:t>
      </w:r>
    </w:p>
    <w:p>
      <w:pPr>
        <w:pageBreakBefore w:val="0"/>
        <w:widowControl/>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产出指标（30分）</w:t>
      </w:r>
    </w:p>
    <w:p>
      <w:pPr>
        <w:pageBreakBefore w:val="0"/>
        <w:widowControl/>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数量指标（10分）：全年完成计量校准的设备数占总设备数量的比率大于等于90％；实际完成值100%，得分10分。</w:t>
      </w:r>
    </w:p>
    <w:p>
      <w:pPr>
        <w:pageBreakBefore w:val="0"/>
        <w:widowControl/>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质量指标（10分）：年度未出现故障的设备数量占总设备数量的比率大于等于75%；实际完成值100%，得分10分。</w:t>
      </w:r>
    </w:p>
    <w:p>
      <w:pPr>
        <w:pageBreakBefore w:val="0"/>
        <w:widowControl/>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时效指标（0分）：有记录的巡查维修到场次数占按规定巡查维修到场次数的比率大于等于90％；实际完成值0%，得分0分。</w:t>
      </w:r>
    </w:p>
    <w:p>
      <w:pPr>
        <w:pageBreakBefore w:val="0"/>
        <w:widowControl/>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成本指标（10分）：项目实际支出控制在年度预算批复数额内小于等于20万元；实际完成值100%，得分10分。</w:t>
      </w:r>
    </w:p>
    <w:p>
      <w:pPr>
        <w:pageBreakBefore w:val="0"/>
        <w:widowControl/>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效益指标（40分）</w:t>
      </w:r>
    </w:p>
    <w:p>
      <w:pPr>
        <w:pageBreakBefore w:val="0"/>
        <w:widowControl/>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社会效益指标（40分）：专用设备的正常运转出具准确数据提升了监督检查工作的效率。实际完成值100%，得分40分。</w:t>
      </w:r>
    </w:p>
    <w:p>
      <w:pPr>
        <w:pageBreakBefore w:val="0"/>
        <w:widowControl/>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满意度指标（10分）：服务对象满意度，参与调查的设备操作员反馈满意和较满意的人数占参与调查人数的比率大于等于90％；实际完成值100%，得分10分。</w:t>
      </w:r>
    </w:p>
    <w:p>
      <w:pPr>
        <w:pageBreakBefore w:val="0"/>
        <w:widowControl/>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预算执行率指标（0分）：本项目未按照年初预算安排的绩效目标完成；实际完成值0%，得分0分。</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四、评价结论和评价等级</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根据部门职责定位和各项工作履职情况进行综合评价，</w:t>
      </w:r>
      <w:r>
        <w:rPr>
          <w:rFonts w:hint="eastAsia" w:ascii="仿宋_GB2312" w:hAnsi="仿宋_GB2312" w:eastAsia="仿宋_GB2312" w:cs="仿宋_GB2312"/>
          <w:sz w:val="32"/>
          <w:szCs w:val="32"/>
          <w:lang w:val="en-US" w:eastAsia="zh-CN"/>
        </w:rPr>
        <w:t>2022年专项项目绩效自评得分为97</w:t>
      </w:r>
      <w:r>
        <w:rPr>
          <w:rFonts w:hint="eastAsia" w:ascii="仿宋_GB2312" w:hAnsi="仿宋_GB2312" w:eastAsia="仿宋_GB2312" w:cs="仿宋_GB2312"/>
          <w:sz w:val="32"/>
          <w:szCs w:val="32"/>
        </w:rPr>
        <w:t>分，综合绩效评价等级</w:t>
      </w:r>
      <w:r>
        <w:rPr>
          <w:rFonts w:hint="eastAsia" w:ascii="仿宋_GB2312" w:hAnsi="仿宋_GB2312" w:eastAsia="仿宋_GB2312" w:cs="仿宋_GB2312"/>
          <w:sz w:val="32"/>
          <w:szCs w:val="32"/>
          <w:lang w:eastAsia="zh-CN"/>
        </w:rPr>
        <w:t>为优秀</w:t>
      </w:r>
      <w:r>
        <w:rPr>
          <w:rFonts w:hint="eastAsia" w:ascii="仿宋_GB2312" w:hAnsi="仿宋_GB2312" w:eastAsia="仿宋_GB2312" w:cs="仿宋_GB2312"/>
          <w:sz w:val="32"/>
          <w:szCs w:val="32"/>
        </w:rPr>
        <w:t>。</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五、存在的问题及改进措施</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（一）存在的主要问题</w:t>
      </w:r>
    </w:p>
    <w:p>
      <w:pPr>
        <w:pageBreakBefore w:val="0"/>
        <w:kinsoku/>
        <w:wordWrap/>
        <w:overflowPunct/>
        <w:topLinePunct w:val="0"/>
        <w:autoSpaceDE/>
        <w:autoSpaceDN/>
        <w:bidi w:val="0"/>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通过绩效自评结果对比年初绩效目标设定情况看，年初设定的绩效目标整体清晰准确，绩效指标全面完整、科学合理，绩效标准恰当适宜、易于评价。但是在部分指标设定应结合项目实际情况区别设定分数，依据不同的建设时期设定指标。</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sz w:val="32"/>
          <w:szCs w:val="32"/>
        </w:rPr>
        <w:t>关于下达2021年度河北省农村客运补贴和城市交通发展奖励资金项目初期，部分司机和车主存在补贴资金分配协议的合同纠纷，导致补贴资金无法正常发放。经过出租汽车公司和管理部门多次调解，最终均达成一致。目前，补贴资金资金全部正常发放完毕。</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sz w:val="32"/>
          <w:szCs w:val="32"/>
        </w:rPr>
        <w:t>质量监督管理工作中的检测经费存在问题：由于个别工程处于停工状态，部分检测经费未支出。</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（二）针对问题提出具体的改进措施或建议</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针对绩效目标实现程度低的项目，下一步加强工程监管，积极协调地方事务，加快工程招标、建设、财政评审及资金支付工作，争取年底前完成全部绩效指标。</w:t>
      </w:r>
    </w:p>
    <w:p>
      <w:pPr>
        <w:pageBreakBefore w:val="0"/>
        <w:kinsoku/>
        <w:wordWrap/>
        <w:overflowPunct/>
        <w:topLinePunct w:val="0"/>
        <w:autoSpaceDE/>
        <w:autoSpaceDN/>
        <w:bidi w:val="0"/>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通过对专项资金项目的绩效评价，我们要严格按照年初设定的绩效指标，积极开展工作，按照上级关于绩效评价相关规定，逐项进行评价，针对评价过程及评价中存在的问题，进行认真总结，加强沟通协调，提高财政资金使用效率。</w:t>
      </w:r>
    </w:p>
    <w:p>
      <w:pPr>
        <w:pageBreakBefore w:val="0"/>
        <w:kinsoku/>
        <w:wordWrap/>
        <w:overflowPunct/>
        <w:topLinePunct w:val="0"/>
        <w:autoSpaceDE/>
        <w:autoSpaceDN/>
        <w:bidi w:val="0"/>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建议组织相关部门人员统一进行培训，提高绩效评价报告的编报水平。同时规范阶段性评价项目指标、完善新改建、大中修之外的其他项目评价指标，以期合理对这类项目进行评价</w:t>
      </w:r>
      <w:r>
        <w:rPr>
          <w:rFonts w:hint="eastAsia" w:ascii="仿宋_GB2312" w:hAnsi="仿宋_GB2312" w:eastAsia="仿宋_GB2312" w:cs="仿宋_GB2312"/>
          <w:sz w:val="32"/>
          <w:szCs w:val="32"/>
          <w:lang w:eastAsia="zh-CN"/>
        </w:rPr>
        <w:t>。</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提高政治站位，加强责任法律意识</w:t>
      </w:r>
      <w:r>
        <w:rPr>
          <w:rFonts w:hint="eastAsia" w:ascii="仿宋_GB2312" w:hAnsi="仿宋_GB2312" w:eastAsia="仿宋_GB2312" w:cs="仿宋_GB2312"/>
          <w:sz w:val="32"/>
          <w:szCs w:val="32"/>
        </w:rPr>
        <w:t>，确保补贴资金合同签订真实、有效。</w:t>
      </w:r>
      <w:r>
        <w:rPr>
          <w:rFonts w:hint="eastAsia" w:ascii="仿宋_GB2312" w:hAnsi="仿宋_GB2312" w:eastAsia="仿宋_GB2312" w:cs="仿宋_GB2312"/>
          <w:sz w:val="32"/>
          <w:szCs w:val="32"/>
          <w:lang w:eastAsia="zh-CN"/>
        </w:rPr>
        <w:t>同时</w:t>
      </w:r>
      <w:r>
        <w:rPr>
          <w:rFonts w:hint="eastAsia" w:ascii="仿宋_GB2312" w:hAnsi="仿宋_GB2312" w:eastAsia="仿宋_GB2312" w:cs="仿宋_GB2312"/>
          <w:sz w:val="32"/>
          <w:szCs w:val="32"/>
        </w:rPr>
        <w:t>提前了解车主和司机的情况，发现问题及时解决</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协调无果的，为了不耽误补贴资金发放，建议通过法律程序解决。</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bCs/>
          <w:sz w:val="32"/>
          <w:szCs w:val="32"/>
        </w:rPr>
        <w:t>合理设置绩效目标，突出预算编制环节绩效导向，从源头上提高预算编制的科学性和精准性，做好2023年预算项目绩效目标管理</w:t>
      </w:r>
      <w:r>
        <w:rPr>
          <w:rFonts w:hint="eastAsia" w:ascii="仿宋_GB2312" w:hAnsi="仿宋_GB2312" w:eastAsia="仿宋_GB2312" w:cs="仿宋_GB2312"/>
          <w:bCs/>
          <w:sz w:val="32"/>
          <w:szCs w:val="32"/>
          <w:lang w:eastAsia="zh-CN"/>
        </w:rPr>
        <w:t>，同时</w:t>
      </w:r>
      <w:r>
        <w:rPr>
          <w:rFonts w:hint="eastAsia" w:ascii="仿宋_GB2312" w:hAnsi="仿宋_GB2312" w:eastAsia="仿宋_GB2312" w:cs="仿宋_GB2312"/>
          <w:bCs/>
          <w:sz w:val="32"/>
          <w:szCs w:val="32"/>
        </w:rPr>
        <w:t>强化评价结果应用，逐步形成反馈、整改、提升绩效的良性循环。</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黑体" w:hAnsi="黑体" w:eastAsia="黑体"/>
          <w:sz w:val="32"/>
          <w:szCs w:val="32"/>
        </w:rPr>
        <w:t>六、评价工作组人员名单</w:t>
      </w:r>
    </w:p>
    <w:p>
      <w:pPr>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赵秀平</w:t>
      </w:r>
      <w:r>
        <w:rPr>
          <w:rFonts w:ascii="仿宋_GB2312" w:eastAsia="仿宋_GB2312"/>
          <w:sz w:val="32"/>
          <w:szCs w:val="32"/>
        </w:rPr>
        <w:t xml:space="preserve">    </w:t>
      </w:r>
      <w:r>
        <w:rPr>
          <w:rFonts w:hint="eastAsia" w:ascii="仿宋_GB2312" w:eastAsia="仿宋_GB2312"/>
          <w:sz w:val="32"/>
          <w:szCs w:val="32"/>
        </w:rPr>
        <w:t>财务科科长</w:t>
      </w:r>
    </w:p>
    <w:p>
      <w:pPr>
        <w:ind w:firstLine="640" w:firstLineChars="200"/>
        <w:jc w:val="left"/>
        <w:rPr>
          <w:rFonts w:hint="default" w:ascii="仿宋_GB2312" w:eastAsia="仿宋_GB2312"/>
          <w:sz w:val="32"/>
          <w:szCs w:val="32"/>
          <w:lang w:val="en-US" w:eastAsia="zh-CN"/>
        </w:rPr>
      </w:pPr>
      <w:r>
        <w:rPr>
          <w:rFonts w:hint="eastAsia" w:ascii="仿宋_GB2312" w:eastAsia="仿宋_GB2312"/>
          <w:sz w:val="32"/>
          <w:szCs w:val="32"/>
          <w:lang w:eastAsia="zh-CN"/>
        </w:rPr>
        <w:t>陈</w:t>
      </w:r>
      <w:r>
        <w:rPr>
          <w:rFonts w:hint="eastAsia" w:ascii="仿宋_GB2312" w:eastAsia="仿宋_GB2312"/>
          <w:sz w:val="32"/>
          <w:szCs w:val="32"/>
          <w:lang w:val="en-US" w:eastAsia="zh-CN"/>
        </w:rPr>
        <w:t xml:space="preserve">  </w:t>
      </w:r>
      <w:r>
        <w:rPr>
          <w:rFonts w:hint="eastAsia" w:ascii="仿宋_GB2312" w:eastAsia="仿宋_GB2312"/>
          <w:sz w:val="32"/>
          <w:szCs w:val="32"/>
          <w:lang w:eastAsia="zh-CN"/>
        </w:rPr>
        <w:t>召</w:t>
      </w:r>
      <w:r>
        <w:rPr>
          <w:rFonts w:hint="eastAsia" w:ascii="仿宋_GB2312" w:eastAsia="仿宋_GB2312"/>
          <w:sz w:val="32"/>
          <w:szCs w:val="32"/>
          <w:lang w:val="en-US" w:eastAsia="zh-CN"/>
        </w:rPr>
        <w:t xml:space="preserve">    办公室主任</w:t>
      </w:r>
    </w:p>
    <w:p>
      <w:pPr>
        <w:pageBreakBefore w:val="0"/>
        <w:widowControl w:val="0"/>
        <w:kinsoku/>
        <w:wordWrap/>
        <w:overflowPunct/>
        <w:topLinePunct w:val="0"/>
        <w:autoSpaceDE/>
        <w:autoSpaceDN/>
        <w:bidi w:val="0"/>
        <w:adjustRightInd/>
        <w:snapToGrid/>
        <w:ind w:firstLine="640" w:firstLineChars="200"/>
        <w:jc w:val="left"/>
        <w:textAlignment w:val="auto"/>
        <w:rPr>
          <w:rFonts w:ascii="仿宋_GB2312" w:eastAsia="仿宋_GB2312"/>
          <w:sz w:val="32"/>
          <w:szCs w:val="32"/>
        </w:rPr>
      </w:pPr>
      <w:r>
        <w:rPr>
          <w:rFonts w:hint="eastAsia" w:ascii="仿宋_GB2312" w:eastAsia="仿宋_GB2312"/>
          <w:sz w:val="32"/>
          <w:szCs w:val="32"/>
        </w:rPr>
        <w:t>梁晓程</w:t>
      </w:r>
      <w:r>
        <w:rPr>
          <w:rFonts w:ascii="仿宋_GB2312" w:eastAsia="仿宋_GB2312"/>
          <w:sz w:val="32"/>
          <w:szCs w:val="32"/>
        </w:rPr>
        <w:t xml:space="preserve">    </w:t>
      </w:r>
      <w:r>
        <w:rPr>
          <w:rFonts w:hint="eastAsia" w:ascii="仿宋_GB2312" w:eastAsia="仿宋_GB2312"/>
          <w:sz w:val="32"/>
          <w:szCs w:val="32"/>
        </w:rPr>
        <w:t>综合规划科科长</w:t>
      </w:r>
    </w:p>
    <w:p>
      <w:pPr>
        <w:pageBreakBefore w:val="0"/>
        <w:widowControl w:val="0"/>
        <w:kinsoku/>
        <w:wordWrap/>
        <w:overflowPunct/>
        <w:topLinePunct w:val="0"/>
        <w:autoSpaceDE/>
        <w:autoSpaceDN/>
        <w:bidi w:val="0"/>
        <w:adjustRightInd/>
        <w:snapToGrid/>
        <w:ind w:firstLine="640" w:firstLineChars="200"/>
        <w:textAlignment w:val="auto"/>
        <w:rPr>
          <w:rFonts w:ascii="仿宋_GB2312" w:eastAsia="仿宋_GB2312"/>
          <w:sz w:val="32"/>
          <w:szCs w:val="32"/>
        </w:rPr>
      </w:pPr>
      <w:r>
        <w:rPr>
          <w:rFonts w:hint="eastAsia" w:ascii="仿宋_GB2312" w:eastAsia="仿宋_GB2312"/>
          <w:sz w:val="32"/>
          <w:szCs w:val="32"/>
        </w:rPr>
        <w:t>曹丽卿</w:t>
      </w:r>
      <w:r>
        <w:rPr>
          <w:rFonts w:ascii="仿宋_GB2312" w:eastAsia="仿宋_GB2312"/>
          <w:sz w:val="32"/>
          <w:szCs w:val="32"/>
        </w:rPr>
        <w:t xml:space="preserve">    </w:t>
      </w:r>
      <w:r>
        <w:rPr>
          <w:rFonts w:hint="eastAsia" w:ascii="仿宋_GB2312" w:eastAsia="仿宋_GB2312"/>
          <w:sz w:val="32"/>
          <w:szCs w:val="32"/>
        </w:rPr>
        <w:t>人事科科长</w:t>
      </w:r>
    </w:p>
    <w:p>
      <w:pPr>
        <w:pageBreakBefore w:val="0"/>
        <w:widowControl w:val="0"/>
        <w:kinsoku/>
        <w:wordWrap/>
        <w:overflowPunct/>
        <w:topLinePunct w:val="0"/>
        <w:autoSpaceDE/>
        <w:autoSpaceDN/>
        <w:bidi w:val="0"/>
        <w:adjustRightInd/>
        <w:snapToGrid/>
        <w:ind w:firstLine="640" w:firstLineChars="200"/>
        <w:textAlignment w:val="auto"/>
        <w:rPr>
          <w:rFonts w:ascii="仿宋_GB2312" w:eastAsia="仿宋_GB2312"/>
          <w:sz w:val="32"/>
          <w:szCs w:val="32"/>
        </w:rPr>
      </w:pPr>
      <w:r>
        <w:rPr>
          <w:rFonts w:hint="eastAsia" w:ascii="仿宋_GB2312" w:eastAsia="仿宋_GB2312"/>
          <w:sz w:val="32"/>
          <w:szCs w:val="32"/>
        </w:rPr>
        <w:t>许艳波</w:t>
      </w:r>
      <w:r>
        <w:rPr>
          <w:rFonts w:ascii="仿宋_GB2312" w:eastAsia="仿宋_GB2312"/>
          <w:sz w:val="32"/>
          <w:szCs w:val="32"/>
        </w:rPr>
        <w:t xml:space="preserve">    </w:t>
      </w:r>
      <w:r>
        <w:rPr>
          <w:rFonts w:hint="eastAsia" w:ascii="仿宋_GB2312" w:eastAsia="仿宋_GB2312"/>
          <w:sz w:val="32"/>
          <w:szCs w:val="32"/>
        </w:rPr>
        <w:t>运输科科长</w:t>
      </w:r>
    </w:p>
    <w:p>
      <w:pPr>
        <w:pageBreakBefore w:val="0"/>
        <w:widowControl w:val="0"/>
        <w:kinsoku/>
        <w:wordWrap/>
        <w:overflowPunct/>
        <w:topLinePunct w:val="0"/>
        <w:autoSpaceDE/>
        <w:autoSpaceDN/>
        <w:bidi w:val="0"/>
        <w:adjustRightInd/>
        <w:snapToGrid/>
        <w:ind w:firstLine="640" w:firstLineChars="200"/>
        <w:textAlignment w:val="auto"/>
        <w:rPr>
          <w:rFonts w:ascii="仿宋_GB2312" w:eastAsia="仿宋_GB2312"/>
          <w:sz w:val="32"/>
          <w:szCs w:val="32"/>
        </w:rPr>
      </w:pPr>
      <w:r>
        <w:rPr>
          <w:rFonts w:hint="eastAsia" w:ascii="仿宋_GB2312" w:eastAsia="仿宋_GB2312"/>
          <w:sz w:val="32"/>
          <w:szCs w:val="32"/>
        </w:rPr>
        <w:t xml:space="preserve">孙 </w:t>
      </w:r>
      <w:r>
        <w:rPr>
          <w:rFonts w:ascii="仿宋_GB2312" w:eastAsia="仿宋_GB2312"/>
          <w:sz w:val="32"/>
          <w:szCs w:val="32"/>
        </w:rPr>
        <w:t xml:space="preserve"> </w:t>
      </w:r>
      <w:r>
        <w:rPr>
          <w:rFonts w:hint="eastAsia" w:ascii="仿宋_GB2312" w:eastAsia="仿宋_GB2312"/>
          <w:sz w:val="32"/>
          <w:szCs w:val="32"/>
        </w:rPr>
        <w:t>鹏</w:t>
      </w:r>
      <w:r>
        <w:rPr>
          <w:rFonts w:ascii="仿宋_GB2312" w:eastAsia="仿宋_GB2312"/>
          <w:sz w:val="32"/>
          <w:szCs w:val="32"/>
        </w:rPr>
        <w:t xml:space="preserve">    </w:t>
      </w:r>
      <w:r>
        <w:rPr>
          <w:rFonts w:hint="eastAsia" w:ascii="仿宋_GB2312" w:eastAsia="仿宋_GB2312"/>
          <w:sz w:val="32"/>
          <w:szCs w:val="32"/>
        </w:rPr>
        <w:t>政策法规科科长</w:t>
      </w:r>
    </w:p>
    <w:p>
      <w:pPr>
        <w:pageBreakBefore w:val="0"/>
        <w:widowControl w:val="0"/>
        <w:kinsoku/>
        <w:wordWrap/>
        <w:overflowPunct/>
        <w:topLinePunct w:val="0"/>
        <w:autoSpaceDE/>
        <w:autoSpaceDN/>
        <w:bidi w:val="0"/>
        <w:adjustRightInd/>
        <w:snapToGrid/>
        <w:ind w:firstLine="640" w:firstLineChars="200"/>
        <w:textAlignment w:val="auto"/>
        <w:rPr>
          <w:rFonts w:ascii="仿宋_GB2312" w:eastAsia="仿宋_GB2312"/>
          <w:sz w:val="32"/>
          <w:szCs w:val="32"/>
        </w:rPr>
      </w:pPr>
      <w:r>
        <w:rPr>
          <w:rFonts w:hint="eastAsia" w:ascii="仿宋_GB2312" w:eastAsia="仿宋_GB2312"/>
          <w:sz w:val="32"/>
          <w:szCs w:val="32"/>
          <w:lang w:eastAsia="zh-CN"/>
        </w:rPr>
        <w:t>张</w:t>
      </w:r>
      <w:r>
        <w:rPr>
          <w:rFonts w:hint="eastAsia" w:ascii="仿宋_GB2312" w:eastAsia="仿宋_GB2312"/>
          <w:sz w:val="32"/>
          <w:szCs w:val="32"/>
          <w:lang w:val="en-US" w:eastAsia="zh-CN"/>
        </w:rPr>
        <w:t xml:space="preserve">  </w:t>
      </w:r>
      <w:r>
        <w:rPr>
          <w:rFonts w:hint="eastAsia" w:ascii="仿宋_GB2312" w:eastAsia="仿宋_GB2312"/>
          <w:sz w:val="32"/>
          <w:szCs w:val="32"/>
          <w:lang w:eastAsia="zh-CN"/>
        </w:rPr>
        <w:t>莉</w:t>
      </w:r>
      <w:r>
        <w:rPr>
          <w:rFonts w:ascii="仿宋_GB2312" w:eastAsia="仿宋_GB2312"/>
          <w:sz w:val="32"/>
          <w:szCs w:val="32"/>
        </w:rPr>
        <w:t xml:space="preserve">    </w:t>
      </w:r>
      <w:r>
        <w:rPr>
          <w:rFonts w:hint="eastAsia" w:ascii="仿宋_GB2312" w:eastAsia="仿宋_GB2312"/>
          <w:sz w:val="32"/>
          <w:szCs w:val="32"/>
        </w:rPr>
        <w:t>科技信息科科长</w:t>
      </w:r>
    </w:p>
    <w:p>
      <w:pPr>
        <w:pageBreakBefore w:val="0"/>
        <w:widowControl w:val="0"/>
        <w:kinsoku/>
        <w:wordWrap/>
        <w:overflowPunct/>
        <w:topLinePunct w:val="0"/>
        <w:autoSpaceDE/>
        <w:autoSpaceDN/>
        <w:bidi w:val="0"/>
        <w:adjustRightInd/>
        <w:snapToGrid/>
        <w:ind w:firstLine="640" w:firstLineChars="200"/>
        <w:textAlignment w:val="auto"/>
        <w:rPr>
          <w:rFonts w:ascii="仿宋_GB2312" w:eastAsia="仿宋_GB2312"/>
          <w:sz w:val="32"/>
          <w:szCs w:val="32"/>
        </w:rPr>
      </w:pPr>
      <w:r>
        <w:rPr>
          <w:rFonts w:hint="eastAsia" w:ascii="仿宋_GB2312" w:eastAsia="仿宋_GB2312"/>
          <w:sz w:val="32"/>
          <w:szCs w:val="32"/>
          <w:lang w:eastAsia="zh-CN"/>
        </w:rPr>
        <w:t>张</w:t>
      </w:r>
      <w:r>
        <w:rPr>
          <w:rFonts w:hint="eastAsia" w:ascii="仿宋_GB2312" w:eastAsia="仿宋_GB2312"/>
          <w:sz w:val="32"/>
          <w:szCs w:val="32"/>
          <w:lang w:val="en-US" w:eastAsia="zh-CN"/>
        </w:rPr>
        <w:t xml:space="preserve">  </w:t>
      </w:r>
      <w:r>
        <w:rPr>
          <w:rFonts w:hint="eastAsia" w:ascii="仿宋_GB2312" w:eastAsia="仿宋_GB2312"/>
          <w:sz w:val="32"/>
          <w:szCs w:val="32"/>
          <w:lang w:eastAsia="zh-CN"/>
        </w:rPr>
        <w:t>彬</w:t>
      </w:r>
      <w:r>
        <w:rPr>
          <w:rFonts w:ascii="仿宋_GB2312" w:eastAsia="仿宋_GB2312"/>
          <w:sz w:val="32"/>
          <w:szCs w:val="32"/>
        </w:rPr>
        <w:t xml:space="preserve">    </w:t>
      </w:r>
      <w:r>
        <w:rPr>
          <w:rFonts w:hint="eastAsia" w:ascii="仿宋_GB2312" w:eastAsia="仿宋_GB2312"/>
          <w:sz w:val="32"/>
          <w:szCs w:val="32"/>
        </w:rPr>
        <w:t>基建管理科科长</w:t>
      </w:r>
    </w:p>
    <w:p>
      <w:pPr>
        <w:pageBreakBefore w:val="0"/>
        <w:widowControl w:val="0"/>
        <w:kinsoku/>
        <w:wordWrap/>
        <w:overflowPunct/>
        <w:topLinePunct w:val="0"/>
        <w:autoSpaceDE/>
        <w:autoSpaceDN/>
        <w:bidi w:val="0"/>
        <w:adjustRightInd/>
        <w:snapToGrid/>
        <w:ind w:firstLine="640" w:firstLineChars="200"/>
        <w:textAlignment w:val="auto"/>
        <w:rPr>
          <w:rFonts w:hint="default" w:ascii="仿宋_GB2312" w:eastAsia="仿宋_GB2312"/>
          <w:sz w:val="32"/>
          <w:szCs w:val="32"/>
          <w:highlight w:val="yellow"/>
          <w:lang w:val="en-US" w:eastAsia="zh-CN"/>
        </w:rPr>
      </w:pPr>
      <w:r>
        <w:rPr>
          <w:rFonts w:hint="eastAsia" w:ascii="仿宋_GB2312" w:eastAsia="仿宋_GB2312"/>
          <w:sz w:val="32"/>
          <w:szCs w:val="32"/>
          <w:highlight w:val="none"/>
          <w:lang w:eastAsia="zh-CN"/>
        </w:rPr>
        <w:t>郭清政</w:t>
      </w:r>
      <w:r>
        <w:rPr>
          <w:rFonts w:hint="eastAsia" w:ascii="仿宋_GB2312" w:eastAsia="仿宋_GB2312"/>
          <w:sz w:val="32"/>
          <w:szCs w:val="32"/>
          <w:highlight w:val="none"/>
          <w:lang w:val="en-US" w:eastAsia="zh-CN"/>
        </w:rPr>
        <w:t xml:space="preserve">    审计科科长</w:t>
      </w:r>
    </w:p>
    <w:p>
      <w:pPr>
        <w:pageBreakBefore w:val="0"/>
        <w:widowControl w:val="0"/>
        <w:kinsoku/>
        <w:wordWrap/>
        <w:overflowPunct/>
        <w:topLinePunct w:val="0"/>
        <w:autoSpaceDE/>
        <w:autoSpaceDN/>
        <w:bidi w:val="0"/>
        <w:adjustRightInd/>
        <w:snapToGrid/>
        <w:ind w:firstLine="640" w:firstLineChars="200"/>
        <w:textAlignment w:val="auto"/>
        <w:rPr>
          <w:rFonts w:ascii="仿宋_GB2312" w:eastAsia="仿宋_GB2312"/>
          <w:sz w:val="32"/>
          <w:szCs w:val="32"/>
          <w:highlight w:val="none"/>
        </w:rPr>
      </w:pPr>
      <w:r>
        <w:rPr>
          <w:rFonts w:hint="eastAsia" w:ascii="仿宋_GB2312" w:eastAsia="仿宋_GB2312"/>
          <w:sz w:val="32"/>
          <w:szCs w:val="32"/>
          <w:highlight w:val="none"/>
          <w:lang w:eastAsia="zh-CN"/>
        </w:rPr>
        <w:t>金泽民</w:t>
      </w:r>
      <w:r>
        <w:rPr>
          <w:rFonts w:ascii="仿宋_GB2312" w:eastAsia="仿宋_GB2312"/>
          <w:sz w:val="32"/>
          <w:szCs w:val="32"/>
          <w:highlight w:val="none"/>
        </w:rPr>
        <w:t xml:space="preserve">    </w:t>
      </w:r>
      <w:r>
        <w:rPr>
          <w:rFonts w:hint="eastAsia" w:ascii="仿宋_GB2312" w:eastAsia="仿宋_GB2312"/>
          <w:sz w:val="32"/>
          <w:szCs w:val="32"/>
          <w:highlight w:val="none"/>
        </w:rPr>
        <w:t>安全生产监管管理科科长</w:t>
      </w:r>
    </w:p>
    <w:p>
      <w:pPr>
        <w:pageBreakBefore w:val="0"/>
        <w:widowControl w:val="0"/>
        <w:kinsoku/>
        <w:wordWrap/>
        <w:overflowPunct/>
        <w:topLinePunct w:val="0"/>
        <w:autoSpaceDE/>
        <w:autoSpaceDN/>
        <w:bidi w:val="0"/>
        <w:adjustRightInd/>
        <w:snapToGrid/>
        <w:ind w:firstLine="640" w:firstLineChars="200"/>
        <w:textAlignment w:val="auto"/>
        <w:rPr>
          <w:rFonts w:hint="default" w:ascii="仿宋_GB2312" w:eastAsia="仿宋_GB2312"/>
          <w:sz w:val="32"/>
          <w:szCs w:val="32"/>
          <w:highlight w:val="none"/>
          <w:lang w:val="en-US" w:eastAsia="zh-CN"/>
        </w:rPr>
      </w:pPr>
      <w:r>
        <w:rPr>
          <w:rFonts w:hint="eastAsia" w:ascii="仿宋_GB2312" w:eastAsia="仿宋_GB2312"/>
          <w:sz w:val="32"/>
          <w:szCs w:val="32"/>
          <w:highlight w:val="none"/>
          <w:lang w:eastAsia="zh-CN"/>
        </w:rPr>
        <w:t>杨锡龙</w:t>
      </w:r>
      <w:r>
        <w:rPr>
          <w:rFonts w:hint="eastAsia" w:ascii="仿宋_GB2312" w:eastAsia="仿宋_GB2312"/>
          <w:sz w:val="32"/>
          <w:szCs w:val="32"/>
          <w:highlight w:val="none"/>
          <w:lang w:val="en-US" w:eastAsia="zh-CN"/>
        </w:rPr>
        <w:t xml:space="preserve">    高速公路管理科科长</w:t>
      </w:r>
    </w:p>
    <w:p>
      <w:pPr>
        <w:pageBreakBefore w:val="0"/>
        <w:widowControl w:val="0"/>
        <w:kinsoku/>
        <w:wordWrap/>
        <w:overflowPunct/>
        <w:topLinePunct w:val="0"/>
        <w:autoSpaceDE/>
        <w:autoSpaceDN/>
        <w:bidi w:val="0"/>
        <w:adjustRightInd/>
        <w:snapToGrid/>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eastAsia="zh-CN"/>
        </w:rPr>
        <w:t>马运锁</w:t>
      </w:r>
      <w:r>
        <w:rPr>
          <w:rFonts w:hint="eastAsia" w:ascii="仿宋_GB2312" w:eastAsia="仿宋_GB2312"/>
          <w:sz w:val="32"/>
          <w:szCs w:val="32"/>
          <w:lang w:val="en-US" w:eastAsia="zh-CN"/>
        </w:rPr>
        <w:t xml:space="preserve">    铁路民航协调科科长</w:t>
      </w:r>
    </w:p>
    <w:p>
      <w:pPr>
        <w:pStyle w:val="2"/>
        <w:keepNext/>
        <w:keepLines/>
        <w:pageBreakBefore w:val="0"/>
        <w:widowControl w:val="0"/>
        <w:kinsoku/>
        <w:wordWrap/>
        <w:overflowPunct/>
        <w:topLinePunct w:val="0"/>
        <w:autoSpaceDE/>
        <w:autoSpaceDN/>
        <w:bidi w:val="0"/>
        <w:adjustRightInd/>
        <w:snapToGrid/>
        <w:spacing w:before="0" w:line="413" w:lineRule="auto"/>
        <w:textAlignment w:val="auto"/>
        <w:rPr>
          <w:rFonts w:hint="default" w:ascii="仿宋_GB2312" w:hAnsi="Calibri" w:eastAsia="仿宋_GB2312" w:cs="黑体"/>
          <w:b w:val="0"/>
          <w:kern w:val="2"/>
          <w:sz w:val="32"/>
          <w:szCs w:val="32"/>
          <w:highlight w:val="none"/>
          <w:lang w:val="en-US" w:eastAsia="zh-CN" w:bidi="ar-SA"/>
        </w:rPr>
      </w:pPr>
      <w:r>
        <w:rPr>
          <w:rFonts w:hint="eastAsia" w:ascii="仿宋_GB2312" w:eastAsia="仿宋_GB2312"/>
          <w:sz w:val="32"/>
          <w:szCs w:val="32"/>
          <w:lang w:val="en-US" w:eastAsia="zh-CN"/>
        </w:rPr>
        <w:t xml:space="preserve"> </w:t>
      </w:r>
      <w:r>
        <w:rPr>
          <w:rFonts w:hint="eastAsia" w:ascii="仿宋_GB2312" w:hAnsi="Calibri" w:eastAsia="仿宋_GB2312" w:cs="黑体"/>
          <w:b w:val="0"/>
          <w:kern w:val="2"/>
          <w:sz w:val="32"/>
          <w:szCs w:val="32"/>
          <w:highlight w:val="none"/>
          <w:lang w:val="en-US" w:eastAsia="zh-CN" w:bidi="ar-SA"/>
        </w:rPr>
        <w:t xml:space="preserve">   由慧文    财务科科员</w:t>
      </w:r>
    </w:p>
    <w:p>
      <w:pPr>
        <w:rPr>
          <w:rFonts w:hint="eastAsia" w:ascii="仿宋_GB2312" w:hAnsi="仿宋_GB2312" w:eastAsia="仿宋_GB2312" w:cs="仿宋_GB2312"/>
          <w:sz w:val="32"/>
          <w:szCs w:val="32"/>
        </w:rPr>
      </w:pPr>
    </w:p>
    <w:p>
      <w:pPr>
        <w:pStyle w:val="2"/>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b w:val="0"/>
          <w:bCs/>
          <w:sz w:val="32"/>
          <w:szCs w:val="32"/>
          <w:lang w:val="en-US" w:eastAsia="zh-CN"/>
        </w:rPr>
        <w:t>石家庄市交通运输局</w:t>
      </w:r>
    </w:p>
    <w:p>
      <w:pPr>
        <w:rPr>
          <w:rFonts w:hint="default"/>
          <w:lang w:val="en-US" w:eastAsia="zh-CN"/>
        </w:rPr>
      </w:pPr>
      <w:r>
        <w:rPr>
          <w:rFonts w:hint="eastAsia" w:ascii="仿宋_GB2312" w:hAnsi="仿宋_GB2312" w:eastAsia="仿宋_GB2312" w:cs="仿宋_GB2312"/>
          <w:sz w:val="32"/>
          <w:szCs w:val="32"/>
          <w:lang w:val="en-US" w:eastAsia="zh-CN"/>
        </w:rPr>
        <w:t xml:space="preserve">                                   2023年4月20日</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roman"/>
    <w:pitch w:val="default"/>
    <w:sig w:usb0="A00002BF" w:usb1="38CF7CFA" w:usb2="00082016" w:usb3="00000000" w:csb0="00040001"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5106BA8"/>
    <w:multiLevelType w:val="singleLevel"/>
    <w:tmpl w:val="95106BA8"/>
    <w:lvl w:ilvl="0" w:tentative="0">
      <w:start w:val="2"/>
      <w:numFmt w:val="decimal"/>
      <w:suff w:val="nothing"/>
      <w:lvlText w:val="%1、"/>
      <w:lvlJc w:val="left"/>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WJkNTVjOTE4NjIzYWU4ZDczYzEwMDQzNzFiZWQ3OTk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CC86796"/>
    <w:rsid w:val="0EB97A43"/>
    <w:rsid w:val="0EBD2122"/>
    <w:rsid w:val="0F214EAE"/>
    <w:rsid w:val="11B71E6A"/>
    <w:rsid w:val="1AAF0063"/>
    <w:rsid w:val="1BE140DE"/>
    <w:rsid w:val="248C197D"/>
    <w:rsid w:val="252959AF"/>
    <w:rsid w:val="277A6671"/>
    <w:rsid w:val="292D35B7"/>
    <w:rsid w:val="33EB6CFF"/>
    <w:rsid w:val="35A12947"/>
    <w:rsid w:val="37387040"/>
    <w:rsid w:val="3A7C4E08"/>
    <w:rsid w:val="3B625C0A"/>
    <w:rsid w:val="3CEE1963"/>
    <w:rsid w:val="4C9C27FE"/>
    <w:rsid w:val="512260B4"/>
    <w:rsid w:val="52BD6ACB"/>
    <w:rsid w:val="52DB31AB"/>
    <w:rsid w:val="55537534"/>
    <w:rsid w:val="561A74F1"/>
    <w:rsid w:val="56EBF7E0"/>
    <w:rsid w:val="597244E8"/>
    <w:rsid w:val="5EB71C30"/>
    <w:rsid w:val="66AF0CE5"/>
    <w:rsid w:val="6AC537CF"/>
    <w:rsid w:val="6E5B14A6"/>
    <w:rsid w:val="711B255E"/>
    <w:rsid w:val="7BB51E06"/>
    <w:rsid w:val="7C387F7C"/>
    <w:rsid w:val="7EF3407F"/>
    <w:rsid w:val="7FE83423"/>
    <w:rsid w:val="FF7FE48B"/>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2">
    <w:name w:val="heading 2"/>
    <w:basedOn w:val="1"/>
    <w:next w:val="1"/>
    <w:qFormat/>
    <w:uiPriority w:val="0"/>
    <w:pPr>
      <w:keepNext/>
      <w:keepLines/>
      <w:spacing w:before="260" w:line="413" w:lineRule="auto"/>
      <w:outlineLvl w:val="1"/>
    </w:pPr>
    <w:rPr>
      <w:rFonts w:ascii="Arial" w:hAnsi="Arial" w:eastAsia="黑体"/>
      <w:b/>
      <w:sz w:val="32"/>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5">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customStyle="1" w:styleId="8">
    <w:name w:val="插入文本样式-插入总体目标文件"/>
    <w:basedOn w:val="1"/>
    <w:qFormat/>
    <w:uiPriority w:val="0"/>
    <w:pPr>
      <w:spacing w:line="500" w:lineRule="exact"/>
      <w:ind w:firstLine="560"/>
    </w:pPr>
    <w:rPr>
      <w:rFonts w:eastAsia="方正仿宋_GBK"/>
      <w:sz w:val="28"/>
    </w:rPr>
  </w:style>
  <w:style w:type="paragraph" w:customStyle="1" w:styleId="9">
    <w:name w:val="插入文本样式-插入职责分类绩效目标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602</Words>
  <Characters>619</Characters>
  <Lines>4</Lines>
  <Paragraphs>1</Paragraphs>
  <TotalTime>16</TotalTime>
  <ScaleCrop>false</ScaleCrop>
  <LinksUpToDate>false</LinksUpToDate>
  <CharactersWithSpaces>641</CharactersWithSpaces>
  <Application>WPS Office_11.8.2.12085_F1E327BC-269C-435d-A152-05C5408002CA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2020-02-05T03:46:00Z</dcterms:created>
  <dc:creator>欣欣大人</dc:creator>
  <cp:lastModifiedBy>Administrator</cp:lastModifiedBy>
  <cp:lastPrinted>2023-04-20T14:55:00Z</cp:lastPrinted>
  <dcterms:modified xsi:type="dcterms:W3CDTF">2025-05-22T07:30:37Z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2052-11.8.2.12085</vt:lpwstr>
  </property>
  <property fmtid="{D5CDD505-2E9C-101B-9397-08002B2CF9AE}" pid="3" name="ICV">
    <vt:lpwstr>192724FD5D954C209A069D91364551C7</vt:lpwstr>
  </property>
</Properties>
</file>