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outlineLvl w:val="9"/>
        <w:rPr>
          <w:rFonts w:ascii="宋体" w:hAnsi="宋体" w:cs="宋体"/>
          <w:b/>
          <w:bCs/>
          <w:sz w:val="44"/>
          <w:szCs w:val="44"/>
        </w:rPr>
      </w:pPr>
    </w:p>
    <w:p>
      <w:pPr>
        <w:spacing w:line="360" w:lineRule="auto"/>
        <w:jc w:val="center"/>
        <w:outlineLvl w:val="9"/>
        <w:rPr>
          <w:rFonts w:hint="eastAsia" w:ascii="方正小标宋简体" w:eastAsia="方正小标宋简体"/>
          <w:sz w:val="44"/>
          <w:szCs w:val="44"/>
        </w:rPr>
      </w:pPr>
    </w:p>
    <w:p>
      <w:pPr>
        <w:spacing w:line="560" w:lineRule="exact"/>
        <w:jc w:val="center"/>
        <w:outlineLvl w:val="9"/>
        <w:rPr>
          <w:rFonts w:hint="eastAsia" w:ascii="宋体" w:hAnsi="宋体" w:eastAsia="宋体" w:cs="宋体"/>
          <w:b/>
          <w:bCs/>
          <w:sz w:val="44"/>
          <w:szCs w:val="44"/>
          <w:lang w:eastAsia="zh-CN"/>
        </w:rPr>
      </w:pPr>
    </w:p>
    <w:p>
      <w:pPr>
        <w:spacing w:line="360" w:lineRule="auto"/>
        <w:ind w:firstLine="0" w:firstLineChars="0"/>
        <w:jc w:val="center"/>
        <w:outlineLvl w:val="0"/>
        <w:rPr>
          <w:rFonts w:hint="eastAsia" w:ascii="方正小标宋简体" w:hAnsi="Calibri" w:eastAsia="方正小标宋简体" w:cs="黑体"/>
          <w:sz w:val="44"/>
          <w:szCs w:val="44"/>
          <w:lang w:eastAsia="zh-CN"/>
        </w:rPr>
      </w:pPr>
      <w:r>
        <w:rPr>
          <w:rFonts w:hint="eastAsia" w:ascii="方正小标宋简体" w:hAnsi="Calibri" w:eastAsia="方正小标宋简体" w:cs="黑体"/>
          <w:sz w:val="44"/>
          <w:szCs w:val="44"/>
          <w:lang w:eastAsia="zh-CN"/>
        </w:rPr>
        <w:t>石家庄市地方金融监督管理局</w:t>
      </w:r>
    </w:p>
    <w:p>
      <w:pPr>
        <w:spacing w:line="360" w:lineRule="auto"/>
        <w:ind w:firstLine="0" w:firstLineChars="0"/>
        <w:jc w:val="center"/>
        <w:outlineLvl w:val="0"/>
        <w:rPr>
          <w:rFonts w:hint="eastAsia" w:ascii="方正小标宋简体" w:hAnsi="Calibri" w:eastAsia="方正小标宋简体" w:cs="黑体"/>
          <w:sz w:val="44"/>
          <w:szCs w:val="44"/>
          <w:lang w:eastAsia="zh-CN"/>
        </w:rPr>
      </w:pPr>
      <w:r>
        <w:rPr>
          <w:rFonts w:hint="eastAsia" w:ascii="方正小标宋简体" w:hAnsi="Calibri" w:eastAsia="方正小标宋简体" w:cs="黑体"/>
          <w:sz w:val="44"/>
          <w:szCs w:val="44"/>
          <w:lang w:eastAsia="zh-CN"/>
        </w:rPr>
        <w:t>202</w:t>
      </w:r>
      <w:r>
        <w:rPr>
          <w:rFonts w:hint="eastAsia" w:ascii="方正小标宋简体" w:hAnsi="Calibri" w:eastAsia="方正小标宋简体" w:cs="黑体"/>
          <w:sz w:val="44"/>
          <w:szCs w:val="44"/>
          <w:lang w:val="en-US" w:eastAsia="zh-CN"/>
        </w:rPr>
        <w:t>2</w:t>
      </w:r>
      <w:r>
        <w:rPr>
          <w:rFonts w:hint="eastAsia" w:ascii="方正小标宋简体" w:hAnsi="Calibri" w:eastAsia="方正小标宋简体" w:cs="黑体"/>
          <w:sz w:val="44"/>
          <w:szCs w:val="44"/>
          <w:lang w:eastAsia="zh-CN"/>
        </w:rPr>
        <w:t>年度整体支出绩效自评报告</w:t>
      </w:r>
    </w:p>
    <w:p>
      <w:pPr>
        <w:spacing w:line="360" w:lineRule="auto"/>
        <w:ind w:firstLine="0" w:firstLineChars="0"/>
        <w:jc w:val="center"/>
        <w:outlineLvl w:val="0"/>
        <w:rPr>
          <w:rFonts w:ascii="方正小标宋简体" w:eastAsia="方正小标宋简体"/>
          <w:sz w:val="44"/>
          <w:szCs w:val="44"/>
        </w:rPr>
      </w:pPr>
    </w:p>
    <w:p>
      <w:pPr>
        <w:spacing w:line="360" w:lineRule="auto"/>
        <w:jc w:val="center"/>
        <w:outlineLvl w:val="9"/>
        <w:rPr>
          <w:rFonts w:ascii="方正小标宋简体" w:eastAsia="方正小标宋简体"/>
          <w:sz w:val="44"/>
          <w:szCs w:val="44"/>
        </w:rPr>
      </w:pPr>
    </w:p>
    <w:p>
      <w:pPr>
        <w:spacing w:line="360" w:lineRule="auto"/>
        <w:jc w:val="center"/>
        <w:outlineLvl w:val="9"/>
        <w:rPr>
          <w:rFonts w:ascii="方正小标宋简体" w:eastAsia="方正小标宋简体"/>
          <w:sz w:val="44"/>
          <w:szCs w:val="44"/>
        </w:rPr>
      </w:pPr>
    </w:p>
    <w:p>
      <w:pPr>
        <w:spacing w:line="360" w:lineRule="auto"/>
        <w:jc w:val="center"/>
        <w:outlineLvl w:val="9"/>
        <w:rPr>
          <w:rFonts w:ascii="方正小标宋简体" w:eastAsia="方正小标宋简体"/>
          <w:sz w:val="44"/>
          <w:szCs w:val="44"/>
        </w:rPr>
      </w:pPr>
    </w:p>
    <w:p>
      <w:pPr>
        <w:spacing w:line="360" w:lineRule="auto"/>
        <w:jc w:val="center"/>
        <w:outlineLvl w:val="9"/>
        <w:rPr>
          <w:rFonts w:ascii="方正小标宋简体" w:eastAsia="方正小标宋简体"/>
          <w:sz w:val="44"/>
          <w:szCs w:val="44"/>
        </w:rPr>
      </w:pPr>
    </w:p>
    <w:p>
      <w:pPr>
        <w:pStyle w:val="12"/>
        <w:outlineLvl w:val="9"/>
        <w:rPr>
          <w:rFonts w:ascii="仿宋_GB2312" w:hAnsi="Calibri" w:eastAsia="仿宋_GB2312"/>
          <w:b/>
          <w:bCs w:val="0"/>
          <w:kern w:val="2"/>
          <w:lang w:val="zh-CN"/>
        </w:rPr>
      </w:pPr>
      <w:bookmarkStart w:id="0" w:name="_Toc493694284"/>
      <w:bookmarkStart w:id="1" w:name="_Toc491442033"/>
      <w:bookmarkStart w:id="2" w:name="_Toc16174"/>
      <w:bookmarkStart w:id="3" w:name="_Toc11709"/>
      <w:bookmarkStart w:id="4" w:name="_Toc490646852"/>
      <w:bookmarkStart w:id="5" w:name="_Toc29521"/>
      <w:bookmarkStart w:id="6" w:name="_Toc10437"/>
      <w:bookmarkStart w:id="7" w:name="_Toc493260688"/>
      <w:bookmarkStart w:id="8" w:name="_Toc27629"/>
      <w:bookmarkStart w:id="9" w:name="_Toc19745"/>
      <w:bookmarkStart w:id="10" w:name="_Toc32076"/>
      <w:bookmarkStart w:id="11" w:name="_Toc493260892"/>
      <w:bookmarkStart w:id="12" w:name="_Toc14801"/>
      <w:bookmarkStart w:id="13" w:name="_Toc493260783"/>
    </w:p>
    <w:p>
      <w:pPr>
        <w:pStyle w:val="12"/>
        <w:outlineLvl w:val="9"/>
        <w:rPr>
          <w:rFonts w:ascii="仿宋_GB2312" w:hAnsi="Calibri" w:eastAsia="仿宋_GB2312"/>
          <w:b/>
          <w:bCs w:val="0"/>
          <w:kern w:val="2"/>
          <w:lang w:val="zh-CN"/>
        </w:rPr>
      </w:pPr>
    </w:p>
    <w:p>
      <w:pPr>
        <w:pStyle w:val="12"/>
        <w:jc w:val="both"/>
        <w:outlineLvl w:val="9"/>
        <w:rPr>
          <w:rFonts w:ascii="仿宋_GB2312" w:hAnsi="Calibri" w:eastAsia="仿宋_GB2312"/>
          <w:b/>
          <w:bCs w:val="0"/>
          <w:kern w:val="2"/>
          <w:lang w:val="zh-CN"/>
        </w:rPr>
      </w:pPr>
    </w:p>
    <w:p>
      <w:pPr>
        <w:spacing w:line="360" w:lineRule="auto"/>
        <w:ind w:firstLine="0" w:firstLineChars="0"/>
        <w:jc w:val="center"/>
        <w:outlineLvl w:val="0"/>
        <w:rPr>
          <w:rFonts w:hint="eastAsia" w:ascii="仿宋" w:hAnsi="仿宋" w:eastAsia="仿宋" w:cs="仿宋"/>
          <w:b/>
          <w:bCs w:val="0"/>
          <w:kern w:val="2"/>
          <w:sz w:val="32"/>
          <w:szCs w:val="32"/>
          <w:lang w:val="zh-CN"/>
        </w:rPr>
      </w:pPr>
      <w:r>
        <w:rPr>
          <w:rFonts w:hint="eastAsia" w:ascii="仿宋" w:hAnsi="仿宋" w:eastAsia="仿宋" w:cs="仿宋"/>
          <w:sz w:val="32"/>
          <w:szCs w:val="32"/>
          <w:lang w:eastAsia="zh-CN"/>
        </w:rPr>
        <w:t>石家庄市地方金融监督管理局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jc w:val="center"/>
        <w:textAlignment w:val="auto"/>
        <w:outlineLvl w:val="9"/>
        <w:rPr>
          <w:rFonts w:hint="eastAsia" w:ascii="仿宋" w:hAnsi="仿宋" w:eastAsia="仿宋" w:cs="仿宋"/>
          <w:b w:val="0"/>
          <w:bCs w:val="0"/>
          <w:sz w:val="32"/>
          <w:szCs w:val="32"/>
          <w:lang w:val="zh-CN" w:eastAsia="zh-CN"/>
        </w:rPr>
      </w:pPr>
      <w:r>
        <w:rPr>
          <w:rFonts w:hint="eastAsia" w:ascii="仿宋" w:hAnsi="仿宋" w:eastAsia="仿宋" w:cs="仿宋"/>
          <w:b w:val="0"/>
          <w:bCs w:val="0"/>
          <w:sz w:val="32"/>
          <w:szCs w:val="32"/>
          <w:lang w:val="zh-CN" w:eastAsia="zh-CN"/>
        </w:rPr>
        <w:t>202</w:t>
      </w:r>
      <w:r>
        <w:rPr>
          <w:rFonts w:hint="eastAsia" w:ascii="仿宋" w:hAnsi="仿宋" w:eastAsia="仿宋" w:cs="仿宋"/>
          <w:b w:val="0"/>
          <w:bCs w:val="0"/>
          <w:sz w:val="32"/>
          <w:szCs w:val="32"/>
          <w:lang w:val="en-US" w:eastAsia="zh-CN"/>
        </w:rPr>
        <w:t>3</w:t>
      </w:r>
      <w:r>
        <w:rPr>
          <w:rFonts w:hint="eastAsia" w:ascii="仿宋" w:hAnsi="仿宋" w:eastAsia="仿宋" w:cs="仿宋"/>
          <w:b w:val="0"/>
          <w:bCs w:val="0"/>
          <w:sz w:val="32"/>
          <w:szCs w:val="32"/>
          <w:lang w:val="zh-CN" w:eastAsia="zh-CN"/>
        </w:rPr>
        <w:t>年</w:t>
      </w:r>
      <w:r>
        <w:rPr>
          <w:rFonts w:hint="eastAsia" w:ascii="仿宋" w:hAnsi="仿宋" w:eastAsia="仿宋" w:cs="仿宋"/>
          <w:b w:val="0"/>
          <w:bCs w:val="0"/>
          <w:sz w:val="32"/>
          <w:szCs w:val="32"/>
          <w:lang w:val="en-US" w:eastAsia="zh-CN"/>
        </w:rPr>
        <w:t>4</w:t>
      </w:r>
      <w:r>
        <w:rPr>
          <w:rFonts w:hint="eastAsia" w:ascii="仿宋" w:hAnsi="仿宋" w:eastAsia="仿宋" w:cs="仿宋"/>
          <w:b w:val="0"/>
          <w:bCs w:val="0"/>
          <w:sz w:val="32"/>
          <w:szCs w:val="32"/>
          <w:lang w:val="zh-CN" w:eastAsia="zh-CN"/>
        </w:rPr>
        <w:t>月</w:t>
      </w:r>
      <w:bookmarkEnd w:id="0"/>
      <w:bookmarkEnd w:id="1"/>
      <w:bookmarkEnd w:id="2"/>
      <w:bookmarkEnd w:id="3"/>
      <w:bookmarkEnd w:id="4"/>
      <w:bookmarkEnd w:id="5"/>
      <w:bookmarkEnd w:id="6"/>
      <w:bookmarkEnd w:id="7"/>
      <w:bookmarkEnd w:id="8"/>
      <w:bookmarkEnd w:id="9"/>
      <w:bookmarkEnd w:id="10"/>
      <w:bookmarkEnd w:id="11"/>
      <w:bookmarkEnd w:id="12"/>
      <w:bookmarkEnd w:id="13"/>
    </w:p>
    <w:p>
      <w:pPr>
        <w:tabs>
          <w:tab w:val="left" w:pos="2207"/>
        </w:tabs>
        <w:snapToGrid w:val="0"/>
        <w:spacing w:line="360" w:lineRule="auto"/>
        <w:rPr>
          <w:rFonts w:ascii="仿宋" w:hAnsi="仿宋" w:eastAsia="仿宋" w:cs="仿宋"/>
          <w:sz w:val="32"/>
          <w:szCs w:val="32"/>
        </w:rPr>
      </w:pPr>
    </w:p>
    <w:p>
      <w:pPr>
        <w:tabs>
          <w:tab w:val="left" w:pos="2207"/>
        </w:tabs>
        <w:rPr>
          <w:rFonts w:ascii="仿宋" w:hAnsi="仿宋" w:eastAsia="仿宋" w:cs="仿宋"/>
          <w:sz w:val="32"/>
          <w:szCs w:val="32"/>
        </w:rPr>
        <w:sectPr>
          <w:pgSz w:w="11906" w:h="16838"/>
          <w:pgMar w:top="1440" w:right="1800" w:bottom="1440" w:left="1800" w:header="851" w:footer="992" w:gutter="0"/>
          <w:pgNumType w:fmt="decimal"/>
          <w:cols w:space="720" w:num="1"/>
          <w:docGrid w:type="lines" w:linePitch="312" w:charSpace="0"/>
        </w:sectPr>
      </w:pPr>
    </w:p>
    <w:p>
      <w:pPr>
        <w:spacing w:before="0" w:beforeLines="0" w:after="0" w:afterLines="0" w:line="240" w:lineRule="auto"/>
        <w:ind w:left="0" w:leftChars="0" w:right="0" w:rightChars="0" w:firstLine="0" w:firstLineChars="0"/>
        <w:jc w:val="center"/>
        <w:rPr>
          <w:rFonts w:hint="eastAsia" w:ascii="黑体" w:hAnsi="黑体" w:eastAsia="黑体" w:cs="黑体"/>
          <w:kern w:val="2"/>
          <w:sz w:val="30"/>
          <w:szCs w:val="30"/>
          <w:lang w:val="en-US" w:eastAsia="zh-CN" w:bidi="ar-SA"/>
        </w:rPr>
      </w:pPr>
      <w:r>
        <w:rPr>
          <w:rFonts w:hint="eastAsia" w:ascii="黑体" w:hAnsi="黑体" w:eastAsia="黑体" w:cs="黑体"/>
          <w:kern w:val="2"/>
          <w:sz w:val="30"/>
          <w:szCs w:val="30"/>
          <w:lang w:val="en-US" w:eastAsia="zh-CN" w:bidi="ar-SA"/>
        </w:rPr>
        <w:t>目 录</w:t>
      </w:r>
    </w:p>
    <w:p>
      <w:pPr>
        <w:pStyle w:val="9"/>
        <w:tabs>
          <w:tab w:val="right" w:leader="dot" w:pos="8845"/>
        </w:tabs>
      </w:pPr>
      <w:r>
        <w:rPr>
          <w:rFonts w:hint="eastAsia" w:ascii="宋体" w:hAnsi="宋体" w:cs="宋体"/>
          <w:b/>
          <w:bCs/>
          <w:kern w:val="0"/>
          <w:sz w:val="44"/>
          <w:szCs w:val="44"/>
          <w:lang w:eastAsia="zh-CN"/>
        </w:rPr>
        <w:fldChar w:fldCharType="begin"/>
      </w:r>
      <w:r>
        <w:rPr>
          <w:rFonts w:hint="eastAsia" w:ascii="宋体" w:hAnsi="宋体" w:cs="宋体"/>
          <w:b/>
          <w:bCs/>
          <w:kern w:val="0"/>
          <w:sz w:val="44"/>
          <w:szCs w:val="44"/>
          <w:lang w:eastAsia="zh-CN"/>
        </w:rPr>
        <w:instrText xml:space="preserve">TOC \o "1-2" \h \u </w:instrText>
      </w:r>
      <w:r>
        <w:rPr>
          <w:rFonts w:hint="eastAsia" w:ascii="宋体" w:hAnsi="宋体" w:cs="宋体"/>
          <w:b/>
          <w:bCs/>
          <w:kern w:val="0"/>
          <w:sz w:val="44"/>
          <w:szCs w:val="44"/>
          <w:lang w:eastAsia="zh-CN"/>
        </w:rPr>
        <w:fldChar w:fldCharType="separate"/>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_Toc26219 </w:instrText>
      </w:r>
      <w:r>
        <w:rPr>
          <w:rFonts w:hint="eastAsia" w:ascii="宋体" w:hAnsi="宋体" w:cs="宋体"/>
          <w:bCs/>
          <w:kern w:val="0"/>
          <w:sz w:val="28"/>
          <w:szCs w:val="56"/>
          <w:lang w:eastAsia="zh-CN"/>
        </w:rPr>
        <w:fldChar w:fldCharType="separate"/>
      </w:r>
      <w:r>
        <w:rPr>
          <w:rFonts w:hint="eastAsia" w:ascii="黑体" w:hAnsi="黑体" w:eastAsia="黑体"/>
          <w:sz w:val="28"/>
          <w:szCs w:val="44"/>
        </w:rPr>
        <w:t>一、部门</w:t>
      </w:r>
      <w:r>
        <w:rPr>
          <w:rFonts w:hint="eastAsia" w:ascii="黑体" w:hAnsi="黑体" w:eastAsia="黑体"/>
          <w:sz w:val="28"/>
          <w:szCs w:val="48"/>
        </w:rPr>
        <w:t>基本情况</w:t>
      </w:r>
      <w:r>
        <w:rPr>
          <w:sz w:val="28"/>
          <w:szCs w:val="32"/>
        </w:rPr>
        <w:tab/>
      </w:r>
      <w:r>
        <w:rPr>
          <w:sz w:val="28"/>
          <w:szCs w:val="32"/>
        </w:rPr>
        <w:fldChar w:fldCharType="begin"/>
      </w:r>
      <w:r>
        <w:rPr>
          <w:sz w:val="28"/>
          <w:szCs w:val="32"/>
        </w:rPr>
        <w:instrText xml:space="preserve"> PAGEREF _Toc26219 \h </w:instrText>
      </w:r>
      <w:r>
        <w:rPr>
          <w:sz w:val="28"/>
          <w:szCs w:val="32"/>
        </w:rPr>
        <w:fldChar w:fldCharType="separate"/>
      </w:r>
      <w:r>
        <w:rPr>
          <w:sz w:val="28"/>
          <w:szCs w:val="32"/>
        </w:rPr>
        <w:t>1</w:t>
      </w:r>
      <w:r>
        <w:rPr>
          <w:sz w:val="28"/>
          <w:szCs w:val="32"/>
        </w:rPr>
        <w:fldChar w:fldCharType="end"/>
      </w:r>
      <w:r>
        <w:rPr>
          <w:rFonts w:hint="eastAsia" w:ascii="宋体" w:hAnsi="宋体" w:cs="宋体"/>
          <w:bCs/>
          <w:kern w:val="0"/>
          <w:sz w:val="28"/>
          <w:szCs w:val="56"/>
          <w:lang w:eastAsia="zh-CN"/>
        </w:rPr>
        <w:fldChar w:fldCharType="end"/>
      </w:r>
    </w:p>
    <w:p>
      <w:pPr>
        <w:pStyle w:val="10"/>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_Toc26873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rPr>
        <w:t>（一）部门概况</w:t>
      </w:r>
      <w:r>
        <w:rPr>
          <w:sz w:val="28"/>
          <w:szCs w:val="32"/>
        </w:rPr>
        <w:tab/>
      </w:r>
      <w:r>
        <w:rPr>
          <w:sz w:val="28"/>
          <w:szCs w:val="32"/>
        </w:rPr>
        <w:fldChar w:fldCharType="begin"/>
      </w:r>
      <w:r>
        <w:rPr>
          <w:sz w:val="28"/>
          <w:szCs w:val="32"/>
        </w:rPr>
        <w:instrText xml:space="preserve"> PAGEREF _Toc26873 \h </w:instrText>
      </w:r>
      <w:r>
        <w:rPr>
          <w:sz w:val="28"/>
          <w:szCs w:val="32"/>
        </w:rPr>
        <w:fldChar w:fldCharType="separate"/>
      </w:r>
      <w:r>
        <w:rPr>
          <w:sz w:val="28"/>
          <w:szCs w:val="32"/>
        </w:rPr>
        <w:t>1</w:t>
      </w:r>
      <w:r>
        <w:rPr>
          <w:sz w:val="28"/>
          <w:szCs w:val="32"/>
        </w:rPr>
        <w:fldChar w:fldCharType="end"/>
      </w:r>
      <w:r>
        <w:rPr>
          <w:rFonts w:hint="eastAsia" w:ascii="宋体" w:hAnsi="宋体" w:cs="宋体"/>
          <w:bCs/>
          <w:kern w:val="0"/>
          <w:sz w:val="28"/>
          <w:szCs w:val="56"/>
          <w:lang w:eastAsia="zh-CN"/>
        </w:rPr>
        <w:fldChar w:fldCharType="end"/>
      </w:r>
    </w:p>
    <w:p>
      <w:pPr>
        <w:pStyle w:val="10"/>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_Toc21030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rPr>
        <w:t>（二）部门收支预决算情况</w:t>
      </w:r>
      <w:r>
        <w:rPr>
          <w:sz w:val="28"/>
          <w:szCs w:val="32"/>
        </w:rPr>
        <w:tab/>
      </w:r>
      <w:r>
        <w:rPr>
          <w:sz w:val="28"/>
          <w:szCs w:val="32"/>
        </w:rPr>
        <w:fldChar w:fldCharType="begin"/>
      </w:r>
      <w:r>
        <w:rPr>
          <w:sz w:val="28"/>
          <w:szCs w:val="32"/>
        </w:rPr>
        <w:instrText xml:space="preserve"> PAGEREF _Toc21030 \h </w:instrText>
      </w:r>
      <w:r>
        <w:rPr>
          <w:sz w:val="28"/>
          <w:szCs w:val="32"/>
        </w:rPr>
        <w:fldChar w:fldCharType="separate"/>
      </w:r>
      <w:r>
        <w:rPr>
          <w:sz w:val="28"/>
          <w:szCs w:val="32"/>
        </w:rPr>
        <w:t>3</w:t>
      </w:r>
      <w:r>
        <w:rPr>
          <w:sz w:val="28"/>
          <w:szCs w:val="32"/>
        </w:rPr>
        <w:fldChar w:fldCharType="end"/>
      </w:r>
      <w:r>
        <w:rPr>
          <w:rFonts w:hint="eastAsia" w:ascii="宋体" w:hAnsi="宋体" w:cs="宋体"/>
          <w:bCs/>
          <w:kern w:val="0"/>
          <w:sz w:val="28"/>
          <w:szCs w:val="56"/>
          <w:lang w:eastAsia="zh-CN"/>
        </w:rPr>
        <w:fldChar w:fldCharType="end"/>
      </w:r>
    </w:p>
    <w:p>
      <w:pPr>
        <w:pStyle w:val="10"/>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_Toc16442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rPr>
        <w:t>（三）部门整体支出绩效目标、指标</w:t>
      </w:r>
      <w:r>
        <w:rPr>
          <w:sz w:val="28"/>
          <w:szCs w:val="32"/>
        </w:rPr>
        <w:tab/>
      </w:r>
      <w:r>
        <w:rPr>
          <w:sz w:val="28"/>
          <w:szCs w:val="32"/>
        </w:rPr>
        <w:fldChar w:fldCharType="begin"/>
      </w:r>
      <w:r>
        <w:rPr>
          <w:sz w:val="28"/>
          <w:szCs w:val="32"/>
        </w:rPr>
        <w:instrText xml:space="preserve"> PAGEREF _Toc16442 \h </w:instrText>
      </w:r>
      <w:r>
        <w:rPr>
          <w:sz w:val="28"/>
          <w:szCs w:val="32"/>
        </w:rPr>
        <w:fldChar w:fldCharType="separate"/>
      </w:r>
      <w:r>
        <w:rPr>
          <w:sz w:val="28"/>
          <w:szCs w:val="32"/>
        </w:rPr>
        <w:t>3</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_Toc20923 </w:instrText>
      </w:r>
      <w:r>
        <w:rPr>
          <w:rFonts w:hint="eastAsia" w:ascii="宋体" w:hAnsi="宋体" w:cs="宋体"/>
          <w:bCs/>
          <w:kern w:val="0"/>
          <w:sz w:val="28"/>
          <w:szCs w:val="56"/>
          <w:lang w:eastAsia="zh-CN"/>
        </w:rPr>
        <w:fldChar w:fldCharType="separate"/>
      </w:r>
      <w:r>
        <w:rPr>
          <w:rFonts w:hint="eastAsia" w:ascii="黑体" w:hAnsi="黑体" w:eastAsia="黑体"/>
          <w:sz w:val="28"/>
          <w:szCs w:val="44"/>
        </w:rPr>
        <w:t>二、自评工作开展情况</w:t>
      </w:r>
      <w:r>
        <w:rPr>
          <w:sz w:val="28"/>
          <w:szCs w:val="32"/>
        </w:rPr>
        <w:tab/>
      </w:r>
      <w:r>
        <w:rPr>
          <w:sz w:val="28"/>
          <w:szCs w:val="32"/>
        </w:rPr>
        <w:fldChar w:fldCharType="begin"/>
      </w:r>
      <w:r>
        <w:rPr>
          <w:sz w:val="28"/>
          <w:szCs w:val="32"/>
        </w:rPr>
        <w:instrText xml:space="preserve"> PAGEREF _Toc20923 \h </w:instrText>
      </w:r>
      <w:r>
        <w:rPr>
          <w:sz w:val="28"/>
          <w:szCs w:val="32"/>
        </w:rPr>
        <w:fldChar w:fldCharType="separate"/>
      </w:r>
      <w:r>
        <w:rPr>
          <w:sz w:val="28"/>
          <w:szCs w:val="32"/>
        </w:rPr>
        <w:t>4</w:t>
      </w:r>
      <w:r>
        <w:rPr>
          <w:sz w:val="28"/>
          <w:szCs w:val="32"/>
        </w:rPr>
        <w:fldChar w:fldCharType="end"/>
      </w:r>
      <w:r>
        <w:rPr>
          <w:rFonts w:hint="eastAsia" w:ascii="宋体" w:hAnsi="宋体" w:cs="宋体"/>
          <w:bCs/>
          <w:kern w:val="0"/>
          <w:sz w:val="28"/>
          <w:szCs w:val="56"/>
          <w:lang w:eastAsia="zh-CN"/>
        </w:rPr>
        <w:fldChar w:fldCharType="end"/>
      </w:r>
    </w:p>
    <w:p>
      <w:pPr>
        <w:pStyle w:val="10"/>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_Toc29697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rPr>
        <w:t>（一）自评的组织工作</w:t>
      </w:r>
      <w:r>
        <w:rPr>
          <w:sz w:val="28"/>
          <w:szCs w:val="32"/>
        </w:rPr>
        <w:tab/>
      </w:r>
      <w:r>
        <w:rPr>
          <w:sz w:val="28"/>
          <w:szCs w:val="32"/>
        </w:rPr>
        <w:fldChar w:fldCharType="begin"/>
      </w:r>
      <w:r>
        <w:rPr>
          <w:sz w:val="28"/>
          <w:szCs w:val="32"/>
        </w:rPr>
        <w:instrText xml:space="preserve"> PAGEREF _Toc29697 \h </w:instrText>
      </w:r>
      <w:r>
        <w:rPr>
          <w:sz w:val="28"/>
          <w:szCs w:val="32"/>
        </w:rPr>
        <w:fldChar w:fldCharType="separate"/>
      </w:r>
      <w:r>
        <w:rPr>
          <w:sz w:val="28"/>
          <w:szCs w:val="32"/>
        </w:rPr>
        <w:t>7</w:t>
      </w:r>
      <w:r>
        <w:rPr>
          <w:sz w:val="28"/>
          <w:szCs w:val="32"/>
        </w:rPr>
        <w:fldChar w:fldCharType="end"/>
      </w:r>
      <w:r>
        <w:rPr>
          <w:rFonts w:hint="eastAsia" w:ascii="宋体" w:hAnsi="宋体" w:cs="宋体"/>
          <w:bCs/>
          <w:kern w:val="0"/>
          <w:sz w:val="28"/>
          <w:szCs w:val="56"/>
          <w:lang w:eastAsia="zh-CN"/>
        </w:rPr>
        <w:fldChar w:fldCharType="end"/>
      </w:r>
    </w:p>
    <w:p>
      <w:pPr>
        <w:pStyle w:val="10"/>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_Toc11550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lang w:val="en-US" w:eastAsia="zh-CN"/>
        </w:rPr>
        <w:t>（二）确定评价内容</w:t>
      </w:r>
      <w:r>
        <w:rPr>
          <w:sz w:val="28"/>
          <w:szCs w:val="32"/>
        </w:rPr>
        <w:tab/>
      </w:r>
      <w:r>
        <w:rPr>
          <w:sz w:val="28"/>
          <w:szCs w:val="32"/>
        </w:rPr>
        <w:fldChar w:fldCharType="begin"/>
      </w:r>
      <w:r>
        <w:rPr>
          <w:sz w:val="28"/>
          <w:szCs w:val="32"/>
        </w:rPr>
        <w:instrText xml:space="preserve"> PAGEREF _Toc11550 \h </w:instrText>
      </w:r>
      <w:r>
        <w:rPr>
          <w:sz w:val="28"/>
          <w:szCs w:val="32"/>
        </w:rPr>
        <w:fldChar w:fldCharType="separate"/>
      </w:r>
      <w:r>
        <w:rPr>
          <w:sz w:val="28"/>
          <w:szCs w:val="32"/>
        </w:rPr>
        <w:t>7</w:t>
      </w:r>
      <w:r>
        <w:rPr>
          <w:sz w:val="28"/>
          <w:szCs w:val="32"/>
        </w:rPr>
        <w:fldChar w:fldCharType="end"/>
      </w:r>
      <w:r>
        <w:rPr>
          <w:rFonts w:hint="eastAsia" w:ascii="宋体" w:hAnsi="宋体" w:cs="宋体"/>
          <w:bCs/>
          <w:kern w:val="0"/>
          <w:sz w:val="28"/>
          <w:szCs w:val="56"/>
          <w:lang w:eastAsia="zh-CN"/>
        </w:rPr>
        <w:fldChar w:fldCharType="end"/>
      </w:r>
    </w:p>
    <w:p>
      <w:pPr>
        <w:pStyle w:val="10"/>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_Toc13675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lang w:val="en-US" w:eastAsia="zh-CN"/>
        </w:rPr>
        <w:t>（三）绩效自评目的</w:t>
      </w:r>
      <w:r>
        <w:rPr>
          <w:sz w:val="28"/>
          <w:szCs w:val="32"/>
        </w:rPr>
        <w:tab/>
      </w:r>
      <w:r>
        <w:rPr>
          <w:sz w:val="28"/>
          <w:szCs w:val="32"/>
        </w:rPr>
        <w:fldChar w:fldCharType="begin"/>
      </w:r>
      <w:r>
        <w:rPr>
          <w:sz w:val="28"/>
          <w:szCs w:val="32"/>
        </w:rPr>
        <w:instrText xml:space="preserve"> PAGEREF _Toc13675 \h </w:instrText>
      </w:r>
      <w:r>
        <w:rPr>
          <w:sz w:val="28"/>
          <w:szCs w:val="32"/>
        </w:rPr>
        <w:fldChar w:fldCharType="separate"/>
      </w:r>
      <w:r>
        <w:rPr>
          <w:sz w:val="28"/>
          <w:szCs w:val="32"/>
        </w:rPr>
        <w:t>7</w:t>
      </w:r>
      <w:r>
        <w:rPr>
          <w:sz w:val="28"/>
          <w:szCs w:val="32"/>
        </w:rPr>
        <w:fldChar w:fldCharType="end"/>
      </w:r>
      <w:r>
        <w:rPr>
          <w:rFonts w:hint="eastAsia" w:ascii="宋体" w:hAnsi="宋体" w:cs="宋体"/>
          <w:bCs/>
          <w:kern w:val="0"/>
          <w:sz w:val="28"/>
          <w:szCs w:val="56"/>
          <w:lang w:eastAsia="zh-CN"/>
        </w:rPr>
        <w:fldChar w:fldCharType="end"/>
      </w:r>
    </w:p>
    <w:p>
      <w:pPr>
        <w:pStyle w:val="10"/>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_Toc1859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lang w:val="en-US" w:eastAsia="zh-CN"/>
        </w:rPr>
        <w:t>（四）自评的方法</w:t>
      </w:r>
      <w:r>
        <w:rPr>
          <w:sz w:val="28"/>
          <w:szCs w:val="32"/>
        </w:rPr>
        <w:tab/>
      </w:r>
      <w:r>
        <w:rPr>
          <w:sz w:val="28"/>
          <w:szCs w:val="32"/>
        </w:rPr>
        <w:fldChar w:fldCharType="begin"/>
      </w:r>
      <w:r>
        <w:rPr>
          <w:sz w:val="28"/>
          <w:szCs w:val="32"/>
        </w:rPr>
        <w:instrText xml:space="preserve"> PAGEREF _Toc1859 \h </w:instrText>
      </w:r>
      <w:r>
        <w:rPr>
          <w:sz w:val="28"/>
          <w:szCs w:val="32"/>
        </w:rPr>
        <w:fldChar w:fldCharType="separate"/>
      </w:r>
      <w:r>
        <w:rPr>
          <w:sz w:val="28"/>
          <w:szCs w:val="32"/>
        </w:rPr>
        <w:t>8</w:t>
      </w:r>
      <w:r>
        <w:rPr>
          <w:sz w:val="28"/>
          <w:szCs w:val="32"/>
        </w:rPr>
        <w:fldChar w:fldCharType="end"/>
      </w:r>
      <w:r>
        <w:rPr>
          <w:rFonts w:hint="eastAsia" w:ascii="宋体" w:hAnsi="宋体" w:cs="宋体"/>
          <w:bCs/>
          <w:kern w:val="0"/>
          <w:sz w:val="28"/>
          <w:szCs w:val="56"/>
          <w:lang w:eastAsia="zh-CN"/>
        </w:rPr>
        <w:fldChar w:fldCharType="end"/>
      </w:r>
    </w:p>
    <w:p>
      <w:pPr>
        <w:pStyle w:val="10"/>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_Toc112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lang w:val="en-US" w:eastAsia="zh-CN"/>
        </w:rPr>
        <w:t>（五）绩效自评过程</w:t>
      </w:r>
      <w:r>
        <w:rPr>
          <w:sz w:val="28"/>
          <w:szCs w:val="32"/>
        </w:rPr>
        <w:tab/>
      </w:r>
      <w:r>
        <w:rPr>
          <w:sz w:val="28"/>
          <w:szCs w:val="32"/>
        </w:rPr>
        <w:fldChar w:fldCharType="begin"/>
      </w:r>
      <w:r>
        <w:rPr>
          <w:sz w:val="28"/>
          <w:szCs w:val="32"/>
        </w:rPr>
        <w:instrText xml:space="preserve"> PAGEREF _Toc112 \h </w:instrText>
      </w:r>
      <w:r>
        <w:rPr>
          <w:sz w:val="28"/>
          <w:szCs w:val="32"/>
        </w:rPr>
        <w:fldChar w:fldCharType="separate"/>
      </w:r>
      <w:r>
        <w:rPr>
          <w:sz w:val="28"/>
          <w:szCs w:val="32"/>
        </w:rPr>
        <w:t>8</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_Toc31742 </w:instrText>
      </w:r>
      <w:r>
        <w:rPr>
          <w:rFonts w:hint="eastAsia" w:ascii="宋体" w:hAnsi="宋体" w:cs="宋体"/>
          <w:bCs/>
          <w:kern w:val="0"/>
          <w:sz w:val="28"/>
          <w:szCs w:val="56"/>
          <w:lang w:eastAsia="zh-CN"/>
        </w:rPr>
        <w:fldChar w:fldCharType="separate"/>
      </w:r>
      <w:r>
        <w:rPr>
          <w:rFonts w:hint="eastAsia" w:ascii="黑体" w:hAnsi="黑体" w:eastAsia="黑体"/>
          <w:sz w:val="28"/>
          <w:szCs w:val="44"/>
        </w:rPr>
        <w:t>三、部门整体支出绩效目标实现情况及指标分析</w:t>
      </w:r>
      <w:r>
        <w:rPr>
          <w:sz w:val="28"/>
          <w:szCs w:val="32"/>
        </w:rPr>
        <w:tab/>
      </w:r>
      <w:r>
        <w:rPr>
          <w:sz w:val="28"/>
          <w:szCs w:val="32"/>
        </w:rPr>
        <w:fldChar w:fldCharType="begin"/>
      </w:r>
      <w:r>
        <w:rPr>
          <w:sz w:val="28"/>
          <w:szCs w:val="32"/>
        </w:rPr>
        <w:instrText xml:space="preserve"> PAGEREF _Toc31742 \h </w:instrText>
      </w:r>
      <w:r>
        <w:rPr>
          <w:sz w:val="28"/>
          <w:szCs w:val="32"/>
        </w:rPr>
        <w:fldChar w:fldCharType="separate"/>
      </w:r>
      <w:r>
        <w:rPr>
          <w:sz w:val="28"/>
          <w:szCs w:val="32"/>
        </w:rPr>
        <w:t>8</w:t>
      </w:r>
      <w:r>
        <w:rPr>
          <w:sz w:val="28"/>
          <w:szCs w:val="32"/>
        </w:rPr>
        <w:fldChar w:fldCharType="end"/>
      </w:r>
      <w:r>
        <w:rPr>
          <w:rFonts w:hint="eastAsia" w:ascii="宋体" w:hAnsi="宋体" w:cs="宋体"/>
          <w:bCs/>
          <w:kern w:val="0"/>
          <w:sz w:val="28"/>
          <w:szCs w:val="56"/>
          <w:lang w:eastAsia="zh-CN"/>
        </w:rPr>
        <w:fldChar w:fldCharType="end"/>
      </w:r>
    </w:p>
    <w:p>
      <w:pPr>
        <w:pStyle w:val="10"/>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_Toc31361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lang w:val="en-US" w:eastAsia="zh-CN"/>
        </w:rPr>
        <w:t>（一）总体绩效目标实现情况</w:t>
      </w:r>
      <w:r>
        <w:rPr>
          <w:sz w:val="28"/>
          <w:szCs w:val="32"/>
        </w:rPr>
        <w:tab/>
      </w:r>
      <w:r>
        <w:rPr>
          <w:sz w:val="28"/>
          <w:szCs w:val="32"/>
        </w:rPr>
        <w:fldChar w:fldCharType="begin"/>
      </w:r>
      <w:r>
        <w:rPr>
          <w:sz w:val="28"/>
          <w:szCs w:val="32"/>
        </w:rPr>
        <w:instrText xml:space="preserve"> PAGEREF _Toc31361 \h </w:instrText>
      </w:r>
      <w:r>
        <w:rPr>
          <w:sz w:val="28"/>
          <w:szCs w:val="32"/>
        </w:rPr>
        <w:fldChar w:fldCharType="separate"/>
      </w:r>
      <w:r>
        <w:rPr>
          <w:sz w:val="28"/>
          <w:szCs w:val="32"/>
        </w:rPr>
        <w:t>8</w:t>
      </w:r>
      <w:r>
        <w:rPr>
          <w:sz w:val="28"/>
          <w:szCs w:val="32"/>
        </w:rPr>
        <w:fldChar w:fldCharType="end"/>
      </w:r>
      <w:r>
        <w:rPr>
          <w:rFonts w:hint="eastAsia" w:ascii="宋体" w:hAnsi="宋体" w:cs="宋体"/>
          <w:bCs/>
          <w:kern w:val="0"/>
          <w:sz w:val="28"/>
          <w:szCs w:val="56"/>
          <w:lang w:eastAsia="zh-CN"/>
        </w:rPr>
        <w:fldChar w:fldCharType="end"/>
      </w:r>
    </w:p>
    <w:p>
      <w:pPr>
        <w:pStyle w:val="10"/>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_Toc30758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lang w:val="en-US" w:eastAsia="zh-CN"/>
        </w:rPr>
        <w:t>（二）分项绩效目标实现情况及指标分析</w:t>
      </w:r>
      <w:r>
        <w:rPr>
          <w:sz w:val="28"/>
          <w:szCs w:val="32"/>
        </w:rPr>
        <w:tab/>
      </w:r>
      <w:r>
        <w:rPr>
          <w:sz w:val="28"/>
          <w:szCs w:val="32"/>
        </w:rPr>
        <w:fldChar w:fldCharType="begin"/>
      </w:r>
      <w:r>
        <w:rPr>
          <w:sz w:val="28"/>
          <w:szCs w:val="32"/>
        </w:rPr>
        <w:instrText xml:space="preserve"> PAGEREF _Toc30758 \h </w:instrText>
      </w:r>
      <w:r>
        <w:rPr>
          <w:sz w:val="28"/>
          <w:szCs w:val="32"/>
        </w:rPr>
        <w:fldChar w:fldCharType="separate"/>
      </w:r>
      <w:r>
        <w:rPr>
          <w:sz w:val="28"/>
          <w:szCs w:val="32"/>
        </w:rPr>
        <w:t>8</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_Toc18570 </w:instrText>
      </w:r>
      <w:r>
        <w:rPr>
          <w:rFonts w:hint="eastAsia" w:ascii="宋体" w:hAnsi="宋体" w:cs="宋体"/>
          <w:bCs/>
          <w:kern w:val="0"/>
          <w:sz w:val="28"/>
          <w:szCs w:val="56"/>
          <w:lang w:eastAsia="zh-CN"/>
        </w:rPr>
        <w:fldChar w:fldCharType="separate"/>
      </w:r>
      <w:r>
        <w:rPr>
          <w:rFonts w:hint="eastAsia" w:ascii="黑体" w:hAnsi="黑体" w:eastAsia="黑体"/>
          <w:sz w:val="28"/>
          <w:szCs w:val="44"/>
        </w:rPr>
        <w:t>四、评价结论和评价等级</w:t>
      </w:r>
      <w:r>
        <w:rPr>
          <w:sz w:val="28"/>
          <w:szCs w:val="32"/>
        </w:rPr>
        <w:tab/>
      </w:r>
      <w:r>
        <w:rPr>
          <w:sz w:val="28"/>
          <w:szCs w:val="32"/>
        </w:rPr>
        <w:fldChar w:fldCharType="begin"/>
      </w:r>
      <w:r>
        <w:rPr>
          <w:sz w:val="28"/>
          <w:szCs w:val="32"/>
        </w:rPr>
        <w:instrText xml:space="preserve"> PAGEREF _Toc18570 \h </w:instrText>
      </w:r>
      <w:r>
        <w:rPr>
          <w:sz w:val="28"/>
          <w:szCs w:val="32"/>
        </w:rPr>
        <w:fldChar w:fldCharType="separate"/>
      </w:r>
      <w:r>
        <w:rPr>
          <w:sz w:val="28"/>
          <w:szCs w:val="32"/>
        </w:rPr>
        <w:t>12</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_Toc26657 </w:instrText>
      </w:r>
      <w:r>
        <w:rPr>
          <w:rFonts w:hint="eastAsia" w:ascii="宋体" w:hAnsi="宋体" w:cs="宋体"/>
          <w:bCs/>
          <w:kern w:val="0"/>
          <w:sz w:val="28"/>
          <w:szCs w:val="56"/>
          <w:lang w:eastAsia="zh-CN"/>
        </w:rPr>
        <w:fldChar w:fldCharType="separate"/>
      </w:r>
      <w:r>
        <w:rPr>
          <w:rFonts w:hint="eastAsia" w:ascii="黑体" w:hAnsi="黑体" w:eastAsia="黑体"/>
          <w:sz w:val="28"/>
          <w:szCs w:val="44"/>
        </w:rPr>
        <w:t>五、存在的问题及改进措施</w:t>
      </w:r>
      <w:r>
        <w:rPr>
          <w:sz w:val="28"/>
          <w:szCs w:val="32"/>
        </w:rPr>
        <w:tab/>
      </w:r>
      <w:r>
        <w:rPr>
          <w:sz w:val="28"/>
          <w:szCs w:val="32"/>
        </w:rPr>
        <w:fldChar w:fldCharType="begin"/>
      </w:r>
      <w:r>
        <w:rPr>
          <w:sz w:val="28"/>
          <w:szCs w:val="32"/>
        </w:rPr>
        <w:instrText xml:space="preserve"> PAGEREF _Toc26657 \h </w:instrText>
      </w:r>
      <w:r>
        <w:rPr>
          <w:sz w:val="28"/>
          <w:szCs w:val="32"/>
        </w:rPr>
        <w:fldChar w:fldCharType="separate"/>
      </w:r>
      <w:r>
        <w:rPr>
          <w:sz w:val="28"/>
          <w:szCs w:val="32"/>
        </w:rPr>
        <w:t>12</w:t>
      </w:r>
      <w:r>
        <w:rPr>
          <w:sz w:val="28"/>
          <w:szCs w:val="32"/>
        </w:rPr>
        <w:fldChar w:fldCharType="end"/>
      </w:r>
      <w:r>
        <w:rPr>
          <w:rFonts w:hint="eastAsia" w:ascii="宋体" w:hAnsi="宋体" w:cs="宋体"/>
          <w:bCs/>
          <w:kern w:val="0"/>
          <w:sz w:val="28"/>
          <w:szCs w:val="56"/>
          <w:lang w:eastAsia="zh-CN"/>
        </w:rPr>
        <w:fldChar w:fldCharType="end"/>
      </w:r>
    </w:p>
    <w:p>
      <w:pPr>
        <w:pStyle w:val="10"/>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_Toc3066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lang w:val="en-US" w:eastAsia="zh-CN"/>
        </w:rPr>
        <w:t>（一）存在的主要问题</w:t>
      </w:r>
      <w:r>
        <w:rPr>
          <w:sz w:val="28"/>
          <w:szCs w:val="32"/>
        </w:rPr>
        <w:tab/>
      </w:r>
      <w:r>
        <w:rPr>
          <w:sz w:val="28"/>
          <w:szCs w:val="32"/>
        </w:rPr>
        <w:fldChar w:fldCharType="begin"/>
      </w:r>
      <w:r>
        <w:rPr>
          <w:sz w:val="28"/>
          <w:szCs w:val="32"/>
        </w:rPr>
        <w:instrText xml:space="preserve"> PAGEREF _Toc3066 \h </w:instrText>
      </w:r>
      <w:r>
        <w:rPr>
          <w:sz w:val="28"/>
          <w:szCs w:val="32"/>
        </w:rPr>
        <w:fldChar w:fldCharType="separate"/>
      </w:r>
      <w:r>
        <w:rPr>
          <w:sz w:val="28"/>
          <w:szCs w:val="32"/>
        </w:rPr>
        <w:t>12</w:t>
      </w:r>
      <w:r>
        <w:rPr>
          <w:sz w:val="28"/>
          <w:szCs w:val="32"/>
        </w:rPr>
        <w:fldChar w:fldCharType="end"/>
      </w:r>
      <w:r>
        <w:rPr>
          <w:rFonts w:hint="eastAsia" w:ascii="宋体" w:hAnsi="宋体" w:cs="宋体"/>
          <w:bCs/>
          <w:kern w:val="0"/>
          <w:sz w:val="28"/>
          <w:szCs w:val="56"/>
          <w:lang w:eastAsia="zh-CN"/>
        </w:rPr>
        <w:fldChar w:fldCharType="end"/>
      </w:r>
    </w:p>
    <w:p>
      <w:pPr>
        <w:pStyle w:val="10"/>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_Toc11063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lang w:val="en-US" w:eastAsia="zh-CN"/>
        </w:rPr>
        <w:t>（二）针对问题提出具体的改进措施或建议</w:t>
      </w:r>
      <w:r>
        <w:rPr>
          <w:sz w:val="28"/>
          <w:szCs w:val="32"/>
        </w:rPr>
        <w:tab/>
      </w:r>
      <w:r>
        <w:rPr>
          <w:sz w:val="28"/>
          <w:szCs w:val="32"/>
        </w:rPr>
        <w:fldChar w:fldCharType="begin"/>
      </w:r>
      <w:r>
        <w:rPr>
          <w:sz w:val="28"/>
          <w:szCs w:val="32"/>
        </w:rPr>
        <w:instrText xml:space="preserve"> PAGEREF _Toc11063 \h </w:instrText>
      </w:r>
      <w:r>
        <w:rPr>
          <w:sz w:val="28"/>
          <w:szCs w:val="32"/>
        </w:rPr>
        <w:fldChar w:fldCharType="separate"/>
      </w:r>
      <w:r>
        <w:rPr>
          <w:sz w:val="28"/>
          <w:szCs w:val="32"/>
        </w:rPr>
        <w:t>13</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_Toc530 </w:instrText>
      </w:r>
      <w:r>
        <w:rPr>
          <w:rFonts w:hint="eastAsia" w:ascii="宋体" w:hAnsi="宋体" w:cs="宋体"/>
          <w:bCs/>
          <w:kern w:val="0"/>
          <w:sz w:val="28"/>
          <w:szCs w:val="56"/>
          <w:lang w:eastAsia="zh-CN"/>
        </w:rPr>
        <w:fldChar w:fldCharType="separate"/>
      </w:r>
      <w:r>
        <w:rPr>
          <w:rFonts w:hint="eastAsia" w:ascii="黑体" w:hAnsi="黑体" w:eastAsia="黑体"/>
          <w:sz w:val="28"/>
          <w:szCs w:val="44"/>
        </w:rPr>
        <w:t>六、评价工作组人员名单及签字（姓名、工作单位、职务、职称）</w:t>
      </w:r>
      <w:r>
        <w:rPr>
          <w:sz w:val="28"/>
          <w:szCs w:val="32"/>
        </w:rPr>
        <w:tab/>
      </w:r>
      <w:r>
        <w:rPr>
          <w:sz w:val="28"/>
          <w:szCs w:val="32"/>
        </w:rPr>
        <w:fldChar w:fldCharType="begin"/>
      </w:r>
      <w:r>
        <w:rPr>
          <w:sz w:val="28"/>
          <w:szCs w:val="32"/>
        </w:rPr>
        <w:instrText xml:space="preserve"> PAGEREF _Toc530 \h </w:instrText>
      </w:r>
      <w:r>
        <w:rPr>
          <w:sz w:val="28"/>
          <w:szCs w:val="32"/>
        </w:rPr>
        <w:fldChar w:fldCharType="separate"/>
      </w:r>
      <w:r>
        <w:rPr>
          <w:sz w:val="28"/>
          <w:szCs w:val="32"/>
        </w:rPr>
        <w:t>14</w:t>
      </w:r>
      <w:r>
        <w:rPr>
          <w:sz w:val="28"/>
          <w:szCs w:val="32"/>
        </w:rPr>
        <w:fldChar w:fldCharType="end"/>
      </w:r>
      <w:r>
        <w:rPr>
          <w:rFonts w:hint="eastAsia" w:ascii="宋体" w:hAnsi="宋体" w:cs="宋体"/>
          <w:bCs/>
          <w:kern w:val="0"/>
          <w:sz w:val="28"/>
          <w:szCs w:val="56"/>
          <w:lang w:eastAsia="zh-CN"/>
        </w:rPr>
        <w:fldChar w:fldCharType="end"/>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r>
        <w:rPr>
          <w:rFonts w:hint="eastAsia" w:ascii="宋体" w:hAnsi="宋体" w:cs="宋体"/>
          <w:bCs/>
          <w:kern w:val="0"/>
          <w:szCs w:val="44"/>
          <w:lang w:eastAsia="zh-CN"/>
        </w:rPr>
        <w:fldChar w:fldCharType="end"/>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both"/>
        <w:textAlignment w:val="auto"/>
        <w:outlineLvl w:val="9"/>
        <w:rPr>
          <w:rFonts w:hint="eastAsia" w:ascii="宋体" w:hAnsi="宋体" w:cs="宋体"/>
          <w:b/>
          <w:bCs/>
          <w:kern w:val="0"/>
          <w:sz w:val="44"/>
          <w:szCs w:val="44"/>
          <w:lang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sectPr>
          <w:footerReference r:id="rId3" w:type="default"/>
          <w:pgSz w:w="11906" w:h="16838"/>
          <w:pgMar w:top="1440" w:right="1474" w:bottom="1440" w:left="1587" w:header="851" w:footer="992" w:gutter="0"/>
          <w:pgNumType w:fmt="decimal"/>
          <w:cols w:space="0" w:num="1"/>
          <w:docGrid w:type="lines" w:linePitch="312" w:charSpace="0"/>
        </w:sect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bookmarkStart w:id="14" w:name="_Toc8948"/>
      <w:bookmarkStart w:id="15" w:name="_Toc11936"/>
    </w:p>
    <w:bookmarkEnd w:id="14"/>
    <w:bookmarkEnd w:id="15"/>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r>
        <w:rPr>
          <w:rFonts w:hint="eastAsia" w:ascii="宋体" w:hAnsi="宋体" w:cs="宋体"/>
          <w:b/>
          <w:bCs/>
          <w:kern w:val="0"/>
          <w:sz w:val="44"/>
          <w:szCs w:val="44"/>
          <w:lang w:eastAsia="zh-CN"/>
        </w:rPr>
        <w:t>石家庄市地方金融监督管理局</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bookmarkStart w:id="16" w:name="_Toc12075"/>
      <w:bookmarkStart w:id="17" w:name="_Toc2919"/>
      <w:r>
        <w:rPr>
          <w:rFonts w:hint="eastAsia" w:ascii="宋体" w:hAnsi="宋体" w:cs="宋体"/>
          <w:b/>
          <w:bCs/>
          <w:kern w:val="0"/>
          <w:sz w:val="44"/>
          <w:szCs w:val="44"/>
          <w:lang w:eastAsia="zh-CN"/>
        </w:rPr>
        <w:t>2022年度整体支出绩效自评报告</w:t>
      </w:r>
      <w:bookmarkEnd w:id="16"/>
      <w:bookmarkEnd w:id="17"/>
    </w:p>
    <w:p>
      <w:pPr>
        <w:spacing w:line="560" w:lineRule="exact"/>
        <w:jc w:val="both"/>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石家庄市地方金融监督管理局（</w:t>
      </w:r>
      <w:r>
        <w:rPr>
          <w:rFonts w:hint="eastAsia" w:ascii="仿宋" w:hAnsi="仿宋" w:eastAsia="仿宋"/>
          <w:sz w:val="32"/>
          <w:szCs w:val="32"/>
          <w:lang w:val="en-US" w:eastAsia="zh-CN"/>
        </w:rPr>
        <w:t>以下简称“我局”</w:t>
      </w:r>
      <w:r>
        <w:rPr>
          <w:rFonts w:hint="eastAsia" w:ascii="仿宋" w:hAnsi="仿宋" w:eastAsia="仿宋"/>
          <w:sz w:val="32"/>
          <w:szCs w:val="32"/>
          <w:lang w:eastAsia="zh-CN"/>
        </w:rPr>
        <w:t>）</w:t>
      </w:r>
      <w:r>
        <w:rPr>
          <w:rFonts w:hint="eastAsia" w:ascii="仿宋" w:hAnsi="仿宋" w:eastAsia="仿宋"/>
          <w:sz w:val="32"/>
          <w:szCs w:val="32"/>
        </w:rPr>
        <w:t>2022年整体支出情况实施了财政支出绩效自评价，形成本评价报告。</w:t>
      </w:r>
    </w:p>
    <w:p>
      <w:pPr>
        <w:adjustRightInd w:val="0"/>
        <w:snapToGrid w:val="0"/>
        <w:spacing w:line="560" w:lineRule="exact"/>
        <w:outlineLvl w:val="0"/>
        <w:rPr>
          <w:rFonts w:ascii="黑体" w:hAnsi="黑体" w:eastAsia="黑体"/>
          <w:b/>
          <w:bCs/>
          <w:sz w:val="32"/>
          <w:szCs w:val="36"/>
        </w:rPr>
      </w:pPr>
      <w:r>
        <w:rPr>
          <w:rFonts w:hint="eastAsia" w:ascii="黑体" w:hAnsi="黑体" w:eastAsia="黑体"/>
          <w:sz w:val="32"/>
          <w:szCs w:val="32"/>
        </w:rPr>
        <w:t xml:space="preserve">     </w:t>
      </w:r>
      <w:bookmarkStart w:id="18" w:name="_Toc26219"/>
      <w:r>
        <w:rPr>
          <w:rFonts w:hint="eastAsia" w:ascii="黑体" w:hAnsi="黑体" w:eastAsia="黑体"/>
          <w:sz w:val="32"/>
          <w:szCs w:val="32"/>
        </w:rPr>
        <w:t>一、部门</w:t>
      </w:r>
      <w:r>
        <w:rPr>
          <w:rFonts w:hint="eastAsia" w:ascii="黑体" w:hAnsi="黑体" w:eastAsia="黑体"/>
          <w:sz w:val="32"/>
          <w:szCs w:val="36"/>
        </w:rPr>
        <w:t>基本情况</w:t>
      </w:r>
      <w:bookmarkEnd w:id="18"/>
    </w:p>
    <w:p>
      <w:pPr>
        <w:adjustRightInd w:val="0"/>
        <w:snapToGrid w:val="0"/>
        <w:spacing w:line="560" w:lineRule="exact"/>
        <w:ind w:firstLine="640" w:firstLineChars="200"/>
        <w:outlineLvl w:val="1"/>
        <w:rPr>
          <w:rFonts w:ascii="楷体" w:hAnsi="楷体" w:eastAsia="楷体" w:cs="楷体_GB2312"/>
          <w:bCs/>
          <w:sz w:val="32"/>
          <w:szCs w:val="32"/>
        </w:rPr>
      </w:pPr>
      <w:bookmarkStart w:id="19" w:name="_Toc26873"/>
      <w:r>
        <w:rPr>
          <w:rFonts w:hint="eastAsia" w:ascii="楷体" w:hAnsi="楷体" w:eastAsia="楷体" w:cs="楷体_GB2312"/>
          <w:bCs/>
          <w:sz w:val="32"/>
          <w:szCs w:val="32"/>
        </w:rPr>
        <w:t>（一）部门概况</w:t>
      </w:r>
      <w:bookmarkEnd w:id="19"/>
    </w:p>
    <w:p>
      <w:pPr>
        <w:adjustRightInd w:val="0"/>
        <w:snapToGrid w:val="0"/>
        <w:spacing w:line="560" w:lineRule="exact"/>
        <w:ind w:firstLine="643" w:firstLineChars="200"/>
        <w:outlineLvl w:val="1"/>
        <w:rPr>
          <w:rFonts w:hint="eastAsia" w:ascii="仿宋" w:hAnsi="仿宋" w:eastAsia="仿宋"/>
          <w:b/>
          <w:bCs/>
          <w:sz w:val="32"/>
          <w:szCs w:val="32"/>
          <w:lang w:eastAsia="zh-CN"/>
        </w:rPr>
      </w:pPr>
      <w:bookmarkStart w:id="20" w:name="_Toc29807"/>
      <w:r>
        <w:rPr>
          <w:rFonts w:hint="eastAsia" w:ascii="仿宋" w:hAnsi="仿宋" w:eastAsia="仿宋"/>
          <w:b/>
          <w:bCs/>
          <w:sz w:val="32"/>
          <w:szCs w:val="32"/>
          <w:lang w:val="en-US" w:eastAsia="zh-CN"/>
        </w:rPr>
        <w:t>1.</w:t>
      </w:r>
      <w:r>
        <w:rPr>
          <w:rFonts w:hint="eastAsia" w:ascii="仿宋" w:hAnsi="仿宋" w:eastAsia="仿宋"/>
          <w:b/>
          <w:bCs/>
          <w:sz w:val="32"/>
          <w:szCs w:val="32"/>
        </w:rPr>
        <w:t>部门</w:t>
      </w:r>
      <w:bookmarkEnd w:id="20"/>
      <w:r>
        <w:rPr>
          <w:rFonts w:hint="eastAsia" w:ascii="仿宋" w:hAnsi="仿宋" w:eastAsia="仿宋"/>
          <w:b/>
          <w:bCs/>
          <w:sz w:val="32"/>
          <w:szCs w:val="32"/>
          <w:lang w:val="en-US" w:eastAsia="zh-CN"/>
        </w:rPr>
        <w:t>职责</w:t>
      </w:r>
    </w:p>
    <w:p>
      <w:pPr>
        <w:adjustRightInd w:val="0"/>
        <w:snapToGrid w:val="0"/>
        <w:spacing w:line="560" w:lineRule="exact"/>
        <w:ind w:firstLine="640" w:firstLineChars="200"/>
        <w:rPr>
          <w:rFonts w:hint="eastAsia" w:ascii="仿宋" w:hAnsi="仿宋" w:eastAsia="仿宋"/>
          <w:sz w:val="32"/>
          <w:szCs w:val="32"/>
        </w:rPr>
      </w:pPr>
      <w:bookmarkStart w:id="21" w:name="_Toc28381"/>
      <w:r>
        <w:rPr>
          <w:rFonts w:hint="eastAsia" w:ascii="仿宋" w:hAnsi="仿宋" w:eastAsia="仿宋"/>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研究分析全市金融形势和金融业发展重大问题,研究拟订全市金融业发展规划和政策，提出促进和加强金融业发展的建议；组织开展政府与金融机构合作、金融机构和企业对接,协调金融业与全市经济社会发展的衔接，支持服务实体经济发展。</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w:t>
      </w:r>
      <w:r>
        <w:rPr>
          <w:rFonts w:hint="eastAsia" w:ascii="仿宋" w:hAnsi="仿宋" w:eastAsia="仿宋"/>
          <w:sz w:val="32"/>
          <w:szCs w:val="32"/>
        </w:rPr>
        <w:t>）负责联系中央金融驻石监管部门和驻石金融机构，协调做好金融运行中涉及地方政府配合的相关工作。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3</w:t>
      </w:r>
      <w:r>
        <w:rPr>
          <w:rFonts w:hint="eastAsia" w:ascii="仿宋" w:hAnsi="仿宋" w:eastAsia="仿宋"/>
          <w:sz w:val="32"/>
          <w:szCs w:val="32"/>
        </w:rPr>
        <w:t>）协调引进金融机构，统筹协调全市金融功能区规划、建设和发展；协调推进金融服务民生、金融人才队伍、金融生态环境、金融信用体系建设。</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4</w:t>
      </w:r>
      <w:r>
        <w:rPr>
          <w:rFonts w:hint="eastAsia" w:ascii="仿宋" w:hAnsi="仿宋" w:eastAsia="仿宋"/>
          <w:sz w:val="32"/>
          <w:szCs w:val="32"/>
        </w:rPr>
        <w:t>）拟订地方金融机构改革发展意见并组织实施；组织协调新设立的地方法人金融机构的谋划、筹建、申报等前期工作，推进全市农村信用社改革工作。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5</w:t>
      </w:r>
      <w:r>
        <w:rPr>
          <w:rFonts w:hint="eastAsia" w:ascii="仿宋" w:hAnsi="仿宋" w:eastAsia="仿宋"/>
          <w:sz w:val="32"/>
          <w:szCs w:val="32"/>
        </w:rPr>
        <w:t>）负责促进全市资本市场的改革、培育和发展,制定推进多层次资本市场建设的政策措施；协调推动、培育推荐企业挂牌上市，联系和服务资本市场中介机构，协调上市公司重组、兼并和再融资；牵头全市直接融资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6</w:t>
      </w:r>
      <w:r>
        <w:rPr>
          <w:rFonts w:hint="eastAsia" w:ascii="仿宋" w:hAnsi="仿宋" w:eastAsia="仿宋"/>
          <w:sz w:val="32"/>
          <w:szCs w:val="32"/>
        </w:rPr>
        <w:t>）负责全市地方金融监督管理工作。承担小额贷款公司、融资担保公司、典当行、融资租赁公司、商业保理公司、地方资产管理公司、地方金融控股集团等地方金融组织的监督管理、行政执法、规范发展和风险处置工作；指导协调有关部门和县（市、区）政府做好投资公司、开展信用互助的农民专业合作社、社会众筹机构、地方各类交易场所的规范发展，配合做好风险处置工作；统筹协调互联网金融、民间融资等新型金融业态的监督管理和风险处置工作；负责网络借贷信息中介机构的审核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7</w:t>
      </w:r>
      <w:r>
        <w:rPr>
          <w:rFonts w:hint="eastAsia" w:ascii="仿宋" w:hAnsi="仿宋" w:eastAsia="仿宋"/>
          <w:sz w:val="32"/>
          <w:szCs w:val="32"/>
        </w:rPr>
        <w:t>）依照权限做好地方金融组织的设立、合并、分立以及各类重大事项变更的审核和备案工作。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8</w:t>
      </w:r>
      <w:r>
        <w:rPr>
          <w:rFonts w:hint="eastAsia" w:ascii="仿宋" w:hAnsi="仿宋" w:eastAsia="仿宋"/>
          <w:sz w:val="32"/>
          <w:szCs w:val="32"/>
        </w:rPr>
        <w:t>）组织协调防范和处置化解地方金融风险工作，牵头做好全市金融风险的监测预警、宣传教育、排查化解等工作；负责全市金融突发事件应急机制建设，协调配合有关部门依法做好非法金融案件的调查处理、善后处置和金融稳定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9</w:t>
      </w:r>
      <w:r>
        <w:rPr>
          <w:rFonts w:hint="eastAsia" w:ascii="仿宋" w:hAnsi="仿宋" w:eastAsia="仿宋"/>
          <w:sz w:val="32"/>
          <w:szCs w:val="32"/>
        </w:rPr>
        <w:t>）牵头组织行业主管部门、监管部门等对涉嫌非法集资的单位和个人进行调查认定，依法对非法集资行为进行行政处罚。</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10</w:t>
      </w:r>
      <w:r>
        <w:rPr>
          <w:rFonts w:hint="eastAsia" w:ascii="仿宋" w:hAnsi="仿宋" w:eastAsia="仿宋"/>
          <w:sz w:val="32"/>
          <w:szCs w:val="32"/>
        </w:rPr>
        <w:t>）协调有关部门依法做好防范和处置非法集资以及社会稳定工作；负责做好地方金融消费者权益保护工作。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11</w:t>
      </w:r>
      <w:r>
        <w:rPr>
          <w:rFonts w:hint="eastAsia" w:ascii="仿宋" w:hAnsi="仿宋" w:eastAsia="仿宋"/>
          <w:sz w:val="32"/>
          <w:szCs w:val="32"/>
        </w:rPr>
        <w:t>）完成市委、市政府交办的其他任务。</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textAlignment w:val="auto"/>
        <w:outlineLvl w:val="1"/>
        <w:rPr>
          <w:rFonts w:hint="eastAsia" w:ascii="仿宋" w:hAnsi="仿宋" w:eastAsia="仿宋"/>
          <w:b/>
          <w:bCs/>
          <w:sz w:val="32"/>
          <w:szCs w:val="32"/>
        </w:rPr>
      </w:pPr>
      <w:r>
        <w:rPr>
          <w:rFonts w:hint="eastAsia" w:ascii="仿宋" w:hAnsi="仿宋" w:eastAsia="仿宋"/>
          <w:b/>
          <w:bCs/>
          <w:sz w:val="32"/>
          <w:szCs w:val="32"/>
          <w:lang w:val="en-US" w:eastAsia="zh-CN"/>
        </w:rPr>
        <w:t>2.</w:t>
      </w:r>
      <w:r>
        <w:rPr>
          <w:rFonts w:hint="eastAsia" w:ascii="仿宋" w:hAnsi="仿宋" w:eastAsia="仿宋"/>
          <w:b/>
          <w:bCs/>
          <w:sz w:val="32"/>
          <w:szCs w:val="32"/>
        </w:rPr>
        <w:t>组织机构及人员</w:t>
      </w:r>
      <w:bookmarkEnd w:id="21"/>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我局为行政机关，市政府组成部门，9个内设机构，编制47人，实有50人，其中48人为行政人员，2人为工勤人员。</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textAlignment w:val="auto"/>
        <w:outlineLvl w:val="1"/>
        <w:rPr>
          <w:rFonts w:hint="eastAsia" w:ascii="仿宋" w:hAnsi="仿宋" w:eastAsia="仿宋"/>
          <w:b/>
          <w:bCs/>
          <w:sz w:val="32"/>
          <w:szCs w:val="32"/>
          <w:lang w:val="en-US" w:eastAsia="zh-CN"/>
        </w:rPr>
      </w:pPr>
      <w:bookmarkStart w:id="22" w:name="_Toc26258"/>
      <w:r>
        <w:rPr>
          <w:rFonts w:hint="eastAsia" w:ascii="仿宋" w:hAnsi="仿宋" w:eastAsia="仿宋"/>
          <w:b/>
          <w:bCs/>
          <w:sz w:val="32"/>
          <w:szCs w:val="32"/>
          <w:lang w:val="en-US" w:eastAsia="zh-CN"/>
        </w:rPr>
        <w:t>3.资产情况</w:t>
      </w:r>
      <w:bookmarkEnd w:id="22"/>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截至2022年底，我局共有资产130.65万元，其中：货币资金31.43万元、固定资产净值99.22万元。</w:t>
      </w:r>
    </w:p>
    <w:p>
      <w:pPr>
        <w:adjustRightInd w:val="0"/>
        <w:snapToGrid w:val="0"/>
        <w:spacing w:line="560" w:lineRule="exact"/>
        <w:ind w:firstLine="640" w:firstLineChars="200"/>
        <w:outlineLvl w:val="1"/>
        <w:rPr>
          <w:rFonts w:hint="eastAsia" w:ascii="楷体" w:hAnsi="楷体" w:eastAsia="楷体" w:cs="楷体_GB2312"/>
          <w:bCs/>
          <w:sz w:val="32"/>
          <w:szCs w:val="32"/>
          <w:highlight w:val="none"/>
        </w:rPr>
      </w:pPr>
      <w:bookmarkStart w:id="23" w:name="_Toc21030"/>
      <w:r>
        <w:rPr>
          <w:rFonts w:hint="eastAsia" w:ascii="楷体" w:hAnsi="楷体" w:eastAsia="楷体" w:cs="楷体_GB2312"/>
          <w:bCs/>
          <w:sz w:val="32"/>
          <w:szCs w:val="32"/>
          <w:highlight w:val="none"/>
        </w:rPr>
        <w:t>（二）部门收支预决算情况</w:t>
      </w:r>
      <w:bookmarkEnd w:id="23"/>
    </w:p>
    <w:p>
      <w:pPr>
        <w:adjustRightInd w:val="0"/>
        <w:snapToGrid w:val="0"/>
        <w:spacing w:line="560" w:lineRule="exact"/>
        <w:ind w:firstLine="640" w:firstLineChars="200"/>
        <w:rPr>
          <w:rFonts w:hint="eastAsia" w:ascii="仿宋" w:hAnsi="仿宋" w:eastAsia="仿宋"/>
          <w:sz w:val="32"/>
          <w:szCs w:val="32"/>
          <w:lang w:val="en-US" w:eastAsia="zh-CN"/>
        </w:rPr>
      </w:pPr>
      <w:bookmarkStart w:id="24" w:name="_Toc22150"/>
      <w:bookmarkStart w:id="25" w:name="_Toc15197"/>
      <w:bookmarkStart w:id="26" w:name="_Toc32759"/>
      <w:bookmarkStart w:id="27" w:name="_Toc16442"/>
      <w:r>
        <w:rPr>
          <w:rFonts w:hint="eastAsia" w:ascii="仿宋" w:hAnsi="仿宋" w:eastAsia="仿宋"/>
          <w:sz w:val="32"/>
          <w:szCs w:val="32"/>
          <w:lang w:val="en-US" w:eastAsia="zh-CN"/>
        </w:rPr>
        <w:t>1.预算安排情况</w:t>
      </w:r>
      <w:bookmarkEnd w:id="24"/>
      <w:bookmarkEnd w:id="25"/>
      <w:bookmarkEnd w:id="26"/>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2022年我局预算收入4654.61万元，均为一般公共预算财政拨款收入。</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2022年预算支出4654.61万元，其中：基本支出867.01万元，包括人员经费749万元和公用经费118.01万元；项目支出3778.10万元。</w:t>
      </w:r>
    </w:p>
    <w:p>
      <w:pPr>
        <w:adjustRightInd w:val="0"/>
        <w:snapToGrid w:val="0"/>
        <w:spacing w:line="560" w:lineRule="exact"/>
        <w:ind w:firstLine="640" w:firstLineChars="200"/>
        <w:rPr>
          <w:rFonts w:hint="default" w:ascii="仿宋" w:hAnsi="仿宋" w:eastAsia="仿宋"/>
          <w:sz w:val="32"/>
          <w:szCs w:val="32"/>
          <w:lang w:val="en-US" w:eastAsia="zh-CN"/>
        </w:rPr>
      </w:pPr>
      <w:bookmarkStart w:id="28" w:name="_Toc5884"/>
      <w:bookmarkStart w:id="29" w:name="_Toc21479"/>
      <w:bookmarkStart w:id="30" w:name="_Toc14462"/>
      <w:r>
        <w:rPr>
          <w:rFonts w:hint="eastAsia" w:ascii="仿宋" w:hAnsi="仿宋" w:eastAsia="仿宋"/>
          <w:sz w:val="32"/>
          <w:szCs w:val="32"/>
          <w:lang w:val="en-US" w:eastAsia="zh-CN"/>
        </w:rPr>
        <w:t>2.预算调整情况</w:t>
      </w:r>
      <w:bookmarkEnd w:id="28"/>
      <w:bookmarkEnd w:id="29"/>
      <w:bookmarkEnd w:id="30"/>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2022年我局调整后预算收入6467.75元，其中：一般公共预算财政拨款收入6302.73万元、年初结转和结余165.02万元。</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2022年调整后预算支出6467.75万元，其中：基本支出1189.65万元，包括人员经费1071.64万元和公用经费118.01万元；项目支出5278.10万元。</w:t>
      </w:r>
    </w:p>
    <w:p>
      <w:pPr>
        <w:adjustRightInd w:val="0"/>
        <w:snapToGrid w:val="0"/>
        <w:spacing w:line="560" w:lineRule="exact"/>
        <w:ind w:firstLine="640" w:firstLineChars="200"/>
        <w:rPr>
          <w:rFonts w:hint="eastAsia" w:ascii="仿宋" w:hAnsi="仿宋" w:eastAsia="仿宋"/>
          <w:sz w:val="32"/>
          <w:szCs w:val="32"/>
          <w:lang w:val="en-US" w:eastAsia="zh-CN"/>
        </w:rPr>
      </w:pPr>
      <w:bookmarkStart w:id="31" w:name="_Toc28078"/>
      <w:bookmarkStart w:id="32" w:name="_Toc14823"/>
      <w:bookmarkStart w:id="33" w:name="_Toc13174"/>
      <w:r>
        <w:rPr>
          <w:rFonts w:hint="eastAsia" w:ascii="仿宋" w:hAnsi="仿宋" w:eastAsia="仿宋"/>
          <w:sz w:val="32"/>
          <w:szCs w:val="32"/>
          <w:lang w:val="en-US" w:eastAsia="zh-CN"/>
        </w:rPr>
        <w:t>3.决算情况</w:t>
      </w:r>
      <w:bookmarkEnd w:id="31"/>
      <w:bookmarkEnd w:id="32"/>
      <w:bookmarkEnd w:id="33"/>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2022年我局收入决算6258.84元，其中：一般公共预算财政拨款收入6093.82万元、年初结转和结余165.02万元。</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2022年支出决算6227.41万元，其中：基本支出1151.3万元，包括人员经费1041.41万元和公用经费109.89万元；项目支出5076.11万元。</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2022年末结转和结余31.43万元。</w:t>
      </w:r>
    </w:p>
    <w:p>
      <w:pPr>
        <w:adjustRightInd w:val="0"/>
        <w:snapToGrid w:val="0"/>
        <w:spacing w:line="560" w:lineRule="exact"/>
        <w:ind w:firstLine="640" w:firstLineChars="200"/>
        <w:outlineLvl w:val="1"/>
        <w:rPr>
          <w:rFonts w:hint="eastAsia" w:ascii="楷体" w:hAnsi="楷体" w:eastAsia="楷体" w:cs="楷体_GB2312"/>
          <w:bCs/>
          <w:sz w:val="32"/>
          <w:szCs w:val="32"/>
        </w:rPr>
      </w:pPr>
      <w:r>
        <w:rPr>
          <w:rFonts w:hint="eastAsia" w:ascii="楷体" w:hAnsi="楷体" w:eastAsia="楷体" w:cs="楷体_GB2312"/>
          <w:bCs/>
          <w:sz w:val="32"/>
          <w:szCs w:val="32"/>
        </w:rPr>
        <w:t>（三）部门整体支出绩效目标、指标</w:t>
      </w:r>
      <w:bookmarkEnd w:id="27"/>
    </w:p>
    <w:p>
      <w:pPr>
        <w:adjustRightInd w:val="0"/>
        <w:snapToGrid w:val="0"/>
        <w:spacing w:line="560" w:lineRule="exact"/>
        <w:ind w:firstLine="643" w:firstLineChars="200"/>
        <w:outlineLvl w:val="1"/>
        <w:rPr>
          <w:rFonts w:hint="default" w:ascii="仿宋" w:hAnsi="仿宋" w:eastAsia="仿宋"/>
          <w:b/>
          <w:bCs/>
          <w:sz w:val="32"/>
          <w:szCs w:val="32"/>
          <w:lang w:val="en-US" w:eastAsia="zh-CN"/>
        </w:rPr>
      </w:pPr>
      <w:bookmarkStart w:id="34" w:name="_Toc10432"/>
      <w:r>
        <w:rPr>
          <w:rFonts w:hint="eastAsia" w:ascii="仿宋" w:hAnsi="仿宋" w:eastAsia="仿宋"/>
          <w:b/>
          <w:bCs/>
          <w:sz w:val="32"/>
          <w:szCs w:val="32"/>
          <w:lang w:val="en-US" w:eastAsia="zh-CN"/>
        </w:rPr>
        <w:t>1.总体绩效目标</w:t>
      </w:r>
      <w:bookmarkEnd w:id="34"/>
    </w:p>
    <w:p>
      <w:pPr>
        <w:adjustRightInd w:val="0"/>
        <w:snapToGrid w:val="0"/>
        <w:spacing w:line="560" w:lineRule="exact"/>
        <w:ind w:firstLine="640" w:firstLineChars="200"/>
        <w:rPr>
          <w:rFonts w:hint="eastAsia" w:ascii="仿宋" w:hAnsi="仿宋" w:eastAsia="仿宋"/>
          <w:sz w:val="32"/>
          <w:szCs w:val="32"/>
          <w:lang w:val="en-US" w:eastAsia="zh-CN"/>
        </w:rPr>
      </w:pPr>
      <w:bookmarkStart w:id="35" w:name="_Toc18265"/>
      <w:r>
        <w:rPr>
          <w:rFonts w:hint="eastAsia" w:ascii="仿宋" w:hAnsi="仿宋" w:eastAsia="仿宋"/>
          <w:sz w:val="32"/>
          <w:szCs w:val="32"/>
          <w:lang w:val="en-US" w:eastAsia="zh-CN"/>
        </w:rPr>
        <w:t>2022年，我局将继续统筹推进服务实体经济、防控金融风险、深化金融改革、强化地方金融监管等工作，凝聚全市金融力量，完善扶持政策，优化金融资源配置，激发金融机构主体活力，推动金融服务提质、监管提效、产业提级，为解决发展不平衡不充分问题，推动高质量发展提供更加坚实有力的金融支撑，助力加快建设现代化国际化美丽省会城市。</w:t>
      </w:r>
    </w:p>
    <w:p>
      <w:pPr>
        <w:adjustRightInd w:val="0"/>
        <w:snapToGrid w:val="0"/>
        <w:spacing w:line="560" w:lineRule="exact"/>
        <w:ind w:firstLine="643" w:firstLineChars="200"/>
        <w:outlineLvl w:val="1"/>
        <w:rPr>
          <w:rFonts w:hint="eastAsia" w:ascii="仿宋" w:hAnsi="仿宋" w:eastAsia="仿宋"/>
          <w:b/>
          <w:bCs/>
          <w:sz w:val="32"/>
          <w:szCs w:val="32"/>
        </w:rPr>
      </w:pPr>
      <w:r>
        <w:rPr>
          <w:rFonts w:hint="eastAsia" w:ascii="仿宋" w:hAnsi="仿宋" w:eastAsia="仿宋"/>
          <w:b/>
          <w:bCs/>
          <w:sz w:val="32"/>
          <w:szCs w:val="32"/>
          <w:lang w:val="en-US" w:eastAsia="zh-CN"/>
        </w:rPr>
        <w:t>2.</w:t>
      </w:r>
      <w:r>
        <w:rPr>
          <w:rFonts w:hint="eastAsia" w:ascii="仿宋" w:hAnsi="仿宋" w:eastAsia="仿宋"/>
          <w:b/>
          <w:bCs/>
          <w:sz w:val="32"/>
          <w:szCs w:val="32"/>
        </w:rPr>
        <w:t>分项绩效目标</w:t>
      </w:r>
      <w:bookmarkEnd w:id="35"/>
    </w:p>
    <w:p>
      <w:pPr>
        <w:adjustRightInd w:val="0"/>
        <w:snapToGrid w:val="0"/>
        <w:spacing w:line="560" w:lineRule="exact"/>
        <w:ind w:firstLine="640" w:firstLineChars="200"/>
        <w:rPr>
          <w:rFonts w:hint="eastAsia" w:ascii="仿宋" w:hAnsi="仿宋" w:eastAsia="仿宋"/>
          <w:sz w:val="32"/>
          <w:szCs w:val="32"/>
          <w:lang w:val="en-US" w:eastAsia="zh-CN"/>
        </w:rPr>
      </w:pPr>
      <w:bookmarkStart w:id="36" w:name="_Toc20923"/>
      <w:r>
        <w:rPr>
          <w:rFonts w:hint="eastAsia" w:ascii="仿宋" w:hAnsi="仿宋" w:eastAsia="仿宋"/>
          <w:sz w:val="32"/>
          <w:szCs w:val="32"/>
          <w:lang w:val="en-US" w:eastAsia="zh-CN"/>
        </w:rPr>
        <w:t>（1）进一步扩大有效信贷投放</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加强经济金融形势研判，支持金融机构落实国家货币政策，保持信贷增速与经济增长合理匹配。认真组织小微信贷投放奖补等政策落地落实，提升金融支持实体经济质效；组织多层次、多形式银企对接活动，及时发布产业和企业融资信息，引导金融机构加大对省、市重大战略以及重点领域的支持力度；鼓励发展政府性融资担保机构，为小微企业和“三农”提供低费率的融资担保服务；鼓励金融机构发展数字金融，加强金融服务创新和产品创新，引导金融机构扩大对我市信贷投放和资金配置。</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绩效指标：广泛开展银企对接活动，不少于 4 次。</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（2）加快企业挂牌上市步伐</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紧跟资本市场注册制改革形势，面向企业家和市县金融干部开展资本市场知识培训，广泛宣传省市县各级支持企业上市的优惠政策、服务措施；深度挖掘优质挂牌上市后备企业资源，做好对初步具备上市条件的企业重点扶持培育；支持符合条件的企业在科创板上市，拓宽企业融资渠道，降低企业融资成本；支持初创型、科技型中小企业在“新三板”挂牌，鼓励中小微企业在区域性股权交易所挂牌融资。鼓励符合条件的企业灵活选择债券品种融资，鼓励符合条件的企业或机构发行绿色债券。</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绩效指标：加大拟挂牌上市企业培训，召开企业上市培训会 2 次以上。深入开展调查研究，及时发现、帮助企业协调挂牌上市融资过程中遇到的问题，年内推动 20 家以上企业到境内外多层次资本市场挂牌上市融资。</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（3）持续深化金融领域改革</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打造金融集聚区，吸引境内外金融机构总部、区域性总部和功能性总部落户展业。积极承接北京疏解非首都功能，支持重大金融基础设施落户；深入推进农村信用社改制，支持中小银行和农村信用社持续健康发展；支持保险机构设立特色鲜明的区域性、专业性机构。大力发展科技保险、信用保险、农业保险、民生保险、责任保险、商业养老保险等保险业务，提升风险保障水平。鼓励保险机构通过股权、债权等方式，支持我市重点区域、重点产业和重点项目建设。</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绩效指标：农村信用社改革持续推进，服务能力得到明显提升。规范发展小额贷款公司、区域性股权市场等地方金融组织，坚持依法合规、稳健运营，服务地方实体经济发展，防范和化解区域金融风险。</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（4）加强地方金融监管工作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规范发展典当、小额贷款、融资担保、融资租赁、商业保理等地方金融组织，支持符合条件的地方金融组织充实资本，提升实力，增强地方金融服务实体经济的能力和水平；认真做好地方金融组织的业务报送工作，及时监测地方金融组织的业务风险，促进全市地方金融组织健康发展；进一步做好典当行、小额贷款公司年审工作，积极开展 2022 年“双随机、一公开”现场检查，引导督促地方金融组织合法合规经营。</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绩效指标： 组织局机关执法人员开展至少 1 次行政执法培训，按照“双随机、</w:t>
      </w:r>
      <w:bookmarkStart w:id="71" w:name="_GoBack"/>
      <w:bookmarkEnd w:id="71"/>
      <w:r>
        <w:rPr>
          <w:rFonts w:hint="eastAsia" w:ascii="仿宋" w:hAnsi="仿宋" w:eastAsia="仿宋"/>
          <w:sz w:val="32"/>
          <w:szCs w:val="32"/>
          <w:lang w:val="en-US" w:eastAsia="zh-CN"/>
        </w:rPr>
        <w:t>一公开”行政执法检查要求，小额贷款公司、典当行抽查机构数不低于 5%，融资担保机构年度抽查机构数不低于 10%。</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（5）加大金融风险防范化解力度</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做好《防范和处置非法集资条例》落地衔接，压实各级各方责任，强化督查考核问责，推动各级各方形成有效工作合力，严厉打击非法集资，坚决遏制增量风险；稳妥有序处置存量金融风险，加快存量风险出清；强化金融风险监测预警，依托河北“金融云”监管服务平台，完善信息共享和监测预警机制，及时全面准确掌握金融风险状况；开展金融风险防范集中宣传和日常宣传活动，综合运用多种工具，提高全社会防范金融风险意识和能力。</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绩效指标：组织开展全市集中宣传活动不少于 1 次。加强监测预警，组织开展非法集资风险排查整治活动不少于1次。</w:t>
      </w:r>
    </w:p>
    <w:p>
      <w:pPr>
        <w:adjustRightInd w:val="0"/>
        <w:snapToGrid w:val="0"/>
        <w:spacing w:line="560" w:lineRule="exact"/>
        <w:ind w:firstLine="640" w:firstLineChars="200"/>
        <w:outlineLvl w:val="0"/>
        <w:rPr>
          <w:rFonts w:ascii="黑体" w:hAnsi="黑体" w:eastAsia="黑体"/>
          <w:sz w:val="32"/>
          <w:szCs w:val="32"/>
        </w:rPr>
      </w:pPr>
      <w:r>
        <w:rPr>
          <w:rFonts w:hint="eastAsia" w:ascii="黑体" w:hAnsi="黑体" w:eastAsia="黑体"/>
          <w:sz w:val="32"/>
          <w:szCs w:val="32"/>
        </w:rPr>
        <w:t>二、自评工作开展情况</w:t>
      </w:r>
      <w:bookmarkEnd w:id="36"/>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ascii="楷体" w:hAnsi="楷体" w:eastAsia="楷体" w:cs="楷体_GB2312"/>
          <w:sz w:val="32"/>
          <w:szCs w:val="32"/>
        </w:rPr>
      </w:pPr>
      <w:bookmarkStart w:id="37" w:name="_Toc29697"/>
      <w:r>
        <w:rPr>
          <w:rFonts w:hint="eastAsia" w:ascii="楷体" w:hAnsi="楷体" w:eastAsia="楷体" w:cs="楷体_GB2312"/>
          <w:bCs/>
          <w:sz w:val="32"/>
          <w:szCs w:val="32"/>
        </w:rPr>
        <w:t>（一）自评的组织工作</w:t>
      </w:r>
      <w:bookmarkEnd w:id="37"/>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我局为推进本年度预算绩效评价工作，成立绩效工作组，按照通知要求，评</w:t>
      </w:r>
      <w:bookmarkStart w:id="38" w:name="_Hlk43651802"/>
      <w:r>
        <w:rPr>
          <w:rFonts w:hint="eastAsia" w:ascii="仿宋" w:hAnsi="仿宋" w:eastAsia="仿宋"/>
          <w:sz w:val="32"/>
          <w:szCs w:val="32"/>
          <w:lang w:val="en-US" w:eastAsia="zh-CN"/>
        </w:rPr>
        <w:t>价工作组制定自评工作方案，明确评价内容、评价程序及时间安排。组织相关人员召开专题会议，传达自评价工作要求和部署各项工作安排。全面收集评价所需基础信息资料并对资料进行分类整理、审查和分析</w:t>
      </w:r>
      <w:bookmarkEnd w:id="38"/>
      <w:r>
        <w:rPr>
          <w:rFonts w:hint="eastAsia" w:ascii="仿宋" w:hAnsi="仿宋" w:eastAsia="仿宋"/>
          <w:sz w:val="32"/>
          <w:szCs w:val="32"/>
          <w:lang w:val="en-US" w:eastAsia="zh-CN"/>
        </w:rPr>
        <w:t>自评的方法和过程。</w:t>
      </w:r>
      <w:bookmarkStart w:id="39" w:name="_Toc10325"/>
      <w:bookmarkStart w:id="40" w:name="_Toc7154"/>
      <w:bookmarkStart w:id="41" w:name="_Toc9252"/>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_GB2312"/>
          <w:bCs/>
          <w:sz w:val="32"/>
          <w:szCs w:val="32"/>
          <w:lang w:val="en-US" w:eastAsia="zh-CN"/>
        </w:rPr>
      </w:pPr>
      <w:bookmarkStart w:id="42" w:name="_Toc11550"/>
      <w:r>
        <w:rPr>
          <w:rFonts w:hint="eastAsia" w:ascii="楷体" w:hAnsi="楷体" w:eastAsia="楷体" w:cs="楷体_GB2312"/>
          <w:bCs/>
          <w:sz w:val="32"/>
          <w:szCs w:val="32"/>
          <w:lang w:val="en-US" w:eastAsia="zh-CN"/>
        </w:rPr>
        <w:fldChar w:fldCharType="begin"/>
      </w:r>
      <w:r>
        <w:rPr>
          <w:rFonts w:hint="eastAsia" w:ascii="楷体" w:hAnsi="楷体" w:eastAsia="楷体" w:cs="楷体_GB2312"/>
          <w:bCs/>
          <w:sz w:val="32"/>
          <w:szCs w:val="32"/>
          <w:lang w:val="en-US" w:eastAsia="zh-CN"/>
        </w:rPr>
        <w:instrText xml:space="preserve"> HYPERLINK \l "_Toc29256" </w:instrText>
      </w:r>
      <w:r>
        <w:rPr>
          <w:rFonts w:hint="eastAsia" w:ascii="楷体" w:hAnsi="楷体" w:eastAsia="楷体" w:cs="楷体_GB2312"/>
          <w:bCs/>
          <w:sz w:val="32"/>
          <w:szCs w:val="32"/>
          <w:lang w:val="en-US" w:eastAsia="zh-CN"/>
        </w:rPr>
        <w:fldChar w:fldCharType="separate"/>
      </w:r>
      <w:r>
        <w:rPr>
          <w:rFonts w:hint="eastAsia" w:ascii="楷体" w:hAnsi="楷体" w:eastAsia="楷体" w:cs="楷体_GB2312"/>
          <w:bCs/>
          <w:sz w:val="32"/>
          <w:szCs w:val="32"/>
          <w:lang w:val="en-US" w:eastAsia="zh-CN"/>
        </w:rPr>
        <w:t>（二）确定评价内容</w:t>
      </w:r>
      <w:r>
        <w:rPr>
          <w:rFonts w:hint="eastAsia" w:ascii="楷体" w:hAnsi="楷体" w:eastAsia="楷体" w:cs="楷体_GB2312"/>
          <w:bCs/>
          <w:sz w:val="32"/>
          <w:szCs w:val="32"/>
          <w:lang w:val="en-US" w:eastAsia="zh-CN"/>
        </w:rPr>
        <w:fldChar w:fldCharType="end"/>
      </w:r>
      <w:bookmarkEnd w:id="39"/>
      <w:bookmarkEnd w:id="40"/>
      <w:bookmarkEnd w:id="41"/>
      <w:bookmarkEnd w:id="42"/>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按照我局使用部门项目内容覆盖，对资金执行情况进行重点评价的工作思路，准确掌握部门整体支付使用相关政策落实情况、项目招投标、采购及合同管理情况、资金使用管理情况等，在此基础上，开展地方金融监管经费、防范和处置非法集资经费等10个项目完成情况、资金使用产生的经济效益、社会效益、生态效益以及工作人员或受益群众的满意度情况等的评价工作。同时，结合该项目的实施及项目完成的实际情况，总结经验，发现不足，分析存在的问题，并针对存在的主要问题提出可行的改进措施，针对自评结果依法报送并公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_GB2312"/>
          <w:bCs/>
          <w:sz w:val="32"/>
          <w:szCs w:val="32"/>
          <w:lang w:val="en-US" w:eastAsia="zh-CN"/>
        </w:rPr>
      </w:pPr>
      <w:bookmarkStart w:id="43" w:name="_Toc13675"/>
      <w:bookmarkStart w:id="44" w:name="_Toc11327"/>
      <w:bookmarkStart w:id="45" w:name="_Toc1205"/>
      <w:r>
        <w:rPr>
          <w:rFonts w:hint="eastAsia" w:ascii="楷体" w:hAnsi="楷体" w:eastAsia="楷体" w:cs="楷体_GB2312"/>
          <w:bCs/>
          <w:sz w:val="32"/>
          <w:szCs w:val="32"/>
          <w:lang w:val="en-US" w:eastAsia="zh-CN"/>
        </w:rPr>
        <w:t>（三）绩效自评目的</w:t>
      </w:r>
      <w:bookmarkEnd w:id="43"/>
      <w:bookmarkEnd w:id="44"/>
      <w:bookmarkEnd w:id="45"/>
    </w:p>
    <w:p>
      <w:pPr>
        <w:adjustRightInd w:val="0"/>
        <w:snapToGrid w:val="0"/>
        <w:spacing w:line="560" w:lineRule="exact"/>
        <w:ind w:firstLine="640" w:firstLineChars="200"/>
        <w:rPr>
          <w:rFonts w:hint="eastAsia" w:ascii="仿宋" w:hAnsi="仿宋" w:eastAsia="仿宋"/>
          <w:sz w:val="32"/>
          <w:szCs w:val="32"/>
          <w:lang w:val="en-US" w:eastAsia="zh-CN"/>
        </w:rPr>
      </w:pPr>
      <w:bookmarkStart w:id="46" w:name="_Toc7758"/>
      <w:bookmarkStart w:id="47" w:name="_Toc22462"/>
      <w:bookmarkStart w:id="48" w:name="_Toc19442"/>
      <w:r>
        <w:rPr>
          <w:rFonts w:hint="eastAsia" w:ascii="仿宋" w:hAnsi="仿宋" w:eastAsia="仿宋"/>
          <w:sz w:val="32"/>
          <w:szCs w:val="32"/>
          <w:lang w:val="en-US" w:eastAsia="zh-CN"/>
        </w:rPr>
        <w:t>本次绩效自评将结合我局2022年度部门整体支出实际情况，运用科学、规范、合理的评价方法，全面、真实、客观地对我局年度一般公共预算财政拨款资金支出情况、相关制度健全性、项目完成情况及部门履职效果等内容进行综合评价全面反映财政资金使用成效和部门职能的实现程度，针对评价过程中发现的问题进一步提出相关意见建议，为以后年度我局履行部门职责作出更好的预算管理和资金安排。</w:t>
      </w:r>
      <w:bookmarkEnd w:id="46"/>
      <w:bookmarkEnd w:id="47"/>
      <w:bookmarkEnd w:id="48"/>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_GB2312"/>
          <w:bCs/>
          <w:sz w:val="32"/>
          <w:szCs w:val="32"/>
          <w:lang w:val="en-US" w:eastAsia="zh-CN"/>
        </w:rPr>
      </w:pPr>
      <w:bookmarkStart w:id="49" w:name="_Toc1859"/>
      <w:r>
        <w:rPr>
          <w:rFonts w:hint="eastAsia" w:ascii="楷体" w:hAnsi="楷体" w:eastAsia="楷体" w:cs="楷体_GB2312"/>
          <w:bCs/>
          <w:sz w:val="32"/>
          <w:szCs w:val="32"/>
          <w:lang w:val="en-US" w:eastAsia="zh-CN"/>
        </w:rPr>
        <w:t>（四）自评的方法</w:t>
      </w:r>
      <w:bookmarkEnd w:id="49"/>
      <w:bookmarkStart w:id="50" w:name="_Toc25386"/>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1.科学公正原则。此次绩效自评运用科学合理的方法，按照规范的程序，对我局部门整体预算资金使用绩效进行客观、公正的反映。</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2.统筹兼顾原则。单位自评、部门自评和财政自评应职责明确，各有侧重，相互衔接，绩效自评结果将上报财政部门作为财政自评参考依据。</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3.激励约束原则。此次绩效自评结果与预算安排、政策调整、改进管理实质性挂钩，体现奖优罚劣和激励相容导向，有效安排、低效压减、无效问责。</w:t>
      </w:r>
    </w:p>
    <w:bookmarkEnd w:id="50"/>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_GB2312"/>
          <w:bCs/>
          <w:sz w:val="32"/>
          <w:szCs w:val="32"/>
          <w:lang w:val="en-US" w:eastAsia="zh-CN"/>
        </w:rPr>
      </w:pPr>
      <w:bookmarkStart w:id="51" w:name="_Toc8765"/>
      <w:bookmarkStart w:id="52" w:name="_Toc14749"/>
      <w:bookmarkStart w:id="53" w:name="_Toc112"/>
      <w:r>
        <w:rPr>
          <w:rFonts w:hint="eastAsia" w:ascii="楷体" w:hAnsi="楷体" w:eastAsia="楷体" w:cs="楷体_GB2312"/>
          <w:bCs/>
          <w:sz w:val="32"/>
          <w:szCs w:val="32"/>
          <w:lang w:val="en-US" w:eastAsia="zh-CN"/>
        </w:rPr>
        <w:t>（五）绩效自评</w:t>
      </w:r>
      <w:bookmarkEnd w:id="51"/>
      <w:bookmarkEnd w:id="52"/>
      <w:r>
        <w:rPr>
          <w:rFonts w:hint="eastAsia" w:ascii="楷体" w:hAnsi="楷体" w:eastAsia="楷体" w:cs="楷体_GB2312"/>
          <w:bCs/>
          <w:sz w:val="32"/>
          <w:szCs w:val="32"/>
          <w:lang w:val="en-US" w:eastAsia="zh-CN"/>
        </w:rPr>
        <w:t>过程</w:t>
      </w:r>
      <w:bookmarkEnd w:id="53"/>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次绩效自评将资金使用产出及效果与年初指标值相比较，完成相应指标值；对完成值高于指标值较多的，分析其形成原因，针对评价过程中发现的问题进一步提出相关意见建议，为以后年度我局履行部门职责作出更好的预算管理和资金安排。</w:t>
      </w:r>
    </w:p>
    <w:p>
      <w:pPr>
        <w:spacing w:line="560" w:lineRule="exact"/>
        <w:outlineLvl w:val="0"/>
        <w:rPr>
          <w:rFonts w:ascii="黑体" w:hAnsi="黑体" w:eastAsia="黑体"/>
          <w:b/>
          <w:bCs/>
          <w:sz w:val="32"/>
          <w:szCs w:val="32"/>
        </w:rPr>
      </w:pPr>
      <w:r>
        <w:rPr>
          <w:rFonts w:hint="eastAsia" w:ascii="黑体" w:hAnsi="黑体" w:eastAsia="黑体"/>
          <w:sz w:val="32"/>
          <w:szCs w:val="32"/>
        </w:rPr>
        <w:t xml:space="preserve">    </w:t>
      </w:r>
      <w:bookmarkStart w:id="54" w:name="_Toc31742"/>
      <w:r>
        <w:rPr>
          <w:rFonts w:hint="eastAsia" w:ascii="黑体" w:hAnsi="黑体" w:eastAsia="黑体"/>
          <w:sz w:val="32"/>
          <w:szCs w:val="32"/>
        </w:rPr>
        <w:t>三、部门整体支出绩效目标实现情况及指标分析</w:t>
      </w:r>
      <w:bookmarkEnd w:id="54"/>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_GB2312"/>
          <w:bCs/>
          <w:sz w:val="32"/>
          <w:szCs w:val="32"/>
          <w:lang w:val="en-US" w:eastAsia="zh-CN"/>
        </w:rPr>
      </w:pPr>
      <w:bookmarkStart w:id="55" w:name="_Toc31361"/>
      <w:r>
        <w:rPr>
          <w:rFonts w:hint="eastAsia" w:ascii="楷体" w:hAnsi="楷体" w:eastAsia="楷体" w:cs="楷体_GB2312"/>
          <w:bCs/>
          <w:sz w:val="32"/>
          <w:szCs w:val="32"/>
          <w:lang w:val="en-US" w:eastAsia="zh-CN"/>
        </w:rPr>
        <w:t>（一）总体绩效目标实现情况</w:t>
      </w:r>
      <w:bookmarkEnd w:id="55"/>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2022年以来，我局认真贯彻落实市委市政府决策部署，提高政治站位、强化系统思维，聚焦金融贡献、聚力稳企惠企、聚合金融监管，紧盯任务目标、狠抓工作落实，金融工作继续保持健康稳定的发展态势。全市金融业增加值、存贷款余额、直接融资、新增上市公司等主要金融指标继续领先全省。</w:t>
      </w:r>
    </w:p>
    <w:p>
      <w:pPr>
        <w:spacing w:line="560" w:lineRule="exact"/>
        <w:outlineLvl w:val="1"/>
        <w:rPr>
          <w:rFonts w:ascii="楷体" w:hAnsi="楷体" w:eastAsia="楷体"/>
          <w:bCs/>
          <w:sz w:val="32"/>
          <w:szCs w:val="32"/>
        </w:rPr>
      </w:pPr>
      <w:r>
        <w:rPr>
          <w:rFonts w:hint="eastAsia" w:ascii="仿宋" w:hAnsi="仿宋" w:eastAsia="仿宋" w:cs="楷体_GB2312"/>
          <w:b/>
          <w:bCs/>
          <w:sz w:val="32"/>
          <w:szCs w:val="32"/>
        </w:rPr>
        <w:t xml:space="preserve">    </w:t>
      </w:r>
      <w:bookmarkStart w:id="56" w:name="_Toc30758"/>
      <w:r>
        <w:rPr>
          <w:rFonts w:hint="eastAsia" w:ascii="楷体" w:hAnsi="楷体" w:eastAsia="楷体" w:cs="楷体_GB2312"/>
          <w:bCs/>
          <w:sz w:val="32"/>
          <w:szCs w:val="32"/>
          <w:lang w:val="en-US" w:eastAsia="zh-CN"/>
        </w:rPr>
        <w:t>（二）分项绩效目标实现情况及指标分析</w:t>
      </w:r>
      <w:bookmarkEnd w:id="56"/>
    </w:p>
    <w:p>
      <w:pPr>
        <w:adjustRightInd w:val="0"/>
        <w:snapToGrid w:val="0"/>
        <w:spacing w:line="560" w:lineRule="exact"/>
        <w:ind w:firstLine="640" w:firstLineChars="200"/>
        <w:rPr>
          <w:rFonts w:hint="eastAsia" w:ascii="仿宋" w:hAnsi="仿宋" w:eastAsia="仿宋"/>
          <w:sz w:val="32"/>
          <w:szCs w:val="32"/>
          <w:lang w:val="en-US" w:eastAsia="zh-CN"/>
        </w:rPr>
      </w:pPr>
      <w:bookmarkStart w:id="57" w:name="_Toc28059"/>
      <w:r>
        <w:rPr>
          <w:rFonts w:hint="eastAsia" w:ascii="仿宋" w:hAnsi="仿宋" w:eastAsia="仿宋"/>
          <w:sz w:val="32"/>
          <w:szCs w:val="32"/>
          <w:lang w:val="en-US" w:eastAsia="zh-CN"/>
        </w:rPr>
        <w:t>（1）进一步扩大有效信贷投放</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我局按照2022年初绩效工作的要求，</w:t>
      </w:r>
      <w:r>
        <w:rPr>
          <w:rFonts w:hint="eastAsia" w:ascii="仿宋" w:hAnsi="仿宋" w:eastAsia="仿宋"/>
          <w:sz w:val="32"/>
          <w:szCs w:val="32"/>
          <w:lang w:val="en" w:eastAsia="zh-CN"/>
        </w:rPr>
        <w:t>深入贯彻落实各项政策措施，引导金融机构扩大信贷投放，强化金融服务实体经济功能。初步实现了全市贷款存量“稳”、增量“扩”、结构“优”、成本“降”的目标。截至2022年10月末，全市金融机构本外币各项贷款余额15900.43亿元，位居全省第一位，同比增长10.11%。</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（2）加快企业挂牌上市步伐</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我局按照2022年初绩效工作的要求，加大拟挂牌上市企业培训，深入开展调查研究，及时发现、帮助企业协调挂牌上市融资过程中遇到的问题，年内推动企业到境内外多层次资本市场挂牌上市融资。</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截至目前，全市挂牌上市企业242家，其中在境内上市22家，在境外上市11家，在“新三板”挂牌55家，在河北股权交易所挂牌154家；全市拟上市企业13家，其中审核期企业5家，辅导期企业8家。今年以来，全市新增2家上市企业</w:t>
      </w:r>
      <w:r>
        <w:rPr>
          <w:rFonts w:hint="eastAsia" w:ascii="楷体" w:hAnsi="楷体" w:eastAsia="楷体" w:cs="楷体"/>
          <w:sz w:val="32"/>
          <w:szCs w:val="32"/>
          <w:lang w:val="en-US" w:eastAsia="zh-CN"/>
        </w:rPr>
        <w:t>（高新区的河北工大科雅能源科技股份有限公司在深交所创业板上市、无极县的石家庄尚太科技股份有限公司在深交所主板上市</w:t>
      </w:r>
      <w:r>
        <w:rPr>
          <w:rFonts w:hint="eastAsia" w:ascii="仿宋_GB2312" w:hAnsi="仿宋_GB2312" w:eastAsia="仿宋_GB2312" w:cs="仿宋_GB2312"/>
          <w:sz w:val="32"/>
          <w:szCs w:val="32"/>
          <w:lang w:val="en-US" w:eastAsia="zh-CN"/>
        </w:rPr>
        <w:t>）</w:t>
      </w:r>
      <w:r>
        <w:rPr>
          <w:rFonts w:hint="eastAsia" w:ascii="仿宋" w:hAnsi="仿宋" w:eastAsia="仿宋"/>
          <w:sz w:val="32"/>
          <w:szCs w:val="32"/>
          <w:lang w:val="en-US" w:eastAsia="zh-CN"/>
        </w:rPr>
        <w:t>，新增3家挂牌企业，新增3家审核期企业,新增1家辅导期企业。我市企业挂牌上市数量始终位居全省首位，资本市场“石家庄板块”初具规模。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（3）持续深化金融领域改革</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我局按照2022年初绩效工作的要求，</w:t>
      </w:r>
      <w:r>
        <w:rPr>
          <w:rFonts w:hint="eastAsia" w:ascii="仿宋" w:hAnsi="仿宋" w:eastAsia="仿宋"/>
          <w:b/>
          <w:bCs/>
          <w:sz w:val="32"/>
          <w:szCs w:val="32"/>
          <w:lang w:val="en-US" w:eastAsia="zh-CN"/>
        </w:rPr>
        <w:t>一是</w:t>
      </w:r>
      <w:r>
        <w:rPr>
          <w:rFonts w:hint="eastAsia" w:ascii="仿宋" w:hAnsi="仿宋" w:eastAsia="仿宋"/>
          <w:sz w:val="32"/>
          <w:szCs w:val="32"/>
          <w:lang w:val="en-US" w:eastAsia="zh-CN"/>
        </w:rPr>
        <w:t>规范发展地方金融组织，支持符合条件的地方金融组织充实资本，增强地方金融组织服务实体经济的能力和水平。截至2022年第三季度末，全市小额贷款公司贷款余额26.81亿元，今年以来累计投放17.96亿元；全市典当行典当余额19.64亿元，典当总额完成124.96亿元；全市融资担保公司在保业务余额119亿元；全市融资租赁公司业务余额3.7亿元。</w:t>
      </w:r>
    </w:p>
    <w:p>
      <w:pPr>
        <w:adjustRightInd w:val="0"/>
        <w:snapToGrid w:val="0"/>
        <w:spacing w:line="560" w:lineRule="exact"/>
        <w:ind w:firstLine="643" w:firstLineChars="200"/>
        <w:rPr>
          <w:rFonts w:hint="eastAsia" w:ascii="仿宋" w:hAnsi="仿宋" w:eastAsia="仿宋"/>
          <w:sz w:val="32"/>
          <w:szCs w:val="32"/>
          <w:lang w:val="en-US" w:eastAsia="zh-CN"/>
        </w:rPr>
      </w:pPr>
      <w:r>
        <w:rPr>
          <w:rFonts w:hint="eastAsia" w:ascii="仿宋" w:hAnsi="仿宋" w:eastAsia="仿宋"/>
          <w:b/>
          <w:bCs/>
          <w:sz w:val="32"/>
          <w:szCs w:val="32"/>
          <w:lang w:val="en-US" w:eastAsia="zh-CN"/>
        </w:rPr>
        <w:t>二是</w:t>
      </w:r>
      <w:r>
        <w:rPr>
          <w:rFonts w:hint="eastAsia" w:ascii="仿宋" w:hAnsi="仿宋" w:eastAsia="仿宋"/>
          <w:sz w:val="32"/>
          <w:szCs w:val="32"/>
          <w:lang w:val="en-US" w:eastAsia="zh-CN"/>
        </w:rPr>
        <w:t>鼓励我市融资担保公司与银行业机构和省融资担保基金开展业务合作，开展“总对总”批量担保业务。目前，我市已有2家公司与省融资担保基金签订了合作协议。</w:t>
      </w:r>
    </w:p>
    <w:p>
      <w:pPr>
        <w:adjustRightInd w:val="0"/>
        <w:snapToGrid w:val="0"/>
        <w:spacing w:line="560" w:lineRule="exact"/>
        <w:ind w:firstLine="643" w:firstLineChars="200"/>
        <w:rPr>
          <w:rFonts w:hint="eastAsia" w:ascii="仿宋" w:hAnsi="仿宋" w:eastAsia="仿宋"/>
          <w:sz w:val="32"/>
          <w:szCs w:val="32"/>
          <w:lang w:val="en-US" w:eastAsia="zh-CN"/>
        </w:rPr>
      </w:pPr>
      <w:r>
        <w:rPr>
          <w:rFonts w:hint="eastAsia" w:ascii="仿宋" w:hAnsi="仿宋" w:eastAsia="仿宋"/>
          <w:b/>
          <w:bCs/>
          <w:sz w:val="32"/>
          <w:szCs w:val="32"/>
          <w:lang w:val="en-US" w:eastAsia="zh-CN"/>
        </w:rPr>
        <w:t>三是</w:t>
      </w:r>
      <w:r>
        <w:rPr>
          <w:rFonts w:hint="eastAsia" w:ascii="仿宋" w:hAnsi="仿宋" w:eastAsia="仿宋"/>
          <w:sz w:val="32"/>
          <w:szCs w:val="32"/>
          <w:lang w:val="en-US" w:eastAsia="zh-CN"/>
        </w:rPr>
        <w:t>印发《关于进一步发挥融资担保服务经济增长作用的通知》、《关于做好我市政府性融资担保机构设立和发展工作的通知》和《关于积极发挥融资租赁作用服务实体经济发展的通知》，助力企业纾困解难。引导行典当、小贷公司更好地为“三农”、中小微企业和科技创新发展提供特色化、差异化金融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（4）加强地方金融监管工作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我局按照2022年初绩效工作的要求，</w:t>
      </w:r>
      <w:r>
        <w:rPr>
          <w:rFonts w:hint="eastAsia" w:ascii="仿宋" w:hAnsi="仿宋" w:eastAsia="仿宋"/>
          <w:b/>
          <w:bCs/>
          <w:sz w:val="32"/>
          <w:szCs w:val="32"/>
          <w:lang w:val="en-US" w:eastAsia="zh-CN"/>
        </w:rPr>
        <w:t>一是</w:t>
      </w:r>
      <w:r>
        <w:rPr>
          <w:rFonts w:hint="eastAsia" w:ascii="仿宋" w:hAnsi="仿宋" w:eastAsia="仿宋"/>
          <w:sz w:val="32"/>
          <w:szCs w:val="32"/>
          <w:lang w:val="en-US" w:eastAsia="zh-CN"/>
        </w:rPr>
        <w:t>做好各项清单的编制。按照省市相关工作部署，根据法律法规规章和“三定”规定，编制并公示了职责任务清单、职责边界清单、权责清单、权力运行流程图，修订完善了行政执法事项清单，进一步厘清我局的执法权力边界，明确执法责任。</w:t>
      </w:r>
    </w:p>
    <w:p>
      <w:pPr>
        <w:adjustRightInd w:val="0"/>
        <w:snapToGrid w:val="0"/>
        <w:spacing w:line="560" w:lineRule="exact"/>
        <w:ind w:firstLine="643" w:firstLineChars="200"/>
        <w:rPr>
          <w:rFonts w:hint="eastAsia" w:ascii="仿宋" w:hAnsi="仿宋" w:eastAsia="仿宋"/>
          <w:sz w:val="32"/>
          <w:szCs w:val="32"/>
          <w:lang w:val="en-US" w:eastAsia="zh-CN"/>
        </w:rPr>
      </w:pPr>
      <w:r>
        <w:rPr>
          <w:rFonts w:hint="eastAsia" w:ascii="仿宋" w:hAnsi="仿宋" w:eastAsia="仿宋"/>
          <w:b/>
          <w:bCs/>
          <w:sz w:val="32"/>
          <w:szCs w:val="32"/>
          <w:lang w:val="en-US" w:eastAsia="zh-CN"/>
        </w:rPr>
        <w:t>二是</w:t>
      </w:r>
      <w:r>
        <w:rPr>
          <w:rFonts w:hint="eastAsia" w:ascii="仿宋" w:hAnsi="仿宋" w:eastAsia="仿宋"/>
          <w:sz w:val="32"/>
          <w:szCs w:val="32"/>
          <w:lang w:val="en-US" w:eastAsia="zh-CN"/>
        </w:rPr>
        <w:t>做好“双随机、一公开”抽查。制定并公示《石家庄市地方金融监督管理局2022年随机抽查计划》《2022年度地方金融组织随机抽查实施方案》和《石家庄市地方金融监督管理局随机抽查执法事项清单（2022年版）》，部署开展了2022年全市小贷公司、典当行、融资担保公司、融资租赁公司“双随机、一公开”联合检查工作。</w:t>
      </w:r>
    </w:p>
    <w:p>
      <w:pPr>
        <w:adjustRightInd w:val="0"/>
        <w:snapToGrid w:val="0"/>
        <w:spacing w:line="560" w:lineRule="exact"/>
        <w:ind w:firstLine="643" w:firstLineChars="200"/>
        <w:rPr>
          <w:rFonts w:hint="eastAsia" w:ascii="仿宋" w:hAnsi="仿宋" w:eastAsia="仿宋"/>
          <w:sz w:val="32"/>
          <w:szCs w:val="32"/>
          <w:lang w:val="en-US" w:eastAsia="zh-CN"/>
        </w:rPr>
      </w:pPr>
      <w:r>
        <w:rPr>
          <w:rFonts w:hint="eastAsia" w:ascii="仿宋" w:hAnsi="仿宋" w:eastAsia="仿宋"/>
          <w:b/>
          <w:bCs/>
          <w:sz w:val="32"/>
          <w:szCs w:val="32"/>
          <w:lang w:val="en-US" w:eastAsia="zh-CN"/>
        </w:rPr>
        <w:t>三是</w:t>
      </w:r>
      <w:r>
        <w:rPr>
          <w:rFonts w:hint="eastAsia" w:ascii="仿宋" w:hAnsi="仿宋" w:eastAsia="仿宋"/>
          <w:sz w:val="32"/>
          <w:szCs w:val="32"/>
          <w:lang w:val="en-US" w:eastAsia="zh-CN"/>
        </w:rPr>
        <w:t>定期通告更新地方金融组织名单。为进一步扩大人民群众对地方金融的知情权、参与权，营造良好的地方金融消费环境，维护企业和人民群众合法权益，我局每季度在市政府网站和《石家庄日报》通告更新地方金融组织名单。</w:t>
      </w:r>
    </w:p>
    <w:p>
      <w:pPr>
        <w:adjustRightInd w:val="0"/>
        <w:snapToGrid w:val="0"/>
        <w:spacing w:line="560" w:lineRule="exact"/>
        <w:ind w:firstLine="643" w:firstLineChars="200"/>
        <w:rPr>
          <w:rFonts w:hint="eastAsia" w:ascii="仿宋" w:hAnsi="仿宋" w:eastAsia="仿宋"/>
          <w:sz w:val="32"/>
          <w:szCs w:val="32"/>
          <w:lang w:val="en-US" w:eastAsia="zh-CN"/>
        </w:rPr>
      </w:pPr>
      <w:r>
        <w:rPr>
          <w:rFonts w:hint="eastAsia" w:ascii="仿宋" w:hAnsi="仿宋" w:eastAsia="仿宋"/>
          <w:b/>
          <w:bCs/>
          <w:sz w:val="32"/>
          <w:szCs w:val="32"/>
          <w:lang w:val="en-US" w:eastAsia="zh-CN"/>
        </w:rPr>
        <w:t>四是</w:t>
      </w:r>
      <w:r>
        <w:rPr>
          <w:rFonts w:hint="eastAsia" w:ascii="仿宋" w:hAnsi="仿宋" w:eastAsia="仿宋"/>
          <w:sz w:val="32"/>
          <w:szCs w:val="32"/>
          <w:lang w:val="en-US" w:eastAsia="zh-CN"/>
        </w:rPr>
        <w:t>多措并举规范行政执法。加强执法人员的培训学习，对全市地方金融监管执法人员，组织开展了“防范化解金融风险 提升依法治理能力”网络培训活动，通过全市典当行、小额贷款公司“双随机、一公开”联合检查工作部署及培训会等学习活动，邀请行业专家，开展行政执法培训工作，提升执法水平。</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（5）加大金融风险防范化解力度</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我局按照2022年初绩效工作的要求，</w:t>
      </w:r>
      <w:r>
        <w:rPr>
          <w:rFonts w:hint="eastAsia" w:ascii="仿宋" w:hAnsi="仿宋" w:eastAsia="仿宋"/>
          <w:b/>
          <w:bCs/>
          <w:sz w:val="32"/>
          <w:szCs w:val="32"/>
          <w:lang w:val="en-US" w:eastAsia="zh-CN"/>
        </w:rPr>
        <w:t>一是</w:t>
      </w:r>
      <w:r>
        <w:rPr>
          <w:rFonts w:hint="eastAsia" w:ascii="仿宋" w:hAnsi="仿宋" w:eastAsia="仿宋"/>
          <w:sz w:val="32"/>
          <w:szCs w:val="32"/>
          <w:lang w:val="en-US" w:eastAsia="zh-CN"/>
        </w:rPr>
        <w:t>高站位谋划部署。以开展“涉众型非法集资处置攻坚战”为契机，开展了房地产领域、金融领域、养老领域、私募基金领域非法集资整治4项专项行动，完善了举报奖励、线索研判会商、涉金融类企业注册登记会商、防非宣传、定期调度、法律服务6项工作机制，加大督促指导力度，多措并举推动金融风险防范化解工作深入开展。</w:t>
      </w:r>
    </w:p>
    <w:p>
      <w:pPr>
        <w:adjustRightInd w:val="0"/>
        <w:snapToGrid w:val="0"/>
        <w:spacing w:line="560" w:lineRule="exact"/>
        <w:ind w:firstLine="643" w:firstLineChars="200"/>
        <w:rPr>
          <w:rFonts w:hint="eastAsia" w:ascii="仿宋" w:hAnsi="仿宋" w:eastAsia="仿宋"/>
          <w:sz w:val="32"/>
          <w:szCs w:val="32"/>
          <w:lang w:val="en-US" w:eastAsia="zh-CN"/>
        </w:rPr>
      </w:pPr>
      <w:r>
        <w:rPr>
          <w:rFonts w:hint="eastAsia" w:ascii="仿宋" w:hAnsi="仿宋" w:eastAsia="仿宋"/>
          <w:b/>
          <w:bCs/>
          <w:sz w:val="32"/>
          <w:szCs w:val="32"/>
          <w:lang w:val="en-US" w:eastAsia="zh-CN"/>
        </w:rPr>
        <w:t>二是</w:t>
      </w:r>
      <w:r>
        <w:rPr>
          <w:rFonts w:hint="eastAsia" w:ascii="仿宋" w:hAnsi="仿宋" w:eastAsia="仿宋"/>
          <w:sz w:val="32"/>
          <w:szCs w:val="32"/>
          <w:lang w:val="en-US" w:eastAsia="zh-CN"/>
        </w:rPr>
        <w:t>全覆盖风险排查。对全市123万余家市场主体进行了全覆盖式风险排查，排查率100%。发现涉嫌非法集资企业合计72家，按照涉及人数、金额、社会危害性等进行综合研判、分类处置，其中移交公安机关核查45家，核查后公安机关转立案侦查41家，正在进一步调查核实4家；行政处置27家，目前完成化解26家，正在整改1家，达到了政治效果、法律效果、经济效果相统一。</w:t>
      </w:r>
    </w:p>
    <w:p>
      <w:pPr>
        <w:adjustRightInd w:val="0"/>
        <w:snapToGrid w:val="0"/>
        <w:spacing w:line="560" w:lineRule="exact"/>
        <w:ind w:firstLine="643" w:firstLineChars="200"/>
        <w:rPr>
          <w:rFonts w:hint="eastAsia" w:ascii="仿宋" w:hAnsi="仿宋" w:eastAsia="仿宋"/>
          <w:sz w:val="32"/>
          <w:szCs w:val="32"/>
          <w:lang w:val="en-US" w:eastAsia="zh-CN"/>
        </w:rPr>
      </w:pPr>
      <w:r>
        <w:rPr>
          <w:rFonts w:hint="eastAsia" w:ascii="仿宋" w:hAnsi="仿宋" w:eastAsia="仿宋"/>
          <w:b/>
          <w:bCs/>
          <w:sz w:val="32"/>
          <w:szCs w:val="32"/>
          <w:lang w:val="en-US" w:eastAsia="zh-CN"/>
        </w:rPr>
        <w:t>三是</w:t>
      </w:r>
      <w:r>
        <w:rPr>
          <w:rFonts w:hint="eastAsia" w:ascii="仿宋" w:hAnsi="仿宋" w:eastAsia="仿宋"/>
          <w:sz w:val="32"/>
          <w:szCs w:val="32"/>
          <w:lang w:val="en-US" w:eastAsia="zh-CN"/>
        </w:rPr>
        <w:t>多举措处置化解。对发现的风险隐患综合研判、依法处置，高标准化解非法集资存量案件358起。持续保持对非法集资的高压严打态势，今年以来，全市共立案侦办非法集资犯罪案件53起，同比去年大幅下降，实现了非法集资打早、打小的工作目标。</w:t>
      </w:r>
    </w:p>
    <w:p>
      <w:pPr>
        <w:adjustRightInd w:val="0"/>
        <w:snapToGrid w:val="0"/>
        <w:spacing w:line="560" w:lineRule="exact"/>
        <w:ind w:firstLine="643" w:firstLineChars="200"/>
        <w:rPr>
          <w:rFonts w:hint="eastAsia" w:ascii="仿宋" w:hAnsi="仿宋" w:eastAsia="仿宋"/>
          <w:sz w:val="32"/>
          <w:szCs w:val="32"/>
          <w:lang w:val="en-US" w:eastAsia="zh-CN"/>
        </w:rPr>
      </w:pPr>
      <w:r>
        <w:rPr>
          <w:rFonts w:hint="eastAsia" w:ascii="仿宋" w:hAnsi="仿宋" w:eastAsia="仿宋"/>
          <w:b/>
          <w:bCs/>
          <w:sz w:val="32"/>
          <w:szCs w:val="32"/>
          <w:lang w:val="en-US" w:eastAsia="zh-CN"/>
        </w:rPr>
        <w:t>四是</w:t>
      </w:r>
      <w:r>
        <w:rPr>
          <w:rFonts w:hint="eastAsia" w:ascii="仿宋" w:hAnsi="仿宋" w:eastAsia="仿宋"/>
          <w:sz w:val="32"/>
          <w:szCs w:val="32"/>
          <w:lang w:val="en-US" w:eastAsia="zh-CN"/>
        </w:rPr>
        <w:t>突出宣传教育。以宣传《防范和处置非法集资条例》为工作主线，线上线下呼应发声，开展了多角度、多形式的“靶向”宣传。截至11月30日，全市各级各部门开展集中宣传活动9800 余场、发放宣传单130余万张；制作发布原创防非短视频1300余篇；签订远离非法集资承诺书47万余份；以案说法两次向社会公开近年发生在我市的14起非法集资典型案例，广泛宣传非法集资危害性违法性和市委市政府打赢涉众型非法集资处置“硬仗”的坚定决心，在全社会引起强烈反响。</w:t>
      </w:r>
    </w:p>
    <w:bookmarkEnd w:id="57"/>
    <w:p>
      <w:pPr>
        <w:numPr>
          <w:ilvl w:val="0"/>
          <w:numId w:val="1"/>
        </w:numPr>
        <w:spacing w:line="560" w:lineRule="exact"/>
        <w:ind w:firstLine="640" w:firstLineChars="200"/>
        <w:outlineLvl w:val="0"/>
        <w:rPr>
          <w:rFonts w:hint="eastAsia" w:ascii="黑体" w:hAnsi="黑体" w:eastAsia="黑体"/>
          <w:sz w:val="32"/>
          <w:szCs w:val="32"/>
        </w:rPr>
      </w:pPr>
      <w:bookmarkStart w:id="58" w:name="_Toc18570"/>
      <w:r>
        <w:rPr>
          <w:rFonts w:hint="eastAsia" w:ascii="黑体" w:hAnsi="黑体" w:eastAsia="黑体"/>
          <w:sz w:val="32"/>
          <w:szCs w:val="32"/>
        </w:rPr>
        <w:t>评价结论和评价等级</w:t>
      </w:r>
      <w:bookmarkEnd w:id="58"/>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2022年我局按照中央、省、市金融工作安排部署要求，以建设京津冀区域性金融中心为主线，统筹做好了服务实体经济、深化金融改革、防控金融风险三项工作，建立了健全金融服务体系以及加强地方金融监管。</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根据部门职责定位和各项工作履职情况进行综合评价，我局资金支出率为96.77%，各项工作产出、效益及满意度均基本实现年初既定目标，较为圆满的完成了年度任务，此次部门整体支出综合绩效评价为96.77分，等级为“优秀”。</w:t>
      </w:r>
    </w:p>
    <w:p>
      <w:pPr>
        <w:spacing w:line="560" w:lineRule="exact"/>
        <w:ind w:firstLine="640" w:firstLineChars="200"/>
        <w:outlineLvl w:val="0"/>
        <w:rPr>
          <w:rFonts w:ascii="黑体" w:hAnsi="黑体" w:eastAsia="黑体"/>
          <w:sz w:val="32"/>
          <w:szCs w:val="32"/>
        </w:rPr>
      </w:pPr>
      <w:bookmarkStart w:id="59" w:name="_Toc26657"/>
      <w:r>
        <w:rPr>
          <w:rFonts w:hint="eastAsia" w:ascii="黑体" w:hAnsi="黑体" w:eastAsia="黑体"/>
          <w:sz w:val="32"/>
          <w:szCs w:val="32"/>
        </w:rPr>
        <w:t>五、存在的问题及改进措施</w:t>
      </w:r>
      <w:bookmarkEnd w:id="59"/>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_GB2312"/>
          <w:bCs/>
          <w:sz w:val="32"/>
          <w:szCs w:val="32"/>
          <w:lang w:val="en-US" w:eastAsia="zh-CN"/>
        </w:rPr>
      </w:pPr>
      <w:bookmarkStart w:id="60" w:name="_Toc3066"/>
      <w:r>
        <w:rPr>
          <w:rFonts w:hint="eastAsia" w:ascii="楷体" w:hAnsi="楷体" w:eastAsia="楷体" w:cs="楷体_GB2312"/>
          <w:bCs/>
          <w:sz w:val="32"/>
          <w:szCs w:val="32"/>
          <w:lang w:val="en-US" w:eastAsia="zh-CN"/>
        </w:rPr>
        <w:t>（一）存在的主要问题</w:t>
      </w:r>
      <w:bookmarkEnd w:id="60"/>
    </w:p>
    <w:p>
      <w:pPr>
        <w:adjustRightInd w:val="0"/>
        <w:snapToGrid w:val="0"/>
        <w:spacing w:line="560" w:lineRule="exact"/>
        <w:ind w:firstLine="640" w:firstLineChars="200"/>
        <w:rPr>
          <w:rFonts w:hint="eastAsia" w:ascii="仿宋" w:hAnsi="仿宋" w:eastAsia="仿宋"/>
          <w:sz w:val="32"/>
          <w:szCs w:val="32"/>
          <w:lang w:val="en-US" w:eastAsia="zh-CN"/>
        </w:rPr>
      </w:pPr>
      <w:bookmarkStart w:id="61" w:name="_Toc6272"/>
      <w:r>
        <w:rPr>
          <w:rFonts w:hint="eastAsia" w:ascii="仿宋" w:hAnsi="仿宋" w:eastAsia="仿宋"/>
          <w:sz w:val="32"/>
          <w:szCs w:val="32"/>
          <w:lang w:val="en-US" w:eastAsia="zh-CN"/>
        </w:rPr>
        <w:t>1.个别项目目标和指标设置简化</w:t>
      </w:r>
      <w:bookmarkEnd w:id="61"/>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通过绩效自评，反映出在编制预算设立绩效目标时不能完全体现某一专项的价值与预期结果，不能充分达到全面完整、科学合理。</w:t>
      </w:r>
    </w:p>
    <w:p>
      <w:pPr>
        <w:adjustRightInd w:val="0"/>
        <w:snapToGrid w:val="0"/>
        <w:spacing w:line="560" w:lineRule="exact"/>
        <w:ind w:firstLine="640" w:firstLineChars="200"/>
        <w:rPr>
          <w:rFonts w:hint="eastAsia" w:ascii="仿宋" w:hAnsi="仿宋" w:eastAsia="仿宋"/>
          <w:sz w:val="32"/>
          <w:szCs w:val="32"/>
          <w:lang w:val="en-US" w:eastAsia="zh-CN"/>
        </w:rPr>
      </w:pPr>
      <w:bookmarkStart w:id="62" w:name="_Toc19175"/>
      <w:r>
        <w:rPr>
          <w:rFonts w:hint="eastAsia" w:ascii="仿宋" w:hAnsi="仿宋" w:eastAsia="仿宋"/>
          <w:sz w:val="32"/>
          <w:szCs w:val="32"/>
          <w:lang w:val="en-US" w:eastAsia="zh-CN"/>
        </w:rPr>
        <w:t>2</w:t>
      </w:r>
      <w:bookmarkStart w:id="63" w:name="_Toc11773"/>
      <w:bookmarkStart w:id="64" w:name="_Toc70582278"/>
      <w:r>
        <w:rPr>
          <w:rFonts w:hint="eastAsia" w:ascii="仿宋" w:hAnsi="仿宋" w:eastAsia="仿宋"/>
          <w:sz w:val="32"/>
          <w:szCs w:val="32"/>
          <w:lang w:val="en-US" w:eastAsia="zh-CN"/>
        </w:rPr>
        <w:t>.</w:t>
      </w:r>
      <w:bookmarkEnd w:id="62"/>
      <w:bookmarkEnd w:id="63"/>
      <w:bookmarkEnd w:id="64"/>
      <w:r>
        <w:rPr>
          <w:rFonts w:hint="eastAsia" w:ascii="仿宋" w:hAnsi="仿宋" w:eastAsia="仿宋"/>
          <w:sz w:val="32"/>
          <w:szCs w:val="32"/>
          <w:lang w:val="en-US" w:eastAsia="zh-CN"/>
        </w:rPr>
        <w:t>预算执行率有待进一步提高</w:t>
      </w:r>
    </w:p>
    <w:p>
      <w:pPr>
        <w:adjustRightInd w:val="0"/>
        <w:snapToGrid w:val="0"/>
        <w:spacing w:line="560" w:lineRule="exact"/>
        <w:ind w:firstLine="640" w:firstLineChars="200"/>
        <w:rPr>
          <w:rFonts w:hint="eastAsia" w:ascii="仿宋" w:hAnsi="仿宋" w:eastAsia="仿宋"/>
          <w:sz w:val="32"/>
          <w:szCs w:val="32"/>
          <w:lang w:val="en-US" w:eastAsia="zh-CN"/>
        </w:rPr>
      </w:pPr>
      <w:bookmarkStart w:id="65" w:name="_Toc11063"/>
      <w:r>
        <w:rPr>
          <w:rFonts w:hint="eastAsia" w:ascii="仿宋" w:hAnsi="仿宋" w:eastAsia="仿宋"/>
          <w:sz w:val="32"/>
          <w:szCs w:val="32"/>
          <w:lang w:val="en-US" w:eastAsia="zh-CN"/>
        </w:rPr>
        <w:t>预算编制与项目实际支出有一定偏差，不利于财政资金统筹使用，预算管理有待加强，预算编制科学性和准确性有待提高。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_GB2312"/>
          <w:bCs/>
          <w:sz w:val="32"/>
          <w:szCs w:val="32"/>
          <w:lang w:val="en-US" w:eastAsia="zh-CN"/>
        </w:rPr>
      </w:pPr>
      <w:r>
        <w:rPr>
          <w:rFonts w:hint="eastAsia" w:ascii="楷体" w:hAnsi="楷体" w:eastAsia="楷体" w:cs="楷体_GB2312"/>
          <w:bCs/>
          <w:sz w:val="32"/>
          <w:szCs w:val="32"/>
          <w:lang w:val="en-US" w:eastAsia="zh-CN"/>
        </w:rPr>
        <w:t>（二）针对问题提出具体的改进措施或建议</w:t>
      </w:r>
      <w:bookmarkEnd w:id="65"/>
    </w:p>
    <w:p>
      <w:pPr>
        <w:adjustRightInd w:val="0"/>
        <w:snapToGrid w:val="0"/>
        <w:spacing w:line="560" w:lineRule="exact"/>
        <w:ind w:firstLine="640" w:firstLineChars="200"/>
        <w:rPr>
          <w:rFonts w:hint="eastAsia" w:ascii="仿宋" w:hAnsi="仿宋" w:eastAsia="仿宋"/>
          <w:sz w:val="32"/>
          <w:szCs w:val="32"/>
          <w:lang w:val="en-US" w:eastAsia="zh-CN"/>
        </w:rPr>
      </w:pPr>
      <w:bookmarkStart w:id="66" w:name="_Toc25961"/>
      <w:r>
        <w:rPr>
          <w:rFonts w:hint="eastAsia" w:ascii="仿宋" w:hAnsi="仿宋" w:eastAsia="仿宋"/>
          <w:sz w:val="32"/>
          <w:szCs w:val="32"/>
          <w:lang w:val="en-US" w:eastAsia="zh-CN"/>
        </w:rPr>
        <w:t>1.科学设定绩效目标和指标</w:t>
      </w:r>
      <w:bookmarkEnd w:id="66"/>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我局要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pPr>
        <w:adjustRightInd w:val="0"/>
        <w:snapToGrid w:val="0"/>
        <w:spacing w:line="560" w:lineRule="exact"/>
        <w:ind w:firstLine="640" w:firstLineChars="200"/>
        <w:rPr>
          <w:rFonts w:hint="eastAsia" w:ascii="仿宋" w:hAnsi="仿宋" w:eastAsia="仿宋"/>
          <w:sz w:val="32"/>
          <w:szCs w:val="32"/>
          <w:lang w:val="en-US" w:eastAsia="zh-CN"/>
        </w:rPr>
      </w:pPr>
      <w:bookmarkStart w:id="67" w:name="_Toc8286"/>
      <w:r>
        <w:rPr>
          <w:rFonts w:hint="eastAsia" w:ascii="仿宋" w:hAnsi="仿宋" w:eastAsia="仿宋"/>
          <w:sz w:val="32"/>
          <w:szCs w:val="32"/>
          <w:lang w:val="en-US" w:eastAsia="zh-CN"/>
        </w:rPr>
        <w:t>2.提高资金使用效率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一是提高预算编制的科学性、合理性。根据我部门下年度重点工作安排，提前开展预算编制工作，进一步细化预算编制，提升预算编制准确性；</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二是严格部门预算执行，提升预算执行率。要根据《预算法》及内部控制有关要求，将预算批复进行在我部门内部分解下达，保证预算执行的有效性，提高预算执行率，减少指标跨年结转。</w:t>
      </w:r>
    </w:p>
    <w:p>
      <w:pPr>
        <w:adjustRightInd w:val="0"/>
        <w:snapToGrid w:val="0"/>
        <w:spacing w:line="560" w:lineRule="exact"/>
        <w:ind w:firstLine="640" w:firstLineChars="200"/>
        <w:rPr>
          <w:rFonts w:hint="eastAsia" w:ascii="仿宋" w:hAnsi="仿宋" w:eastAsia="仿宋"/>
          <w:sz w:val="32"/>
          <w:szCs w:val="32"/>
          <w:lang w:val="en-US" w:eastAsia="zh-CN"/>
        </w:rPr>
      </w:pPr>
      <w:bookmarkStart w:id="68" w:name="_Toc18475"/>
      <w:bookmarkStart w:id="69" w:name="_Toc70582285"/>
      <w:r>
        <w:rPr>
          <w:rFonts w:hint="eastAsia" w:ascii="仿宋" w:hAnsi="仿宋" w:eastAsia="仿宋"/>
          <w:sz w:val="32"/>
          <w:szCs w:val="32"/>
          <w:lang w:val="en-US" w:eastAsia="zh-CN"/>
        </w:rPr>
        <w:t>3.加强项目管理，完善项目监督工作</w:t>
      </w:r>
      <w:bookmarkEnd w:id="67"/>
      <w:bookmarkEnd w:id="68"/>
      <w:bookmarkEnd w:id="69"/>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部门应进一步加强对项目实施的管理，加强对项目实施全过程的监管，做到事前计划合理、事中执行监管有力、事后评价及时有效反馈。同时建立项目责任体系，落实执行责任制，督促、指导各科室加强项目监管工作，确定项目的负责人、执行科室、项目建设周期、并制定具体的执行计划，按计划开展项目工作，保证项目的顺利完成。</w:t>
      </w:r>
    </w:p>
    <w:p>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在项目执行中开展日常监督检查工作，对项目进行有效监控，并对检查过程中发现的问题及时提出督促整改意见，做到项目及时跟踪处理。同时，要加强项目工作规范性，完善工作底稿、检查资料的收集和保存制度，做好资料备份工作，以便对项目情况进行反馈。</w:t>
      </w:r>
    </w:p>
    <w:p>
      <w:pPr>
        <w:adjustRightInd w:val="0"/>
        <w:snapToGrid w:val="0"/>
        <w:spacing w:line="560" w:lineRule="exact"/>
        <w:ind w:firstLine="640" w:firstLineChars="200"/>
        <w:outlineLvl w:val="0"/>
        <w:rPr>
          <w:rFonts w:ascii="黑体" w:hAnsi="黑体" w:eastAsia="黑体"/>
          <w:sz w:val="32"/>
          <w:szCs w:val="32"/>
        </w:rPr>
      </w:pPr>
      <w:bookmarkStart w:id="70" w:name="_Toc530"/>
      <w:r>
        <w:rPr>
          <w:rFonts w:hint="eastAsia" w:ascii="黑体" w:hAnsi="黑体" w:eastAsia="黑体"/>
          <w:sz w:val="32"/>
          <w:szCs w:val="32"/>
        </w:rPr>
        <w:t>六、评价工作组人员名单及签字（姓名、工作单位、职务、职称）</w:t>
      </w:r>
      <w:bookmarkEnd w:id="70"/>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组长：刘建龙 市地方金融监督管理局副局长</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 xml:space="preserve">刘雄飞 </w:t>
      </w:r>
      <w:r>
        <w:rPr>
          <w:rFonts w:hint="eastAsia" w:ascii="仿宋_GB2312" w:hAnsi="仿宋_GB2312" w:eastAsia="仿宋_GB2312" w:cs="仿宋_GB2312"/>
          <w:sz w:val="32"/>
          <w:szCs w:val="32"/>
        </w:rPr>
        <w:t>市地方金融监督管理局</w:t>
      </w:r>
      <w:r>
        <w:rPr>
          <w:rFonts w:hint="eastAsia" w:ascii="仿宋_GB2312" w:hAnsi="仿宋_GB2312" w:eastAsia="仿宋_GB2312" w:cs="仿宋_GB2312"/>
          <w:sz w:val="32"/>
          <w:szCs w:val="32"/>
          <w:lang w:val="en-US" w:eastAsia="zh-CN"/>
        </w:rPr>
        <w:t>办公室主任</w:t>
      </w:r>
    </w:p>
    <w:p>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陈  旭 市地方金融监督管理局发展规划科（政策法</w:t>
      </w:r>
    </w:p>
    <w:p>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规科）科长、一级主任科员</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冯文平</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市地方金融监督管理局银行保险科科长</w:t>
      </w:r>
    </w:p>
    <w:p>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胡美妹</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市地方金融监督管理局资本市场科科长</w:t>
      </w:r>
    </w:p>
    <w:p>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孙国锋</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市地方金融监督管理局金融稳定科科长、一</w:t>
      </w:r>
    </w:p>
    <w:p>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级主任科员</w:t>
      </w:r>
    </w:p>
    <w:p>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宋修通</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市地方金融监督管理局地方金融监管一科科</w:t>
      </w:r>
    </w:p>
    <w:p>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长、一级主任科员</w:t>
      </w:r>
    </w:p>
    <w:p>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韩</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杰</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市地方金融监督管理局地方金融监管</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科科</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长</w:t>
      </w:r>
    </w:p>
    <w:p>
      <w:pPr>
        <w:keepNext w:val="0"/>
        <w:keepLines w:val="0"/>
        <w:pageBreakBefore w:val="0"/>
        <w:widowControl w:val="0"/>
        <w:kinsoku/>
        <w:wordWrap/>
        <w:overflowPunct/>
        <w:topLinePunct w:val="0"/>
        <w:autoSpaceDE/>
        <w:autoSpaceDN/>
        <w:bidi w:val="0"/>
        <w:adjustRightInd/>
        <w:snapToGrid/>
        <w:spacing w:line="560" w:lineRule="exact"/>
        <w:ind w:left="0" w:leftChars="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居春娣</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市地方金融监督管理局综合执法科科长</w:t>
      </w:r>
    </w:p>
    <w:p>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李晓源</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市地方金融监督管理局机关党总支专职副书</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记、一级主任科员</w:t>
      </w:r>
    </w:p>
    <w:p>
      <w:pPr>
        <w:keepNext w:val="0"/>
        <w:keepLines w:val="0"/>
        <w:pageBreakBefore w:val="0"/>
        <w:widowControl w:val="0"/>
        <w:kinsoku/>
        <w:wordWrap/>
        <w:overflowPunct/>
        <w:topLinePunct w:val="0"/>
        <w:autoSpaceDE/>
        <w:autoSpaceDN/>
        <w:bidi w:val="0"/>
        <w:adjustRightInd/>
        <w:snapToGrid/>
        <w:spacing w:line="560" w:lineRule="exact"/>
        <w:ind w:left="0" w:leftChars="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邸</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丹</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市地方金融监督管理局办公室四级主任科员</w:t>
      </w:r>
    </w:p>
    <w:p>
      <w:pPr>
        <w:keepNext w:val="0"/>
        <w:keepLines w:val="0"/>
        <w:pageBreakBefore w:val="0"/>
        <w:widowControl w:val="0"/>
        <w:kinsoku/>
        <w:wordWrap/>
        <w:overflowPunct/>
        <w:topLinePunct w:val="0"/>
        <w:autoSpaceDE/>
        <w:autoSpaceDN/>
        <w:bidi w:val="0"/>
        <w:adjustRightInd/>
        <w:snapToGrid/>
        <w:spacing w:line="560" w:lineRule="exact"/>
        <w:ind w:left="0" w:leftChars="0"/>
        <w:jc w:val="left"/>
        <w:textAlignment w:val="auto"/>
        <w:rPr>
          <w:rFonts w:hint="eastAsia" w:ascii="仿宋_GB2312" w:hAnsi="仿宋_GB2312" w:eastAsia="仿宋_GB2312" w:cs="仿宋_GB231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樊</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璠</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市地方金融监督管理局办公室工勤</w:t>
      </w:r>
    </w:p>
    <w:p/>
    <w:p>
      <w:pPr>
        <w:widowControl w:val="0"/>
        <w:wordWrap/>
        <w:adjustRightInd/>
        <w:snapToGrid w:val="0"/>
        <w:spacing w:line="560" w:lineRule="exact"/>
        <w:ind w:right="0" w:firstLine="640" w:firstLineChars="200"/>
        <w:jc w:val="right"/>
        <w:textAlignment w:val="auto"/>
        <w:outlineLvl w:val="9"/>
        <w:rPr>
          <w:rFonts w:hint="eastAsia" w:ascii="仿宋" w:hAnsi="仿宋" w:eastAsia="仿宋" w:cs="仿宋"/>
          <w:b w:val="0"/>
          <w:bCs w:val="0"/>
          <w:sz w:val="32"/>
          <w:szCs w:val="32"/>
          <w:highlight w:val="none"/>
          <w:lang w:val="en-US" w:eastAsia="zh-CN"/>
        </w:rPr>
      </w:pPr>
    </w:p>
    <w:p>
      <w:pPr>
        <w:widowControl w:val="0"/>
        <w:wordWrap/>
        <w:adjustRightInd/>
        <w:snapToGrid w:val="0"/>
        <w:spacing w:line="560" w:lineRule="exact"/>
        <w:ind w:right="0" w:firstLine="640" w:firstLineChars="200"/>
        <w:jc w:val="right"/>
        <w:textAlignment w:val="auto"/>
        <w:outlineLvl w:val="9"/>
        <w:rPr>
          <w:rFonts w:hint="eastAsia" w:ascii="仿宋" w:hAnsi="仿宋" w:eastAsia="仿宋" w:cs="仿宋"/>
          <w:b w:val="0"/>
          <w:bCs w:val="0"/>
          <w:sz w:val="32"/>
          <w:szCs w:val="32"/>
          <w:highlight w:val="none"/>
          <w:lang w:val="en-US" w:eastAsia="zh-CN"/>
        </w:rPr>
      </w:pPr>
    </w:p>
    <w:p>
      <w:pPr>
        <w:pStyle w:val="16"/>
        <w:rPr>
          <w:rFonts w:hint="eastAsia"/>
          <w:lang w:val="en-US" w:eastAsia="zh-CN"/>
        </w:rPr>
      </w:pPr>
    </w:p>
    <w:p>
      <w:pPr>
        <w:widowControl w:val="0"/>
        <w:wordWrap/>
        <w:adjustRightInd/>
        <w:snapToGrid w:val="0"/>
        <w:spacing w:line="560" w:lineRule="exact"/>
        <w:ind w:left="5438" w:leftChars="304" w:right="0" w:hanging="4800" w:hangingChars="1500"/>
        <w:jc w:val="both"/>
        <w:textAlignment w:val="auto"/>
        <w:outlineLvl w:val="9"/>
        <w:rPr>
          <w:rFonts w:hint="default"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lang w:val="en-US" w:eastAsia="zh-CN"/>
        </w:rPr>
        <w:t xml:space="preserve">                         石家庄市地方金融监督管理局                                2023年4月14日</w:t>
      </w:r>
    </w:p>
    <w:p>
      <w:pPr>
        <w:pStyle w:val="4"/>
        <w:outlineLvl w:val="9"/>
        <w:rPr>
          <w:rFonts w:hint="eastAsia"/>
          <w:lang w:eastAsia="zh-CN"/>
        </w:rPr>
      </w:pPr>
    </w:p>
    <w:sectPr>
      <w:footerReference r:id="rId4" w:type="default"/>
      <w:pgSz w:w="11906" w:h="16838"/>
      <w:pgMar w:top="1440" w:right="1474" w:bottom="1440" w:left="1587" w:header="851" w:footer="992" w:gutter="0"/>
      <w:pgNumType w:fmt="decimal"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简体">
    <w:altName w:val="黑体"/>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shape id="Quad Arrow 3073" o:spid="_x0000_s4098" o:spt="202" type="#_x0000_t202" style="position:absolute;left:0pt;margin-left:201.1pt;margin-top:-6.05pt;height:17.7pt;width:41.5pt;mso-position-horizontal-relative:margin;z-index:251659264;mso-width-relative:page;mso-height-relative:page;" filled="f" stroked="f" coordsize="21600,21600">
          <v:path/>
          <v:fill on="f" focussize="0,0"/>
          <v:stroke on="f"/>
          <v:imagedata o:title=""/>
          <o:lock v:ext="edit" aspectratio="f"/>
          <v:textbox inset="0mm,0mm,0mm,0mm">
            <w:txbxContent>
              <w:p>
                <w:pPr>
                  <w:snapToGrid w:val="0"/>
                  <w:rPr>
                    <w:rFonts w:hint="eastAsia" w:eastAsia="宋体"/>
                    <w:sz w:val="24"/>
                    <w:szCs w:val="36"/>
                    <w:lang w:val="en-US" w:eastAsia="zh-CN"/>
                  </w:rPr>
                </w:pPr>
              </w:p>
            </w:txbxContent>
          </v:textbox>
        </v:shape>
      </w:pict>
    </w:r>
    <w:r>
      <w:rPr>
        <w:sz w:val="18"/>
      </w:rPr>
      <w:pict>
        <v:shape id="_x0000_s4100" o:spid="_x0000_s4100"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7"/>
                </w:pPr>
                <w:r>
                  <w:fldChar w:fldCharType="begin"/>
                </w:r>
                <w:r>
                  <w:instrText xml:space="preserve"> PAGE  \* MERGEFORMAT </w:instrText>
                </w:r>
                <w:r>
                  <w:fldChar w:fldCharType="separate"/>
                </w:r>
                <w:r>
                  <w:t>- 1 -</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AA2C1B"/>
    <w:multiLevelType w:val="singleLevel"/>
    <w:tmpl w:val="BDAA2C1B"/>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DE1OWZjMDhiYWIxOWYwMWE5ZjljMzIwYTZkZWNjN2MifQ=="/>
    <w:docVar w:name="KSO_WPS_MARK_KEY" w:val="26ce6ef8-c5ba-4189-b191-b9e8da72fe4c"/>
  </w:docVars>
  <w:rsids>
    <w:rsidRoot w:val="0EBD2122"/>
    <w:rsid w:val="000B0260"/>
    <w:rsid w:val="001E21B6"/>
    <w:rsid w:val="007E6C1F"/>
    <w:rsid w:val="00956A93"/>
    <w:rsid w:val="009E575C"/>
    <w:rsid w:val="00AF167E"/>
    <w:rsid w:val="00AF566A"/>
    <w:rsid w:val="00B478EA"/>
    <w:rsid w:val="00B6553A"/>
    <w:rsid w:val="00BC6576"/>
    <w:rsid w:val="00CE06BA"/>
    <w:rsid w:val="00F441CC"/>
    <w:rsid w:val="01B104CA"/>
    <w:rsid w:val="01FB0577"/>
    <w:rsid w:val="02106AB0"/>
    <w:rsid w:val="02B43A28"/>
    <w:rsid w:val="04425FE9"/>
    <w:rsid w:val="046F331E"/>
    <w:rsid w:val="05B44CC5"/>
    <w:rsid w:val="07956271"/>
    <w:rsid w:val="08B45813"/>
    <w:rsid w:val="08EA6F99"/>
    <w:rsid w:val="09265338"/>
    <w:rsid w:val="092730A7"/>
    <w:rsid w:val="09330F29"/>
    <w:rsid w:val="09721397"/>
    <w:rsid w:val="0ACE4A7B"/>
    <w:rsid w:val="0AF838A6"/>
    <w:rsid w:val="0BB63BED"/>
    <w:rsid w:val="0C2D757F"/>
    <w:rsid w:val="0CAD315B"/>
    <w:rsid w:val="0CD65E05"/>
    <w:rsid w:val="0D002EE5"/>
    <w:rsid w:val="0D4234FE"/>
    <w:rsid w:val="0D5A43A4"/>
    <w:rsid w:val="0EB97A43"/>
    <w:rsid w:val="0EBD2122"/>
    <w:rsid w:val="0ED87FEF"/>
    <w:rsid w:val="0ED94285"/>
    <w:rsid w:val="0EFD592E"/>
    <w:rsid w:val="0F214EAE"/>
    <w:rsid w:val="0F3F08C0"/>
    <w:rsid w:val="0FF173AB"/>
    <w:rsid w:val="100002BF"/>
    <w:rsid w:val="105E4DAD"/>
    <w:rsid w:val="10F41EA1"/>
    <w:rsid w:val="11B71E6A"/>
    <w:rsid w:val="14302658"/>
    <w:rsid w:val="15BB5BFB"/>
    <w:rsid w:val="16A86BE1"/>
    <w:rsid w:val="183215A0"/>
    <w:rsid w:val="18B05267"/>
    <w:rsid w:val="190B50EC"/>
    <w:rsid w:val="1AAF0063"/>
    <w:rsid w:val="1B662AAD"/>
    <w:rsid w:val="1BE140DE"/>
    <w:rsid w:val="1BEA548C"/>
    <w:rsid w:val="1EAC5B66"/>
    <w:rsid w:val="212C5BFF"/>
    <w:rsid w:val="21943950"/>
    <w:rsid w:val="22C30F5F"/>
    <w:rsid w:val="248C197D"/>
    <w:rsid w:val="249436DC"/>
    <w:rsid w:val="24C148B0"/>
    <w:rsid w:val="24D82326"/>
    <w:rsid w:val="252959AF"/>
    <w:rsid w:val="257007B0"/>
    <w:rsid w:val="25777D91"/>
    <w:rsid w:val="26E70EE5"/>
    <w:rsid w:val="2703209D"/>
    <w:rsid w:val="277A6671"/>
    <w:rsid w:val="284F273B"/>
    <w:rsid w:val="28C457D9"/>
    <w:rsid w:val="28EB2539"/>
    <w:rsid w:val="292D35B7"/>
    <w:rsid w:val="2AD2154C"/>
    <w:rsid w:val="2B852ADC"/>
    <w:rsid w:val="2BBD4024"/>
    <w:rsid w:val="2E5D0646"/>
    <w:rsid w:val="2E7B3D22"/>
    <w:rsid w:val="2E81758A"/>
    <w:rsid w:val="2F0A5A38"/>
    <w:rsid w:val="31861927"/>
    <w:rsid w:val="334A4B46"/>
    <w:rsid w:val="33BA1FA3"/>
    <w:rsid w:val="33EB6CFF"/>
    <w:rsid w:val="351E1058"/>
    <w:rsid w:val="35A12947"/>
    <w:rsid w:val="3624120B"/>
    <w:rsid w:val="37387040"/>
    <w:rsid w:val="38B44364"/>
    <w:rsid w:val="395F7BB5"/>
    <w:rsid w:val="396226AE"/>
    <w:rsid w:val="39F9594E"/>
    <w:rsid w:val="3B625C0A"/>
    <w:rsid w:val="3CEE1963"/>
    <w:rsid w:val="3CF03B2D"/>
    <w:rsid w:val="3D244530"/>
    <w:rsid w:val="3DB42E7B"/>
    <w:rsid w:val="3EEA4CD8"/>
    <w:rsid w:val="3F963DEC"/>
    <w:rsid w:val="40167761"/>
    <w:rsid w:val="41EA5C7B"/>
    <w:rsid w:val="43454BD3"/>
    <w:rsid w:val="43A549DC"/>
    <w:rsid w:val="43B57504"/>
    <w:rsid w:val="446C43E1"/>
    <w:rsid w:val="45A6429F"/>
    <w:rsid w:val="466B6D3A"/>
    <w:rsid w:val="46A22B1A"/>
    <w:rsid w:val="46D82784"/>
    <w:rsid w:val="46FD57C4"/>
    <w:rsid w:val="4806752C"/>
    <w:rsid w:val="48366CFA"/>
    <w:rsid w:val="48C621F7"/>
    <w:rsid w:val="491F33FC"/>
    <w:rsid w:val="49695393"/>
    <w:rsid w:val="4A2D63C1"/>
    <w:rsid w:val="4A9A1CA8"/>
    <w:rsid w:val="4AA9052E"/>
    <w:rsid w:val="4B666118"/>
    <w:rsid w:val="4BB72E46"/>
    <w:rsid w:val="4C6205A3"/>
    <w:rsid w:val="4C9C27FE"/>
    <w:rsid w:val="4EA84268"/>
    <w:rsid w:val="4F813436"/>
    <w:rsid w:val="50744D49"/>
    <w:rsid w:val="50F76880"/>
    <w:rsid w:val="512260B4"/>
    <w:rsid w:val="5167665C"/>
    <w:rsid w:val="51DB0B0A"/>
    <w:rsid w:val="52BD6ACB"/>
    <w:rsid w:val="539D0FFC"/>
    <w:rsid w:val="55537534"/>
    <w:rsid w:val="55F02A8A"/>
    <w:rsid w:val="561A74F1"/>
    <w:rsid w:val="566724AF"/>
    <w:rsid w:val="56DE2088"/>
    <w:rsid w:val="57551807"/>
    <w:rsid w:val="597244E8"/>
    <w:rsid w:val="59F62FD6"/>
    <w:rsid w:val="5A074538"/>
    <w:rsid w:val="5A4B6B1B"/>
    <w:rsid w:val="5C6A19A3"/>
    <w:rsid w:val="5E641170"/>
    <w:rsid w:val="5EB71C30"/>
    <w:rsid w:val="5F92277B"/>
    <w:rsid w:val="60C61DEF"/>
    <w:rsid w:val="623616DF"/>
    <w:rsid w:val="62791FE6"/>
    <w:rsid w:val="63212E9C"/>
    <w:rsid w:val="65386FD2"/>
    <w:rsid w:val="66AF0CE5"/>
    <w:rsid w:val="679A7081"/>
    <w:rsid w:val="67F178E4"/>
    <w:rsid w:val="69594684"/>
    <w:rsid w:val="6AC537CF"/>
    <w:rsid w:val="6CC7308C"/>
    <w:rsid w:val="6D437B25"/>
    <w:rsid w:val="6E5B14A6"/>
    <w:rsid w:val="705B5186"/>
    <w:rsid w:val="711B255E"/>
    <w:rsid w:val="756D3991"/>
    <w:rsid w:val="75C0260C"/>
    <w:rsid w:val="77BE6726"/>
    <w:rsid w:val="78FD327E"/>
    <w:rsid w:val="79202AC9"/>
    <w:rsid w:val="7A097A01"/>
    <w:rsid w:val="7BB51E06"/>
    <w:rsid w:val="7C387F7C"/>
    <w:rsid w:val="7CF37EEE"/>
    <w:rsid w:val="7DB800FE"/>
    <w:rsid w:val="7E4509F6"/>
    <w:rsid w:val="7F3138A2"/>
    <w:rsid w:val="7F45772D"/>
    <w:rsid w:val="7FE83423"/>
    <w:rsid w:val="FDEDF576"/>
    <w:rsid w:val="FFFF74D4"/>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2"/>
    <w:basedOn w:val="1"/>
    <w:next w:val="1"/>
    <w:qFormat/>
    <w:uiPriority w:val="0"/>
    <w:pPr>
      <w:spacing w:before="100" w:beforeAutospacing="1" w:after="100" w:afterAutospacing="1"/>
      <w:outlineLvl w:val="1"/>
    </w:pPr>
    <w:rPr>
      <w:rFonts w:hint="eastAsia" w:ascii="宋体" w:hAnsi="宋体"/>
      <w:sz w:val="36"/>
      <w:szCs w:val="36"/>
      <w:lang w:val="en-US" w:eastAsia="zh-CN" w:bidi="ar-SA"/>
    </w:rPr>
  </w:style>
  <w:style w:type="paragraph" w:styleId="4">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5">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5">
    <w:name w:val="Body Text Indent"/>
    <w:basedOn w:val="1"/>
    <w:qFormat/>
    <w:uiPriority w:val="99"/>
    <w:pPr>
      <w:spacing w:after="120"/>
      <w:ind w:left="420" w:leftChars="200"/>
    </w:pPr>
  </w:style>
  <w:style w:type="paragraph" w:styleId="6">
    <w:name w:val="Plain Text"/>
    <w:basedOn w:val="1"/>
    <w:qFormat/>
    <w:uiPriority w:val="0"/>
    <w:rPr>
      <w:rFonts w:ascii="宋体" w:hAnsi="Courier New" w:eastAsia="宋体" w:cs="Courier New"/>
      <w:szCs w:val="21"/>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9">
    <w:name w:val="toc 1"/>
    <w:basedOn w:val="1"/>
    <w:next w:val="1"/>
    <w:unhideWhenUsed/>
    <w:qFormat/>
    <w:uiPriority w:val="39"/>
  </w:style>
  <w:style w:type="paragraph" w:styleId="10">
    <w:name w:val="toc 2"/>
    <w:basedOn w:val="1"/>
    <w:next w:val="1"/>
    <w:unhideWhenUsed/>
    <w:qFormat/>
    <w:uiPriority w:val="39"/>
    <w:pPr>
      <w:ind w:left="420" w:leftChars="200"/>
    </w:pPr>
  </w:style>
  <w:style w:type="paragraph" w:styleId="11">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2">
    <w:name w:val="Title"/>
    <w:basedOn w:val="1"/>
    <w:next w:val="1"/>
    <w:qFormat/>
    <w:uiPriority w:val="0"/>
    <w:pPr>
      <w:spacing w:before="240" w:after="60"/>
      <w:jc w:val="center"/>
      <w:outlineLvl w:val="0"/>
    </w:pPr>
    <w:rPr>
      <w:rFonts w:ascii="Cambria" w:hAnsi="Cambria"/>
      <w:b/>
      <w:kern w:val="28"/>
      <w:sz w:val="32"/>
      <w:szCs w:val="20"/>
    </w:rPr>
  </w:style>
  <w:style w:type="paragraph" w:styleId="13">
    <w:name w:val="Body Text First Indent 2"/>
    <w:basedOn w:val="5"/>
    <w:qFormat/>
    <w:uiPriority w:val="99"/>
    <w:pPr>
      <w:ind w:firstLine="420" w:firstLineChars="200"/>
    </w:pPr>
  </w:style>
  <w:style w:type="paragraph" w:customStyle="1" w:styleId="16">
    <w:name w:val="Char"/>
    <w:basedOn w:val="1"/>
    <w:qFormat/>
    <w:uiPriority w:val="0"/>
    <w:pPr>
      <w:spacing w:line="360" w:lineRule="auto"/>
      <w:ind w:firstLine="200" w:firstLineChars="200"/>
    </w:pPr>
    <w:rPr>
      <w:rFonts w:ascii="宋体" w:hAnsi="宋体" w:eastAsia="宋体" w:cs="宋体"/>
      <w:sz w:val="24"/>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总体目标文件"/>
    <w:basedOn w:val="1"/>
    <w:qFormat/>
    <w:uiPriority w:val="0"/>
    <w:pPr>
      <w:spacing w:line="500" w:lineRule="exact"/>
      <w:ind w:firstLine="560"/>
    </w:pPr>
    <w:rPr>
      <w:rFonts w:eastAsia="方正仿宋_GBK"/>
      <w:sz w:val="28"/>
    </w:rPr>
  </w:style>
  <w:style w:type="paragraph" w:customStyle="1" w:styleId="19">
    <w:name w:val="插入文本样式-插入职责分类绩效目标文件"/>
    <w:basedOn w:val="1"/>
    <w:qFormat/>
    <w:uiPriority w:val="0"/>
    <w:pPr>
      <w:spacing w:line="500" w:lineRule="exact"/>
      <w:ind w:firstLine="560"/>
    </w:pPr>
    <w:rPr>
      <w:rFonts w:eastAsia="方正仿宋_GBK"/>
      <w:sz w:val="28"/>
    </w:rPr>
  </w:style>
  <w:style w:type="paragraph" w:customStyle="1" w:styleId="20">
    <w:name w:val="Body Text First Indent 21"/>
    <w:basedOn w:val="21"/>
    <w:qFormat/>
    <w:uiPriority w:val="0"/>
    <w:pPr>
      <w:ind w:firstLine="420" w:firstLineChars="200"/>
    </w:pPr>
  </w:style>
  <w:style w:type="paragraph" w:customStyle="1" w:styleId="21">
    <w:name w:val="Body Text Indent1"/>
    <w:basedOn w:val="1"/>
    <w:qFormat/>
    <w:uiPriority w:val="0"/>
    <w:pPr>
      <w:spacing w:after="120"/>
      <w:ind w:left="420" w:leftChars="200"/>
    </w:pPr>
    <w:rPr>
      <w:rFonts w:hint="eastAsia"/>
    </w:rPr>
  </w:style>
  <w:style w:type="paragraph" w:customStyle="1" w:styleId="22">
    <w:name w:val="p0"/>
    <w:basedOn w:val="1"/>
    <w:qFormat/>
    <w:uiPriority w:val="0"/>
    <w:pPr>
      <w:widowControl/>
    </w:pPr>
    <w:rPr>
      <w:kern w:val="0"/>
      <w:szCs w:val="21"/>
    </w:rPr>
  </w:style>
  <w:style w:type="character" w:customStyle="1" w:styleId="23">
    <w:name w:val="NormalCharacter"/>
    <w:semiHidden/>
    <w:qFormat/>
    <w:uiPriority w:val="0"/>
    <w:rPr>
      <w:rFonts w:eastAsia="宋体"/>
      <w:kern w:val="2"/>
      <w:sz w:val="21"/>
      <w:szCs w:val="24"/>
      <w:lang w:val="en-US" w:eastAsia="zh-CN" w:bidi="ar-SA"/>
    </w:rPr>
  </w:style>
  <w:style w:type="paragraph" w:customStyle="1" w:styleId="24">
    <w:name w:val="WPSOffice手动目录 1"/>
    <w:qFormat/>
    <w:uiPriority w:val="0"/>
    <w:pPr>
      <w:ind w:leftChars="0"/>
    </w:pPr>
    <w:rPr>
      <w:rFonts w:ascii="Times New Roman" w:hAnsi="Times New Roman" w:eastAsia="宋体" w:cs="Times New Roman"/>
      <w:sz w:val="20"/>
      <w:szCs w:val="20"/>
    </w:rPr>
  </w:style>
  <w:style w:type="paragraph" w:customStyle="1" w:styleId="25">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4098"/>
    <customShpInfo spid="_x0000_s410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7775</Words>
  <Characters>8111</Characters>
  <Lines>4</Lines>
  <Paragraphs>1</Paragraphs>
  <TotalTime>41</TotalTime>
  <ScaleCrop>false</ScaleCrop>
  <LinksUpToDate>false</LinksUpToDate>
  <CharactersWithSpaces>8412</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2020-02-04T19:46:00Z</dcterms:created>
  <dc:creator>欣欣大人</dc:creator>
  <cp:lastModifiedBy> </cp:lastModifiedBy>
  <cp:lastPrinted>2023-04-23T14:43:00Z</cp:lastPrinted>
  <dcterms:modified xsi:type="dcterms:W3CDTF">2024-09-11T06:07:54Z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F3D5BB88D3C34B1EA80357B41A408C54_12</vt:lpwstr>
  </property>
</Properties>
</file>