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val="0"/>
        <w:wordWrap/>
        <w:adjustRightInd/>
        <w:snapToGrid w:val="0"/>
        <w:spacing w:line="560" w:lineRule="exact"/>
        <w:ind w:left="0" w:leftChars="0" w:right="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eastAsia="zh-CN"/>
        </w:rPr>
        <w:t>附件：</w:t>
      </w:r>
      <w:r>
        <w:rPr>
          <w:rFonts w:hint="eastAsia" w:ascii="仿宋" w:hAnsi="仿宋" w:eastAsia="仿宋" w:cs="仿宋"/>
          <w:sz w:val="32"/>
          <w:szCs w:val="32"/>
          <w:lang w:val="en-US" w:eastAsia="zh-CN"/>
        </w:rPr>
        <w:t>5</w:t>
      </w:r>
    </w:p>
    <w:p>
      <w:pPr>
        <w:pStyle w:val="2"/>
        <w:rPr>
          <w:rFonts w:hint="eastAsia"/>
          <w:lang w:eastAsia="zh-CN"/>
        </w:rPr>
      </w:pPr>
      <w:bookmarkStart w:id="0" w:name="_GoBack"/>
      <w:bookmarkEnd w:id="0"/>
    </w:p>
    <w:p>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rPr>
        <w:t>部门年度</w:t>
      </w:r>
      <w:r>
        <w:rPr>
          <w:rFonts w:hint="eastAsia" w:ascii="宋体" w:hAnsi="宋体" w:cs="宋体"/>
          <w:b/>
          <w:bCs/>
          <w:sz w:val="44"/>
          <w:szCs w:val="44"/>
        </w:rPr>
        <w:t>绩效自评工作报告</w:t>
      </w:r>
    </w:p>
    <w:p>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pPr>
        <w:widowControl w:val="0"/>
        <w:wordWrap/>
        <w:adjustRightInd/>
        <w:snapToGrid/>
        <w:spacing w:before="0" w:after="0" w:line="600" w:lineRule="exact"/>
        <w:ind w:left="0" w:leftChars="0" w:right="0" w:firstLine="640" w:firstLineChars="200"/>
        <w:jc w:val="both"/>
        <w:textAlignment w:val="auto"/>
        <w:rPr>
          <w:rFonts w:hint="eastAsia" w:ascii="仿宋_GB2312" w:hAnsi="仿宋" w:eastAsia="仿宋_GB2312" w:cs="仿宋_GB2312"/>
          <w:sz w:val="32"/>
          <w:szCs w:val="32"/>
        </w:rPr>
      </w:pPr>
      <w:r>
        <w:rPr>
          <w:rFonts w:hint="eastAsia" w:ascii="仿宋" w:hAnsi="仿宋" w:eastAsia="仿宋" w:cs="仿宋"/>
          <w:sz w:val="32"/>
          <w:szCs w:val="32"/>
        </w:rPr>
        <w:t>为提高财政支出管理水平，规范财政资金项目管理，检验</w:t>
      </w:r>
      <w:r>
        <w:rPr>
          <w:rFonts w:hint="eastAsia" w:ascii="仿宋" w:hAnsi="仿宋" w:eastAsia="仿宋" w:cs="仿宋"/>
          <w:sz w:val="32"/>
          <w:szCs w:val="32"/>
          <w:lang w:val="en-US" w:eastAsia="zh-CN"/>
        </w:rPr>
        <w:t>财政支出预期目标实现程度，考核财政支出绩效和综合效果，根据《石家庄市财政局关于开展2023年绩效自评工作的通知》（石财监〔2023〕1号）的要求，我室成立了绩效评价工作小组，对2022年度部门项目整体支出情况进行了绩效自评。</w:t>
      </w:r>
      <w:r>
        <w:rPr>
          <w:rFonts w:hint="eastAsia" w:ascii="仿宋_GB2312" w:hAnsi="仿宋" w:eastAsia="仿宋_GB2312" w:cs="仿宋_GB2312"/>
          <w:sz w:val="32"/>
          <w:szCs w:val="32"/>
        </w:rPr>
        <w:t>现将此次绩效自评基本情况、主要经验、存在的问题和下一步工作措施等内容总结如下。</w:t>
      </w:r>
    </w:p>
    <w:p>
      <w:pPr>
        <w:widowControl w:val="0"/>
        <w:wordWrap/>
        <w:adjustRightInd/>
        <w:snapToGrid w:val="0"/>
        <w:spacing w:before="0" w:after="0" w:line="600" w:lineRule="exact"/>
        <w:ind w:left="0" w:leftChars="0" w:right="0" w:firstLine="640" w:firstLineChars="200"/>
        <w:jc w:val="both"/>
        <w:textAlignment w:val="auto"/>
        <w:outlineLvl w:val="9"/>
        <w:rPr>
          <w:rFonts w:ascii="黑体" w:hAnsi="黑体" w:eastAsia="黑体" w:cs="黑体"/>
          <w:sz w:val="32"/>
          <w:szCs w:val="32"/>
        </w:rPr>
      </w:pPr>
      <w:r>
        <w:rPr>
          <w:rFonts w:hint="eastAsia" w:ascii="黑体" w:hAnsi="黑体" w:eastAsia="黑体" w:cs="黑体"/>
          <w:sz w:val="32"/>
          <w:szCs w:val="32"/>
        </w:rPr>
        <w:t>一、绩效自评工作组织开展情况</w:t>
      </w:r>
    </w:p>
    <w:p>
      <w:pPr>
        <w:widowControl w:val="0"/>
        <w:wordWrap/>
        <w:snapToGrid w:val="0"/>
        <w:spacing w:before="0" w:after="0" w:line="600" w:lineRule="exact"/>
        <w:ind w:left="0" w:leftChars="0" w:right="0" w:firstLine="643" w:firstLineChars="200"/>
        <w:jc w:val="both"/>
        <w:textAlignment w:val="auto"/>
        <w:rPr>
          <w:rFonts w:ascii="仿宋" w:hAnsi="仿宋" w:eastAsia="仿宋" w:cs="仿宋"/>
          <w:b/>
          <w:bCs/>
          <w:sz w:val="32"/>
          <w:szCs w:val="32"/>
        </w:rPr>
      </w:pPr>
      <w:r>
        <w:rPr>
          <w:rFonts w:hint="eastAsia" w:ascii="仿宋" w:hAnsi="仿宋" w:eastAsia="仿宋" w:cs="仿宋"/>
          <w:b/>
          <w:bCs/>
          <w:sz w:val="32"/>
          <w:szCs w:val="32"/>
        </w:rPr>
        <w:t>（一）自评的组织工作</w:t>
      </w:r>
    </w:p>
    <w:p>
      <w:pPr>
        <w:widowControl w:val="0"/>
        <w:wordWrap/>
        <w:snapToGrid w:val="0"/>
        <w:spacing w:before="0" w:after="0" w:line="600" w:lineRule="exact"/>
        <w:ind w:left="0" w:leftChars="0" w:right="0" w:firstLine="640" w:firstLineChars="200"/>
        <w:jc w:val="both"/>
        <w:textAlignment w:val="auto"/>
        <w:rPr>
          <w:rFonts w:ascii="仿宋" w:hAnsi="仿宋" w:eastAsia="仿宋" w:cs="仿宋"/>
          <w:sz w:val="32"/>
          <w:szCs w:val="32"/>
        </w:rPr>
      </w:pPr>
      <w:r>
        <w:rPr>
          <w:rFonts w:hint="eastAsia" w:ascii="仿宋" w:hAnsi="仿宋" w:eastAsia="仿宋" w:cs="仿宋"/>
          <w:sz w:val="32"/>
          <w:szCs w:val="32"/>
        </w:rPr>
        <w:t>我室高度重视绩效自评工作，成立了由分管副主任任组长，办公室及各业务处为成员的工作小组，对</w:t>
      </w:r>
      <w:r>
        <w:rPr>
          <w:rFonts w:hint="eastAsia" w:ascii="仿宋" w:hAnsi="仿宋" w:eastAsia="仿宋" w:cs="仿宋"/>
          <w:sz w:val="32"/>
          <w:szCs w:val="32"/>
          <w:lang w:eastAsia="zh-CN"/>
        </w:rPr>
        <w:t>2022</w:t>
      </w:r>
      <w:r>
        <w:rPr>
          <w:rFonts w:hint="eastAsia" w:ascii="仿宋" w:hAnsi="仿宋" w:eastAsia="仿宋" w:cs="仿宋"/>
          <w:sz w:val="32"/>
          <w:szCs w:val="32"/>
        </w:rPr>
        <w:t>年度工作成效进行检查核实，扎实开展自评工作。</w:t>
      </w:r>
    </w:p>
    <w:p>
      <w:pPr>
        <w:widowControl w:val="0"/>
        <w:wordWrap/>
        <w:snapToGrid w:val="0"/>
        <w:spacing w:before="0" w:after="0" w:line="600" w:lineRule="exact"/>
        <w:ind w:left="0" w:leftChars="0" w:right="0" w:firstLine="643" w:firstLineChars="200"/>
        <w:jc w:val="both"/>
        <w:textAlignment w:val="auto"/>
        <w:rPr>
          <w:rFonts w:ascii="仿宋" w:hAnsi="仿宋" w:eastAsia="仿宋" w:cs="仿宋"/>
          <w:b/>
          <w:bCs/>
          <w:sz w:val="32"/>
          <w:szCs w:val="32"/>
        </w:rPr>
      </w:pPr>
      <w:r>
        <w:rPr>
          <w:rFonts w:hint="eastAsia" w:ascii="仿宋" w:hAnsi="仿宋" w:eastAsia="仿宋" w:cs="仿宋"/>
          <w:b/>
          <w:bCs/>
          <w:sz w:val="32"/>
          <w:szCs w:val="32"/>
        </w:rPr>
        <w:t>（二）实施过程</w:t>
      </w:r>
    </w:p>
    <w:p>
      <w:pPr>
        <w:widowControl w:val="0"/>
        <w:wordWrap/>
        <w:snapToGrid w:val="0"/>
        <w:spacing w:before="0" w:after="0" w:line="600" w:lineRule="exact"/>
        <w:ind w:left="0" w:leftChars="0" w:right="0" w:firstLine="640" w:firstLineChars="200"/>
        <w:jc w:val="both"/>
        <w:textAlignment w:val="auto"/>
        <w:rPr>
          <w:rFonts w:ascii="仿宋" w:hAnsi="仿宋" w:eastAsia="仿宋" w:cs="仿宋"/>
          <w:sz w:val="32"/>
          <w:szCs w:val="32"/>
        </w:rPr>
      </w:pPr>
      <w:r>
        <w:rPr>
          <w:rFonts w:hint="eastAsia" w:ascii="仿宋" w:hAnsi="仿宋" w:eastAsia="仿宋" w:cs="仿宋"/>
          <w:sz w:val="32"/>
          <w:szCs w:val="32"/>
        </w:rPr>
        <w:t>本次绩效评价工作由办公室按照既定的绩效目标和绩效评价指标体系，通过查阅支出明细、查看工作成效等方式，对</w:t>
      </w:r>
      <w:r>
        <w:rPr>
          <w:rFonts w:hint="eastAsia" w:ascii="仿宋" w:hAnsi="仿宋" w:eastAsia="仿宋" w:cs="仿宋"/>
          <w:sz w:val="32"/>
          <w:szCs w:val="32"/>
          <w:lang w:eastAsia="zh-CN"/>
        </w:rPr>
        <w:t>2022</w:t>
      </w:r>
      <w:r>
        <w:rPr>
          <w:rFonts w:hint="eastAsia" w:ascii="仿宋" w:hAnsi="仿宋" w:eastAsia="仿宋" w:cs="仿宋"/>
          <w:sz w:val="32"/>
          <w:szCs w:val="32"/>
        </w:rPr>
        <w:t>年度专项资金支出进行了全方位的自查和自评打分，有效确保了绩效自评结果的真实性、及时性。</w:t>
      </w:r>
    </w:p>
    <w:p>
      <w:pPr>
        <w:widowControl w:val="0"/>
        <w:wordWrap/>
        <w:snapToGrid w:val="0"/>
        <w:spacing w:before="0" w:after="0" w:line="600" w:lineRule="exact"/>
        <w:ind w:left="0" w:leftChars="0" w:right="0" w:firstLine="640" w:firstLineChars="200"/>
        <w:jc w:val="both"/>
        <w:textAlignment w:val="auto"/>
        <w:rPr>
          <w:rFonts w:ascii="仿宋" w:hAnsi="仿宋" w:eastAsia="仿宋" w:cs="仿宋"/>
          <w:sz w:val="32"/>
          <w:szCs w:val="32"/>
        </w:rPr>
      </w:pPr>
      <w:r>
        <w:rPr>
          <w:rFonts w:hint="eastAsia" w:ascii="仿宋" w:hAnsi="仿宋" w:eastAsia="仿宋" w:cs="仿宋"/>
          <w:sz w:val="32"/>
          <w:szCs w:val="32"/>
        </w:rPr>
        <w:t>1、前期准备</w:t>
      </w:r>
    </w:p>
    <w:p>
      <w:pPr>
        <w:widowControl w:val="0"/>
        <w:wordWrap/>
        <w:snapToGrid w:val="0"/>
        <w:spacing w:before="0" w:after="0" w:line="600" w:lineRule="exact"/>
        <w:ind w:left="0" w:leftChars="0" w:right="0" w:firstLine="640" w:firstLineChars="200"/>
        <w:jc w:val="both"/>
        <w:textAlignment w:val="auto"/>
        <w:rPr>
          <w:rFonts w:ascii="仿宋" w:hAnsi="仿宋" w:eastAsia="仿宋" w:cs="仿宋"/>
          <w:sz w:val="32"/>
          <w:szCs w:val="32"/>
        </w:rPr>
      </w:pPr>
      <w:r>
        <w:rPr>
          <w:rFonts w:hint="eastAsia" w:ascii="仿宋" w:hAnsi="仿宋" w:eastAsia="仿宋" w:cs="仿宋"/>
          <w:sz w:val="32"/>
          <w:szCs w:val="32"/>
        </w:rPr>
        <w:t>按照绩效评价工作要求，明确绩效评价的内容和范围，初步制定绩效评价工作方案。对各预算项目单独进行打分自评，在资料搜集、信息核实、访谈沟通等工作的基础上，挖掘绩效数据，拟定项目产出、项目执行、项目效益等指标体系，准确地计量和评判各项目实施后产生的经济效益、生态效益、社会效益和可持续影响，最终形成评价结论。各项目自评工作为实施全年绩效评价工作奠定了基础。</w:t>
      </w:r>
    </w:p>
    <w:p>
      <w:pPr>
        <w:widowControl w:val="0"/>
        <w:wordWrap/>
        <w:snapToGrid w:val="0"/>
        <w:spacing w:before="0" w:after="0" w:line="600" w:lineRule="exact"/>
        <w:ind w:left="0" w:leftChars="0" w:right="0" w:firstLine="640" w:firstLineChars="200"/>
        <w:jc w:val="both"/>
        <w:textAlignment w:val="auto"/>
        <w:rPr>
          <w:rFonts w:ascii="仿宋" w:hAnsi="仿宋" w:eastAsia="仿宋" w:cs="仿宋"/>
          <w:sz w:val="32"/>
          <w:szCs w:val="32"/>
        </w:rPr>
      </w:pPr>
      <w:r>
        <w:rPr>
          <w:rFonts w:hint="eastAsia" w:ascii="仿宋" w:hAnsi="仿宋" w:eastAsia="仿宋" w:cs="仿宋"/>
          <w:sz w:val="32"/>
          <w:szCs w:val="32"/>
        </w:rPr>
        <w:t>2、组织实施</w:t>
      </w:r>
    </w:p>
    <w:p>
      <w:pPr>
        <w:widowControl w:val="0"/>
        <w:wordWrap/>
        <w:snapToGrid w:val="0"/>
        <w:spacing w:before="0" w:after="0" w:line="600" w:lineRule="exact"/>
        <w:ind w:left="0" w:leftChars="0" w:right="0" w:firstLine="640" w:firstLineChars="200"/>
        <w:jc w:val="both"/>
        <w:textAlignment w:val="auto"/>
        <w:rPr>
          <w:rFonts w:ascii="仿宋" w:hAnsi="仿宋" w:eastAsia="仿宋" w:cs="仿宋"/>
          <w:sz w:val="32"/>
          <w:szCs w:val="32"/>
        </w:rPr>
      </w:pPr>
      <w:r>
        <w:rPr>
          <w:rFonts w:hint="eastAsia" w:ascii="仿宋" w:hAnsi="仿宋" w:eastAsia="仿宋" w:cs="仿宋"/>
          <w:sz w:val="32"/>
          <w:szCs w:val="32"/>
        </w:rPr>
        <w:t>评价工作小组对年度绩效的相关资料进行收集、梳理。通过分析、核实，确保所收集的数据和资料真实、可靠。</w:t>
      </w:r>
    </w:p>
    <w:p>
      <w:pPr>
        <w:widowControl w:val="0"/>
        <w:wordWrap/>
        <w:snapToGrid w:val="0"/>
        <w:spacing w:before="0" w:after="0" w:line="600" w:lineRule="exact"/>
        <w:ind w:left="0" w:leftChars="0" w:right="0" w:firstLine="640" w:firstLineChars="200"/>
        <w:jc w:val="both"/>
        <w:textAlignment w:val="auto"/>
        <w:rPr>
          <w:rFonts w:ascii="仿宋" w:hAnsi="仿宋" w:eastAsia="仿宋" w:cs="仿宋"/>
          <w:sz w:val="32"/>
          <w:szCs w:val="32"/>
        </w:rPr>
      </w:pPr>
      <w:r>
        <w:rPr>
          <w:rFonts w:hint="eastAsia" w:ascii="仿宋" w:hAnsi="仿宋" w:eastAsia="仿宋" w:cs="仿宋"/>
          <w:sz w:val="32"/>
          <w:szCs w:val="32"/>
        </w:rPr>
        <w:t>3、撰写绩效评价报告</w:t>
      </w:r>
    </w:p>
    <w:p>
      <w:pPr>
        <w:widowControl w:val="0"/>
        <w:wordWrap/>
        <w:snapToGrid w:val="0"/>
        <w:spacing w:before="0" w:after="0" w:line="600" w:lineRule="exact"/>
        <w:ind w:left="0" w:leftChars="0" w:right="0" w:firstLine="640" w:firstLineChars="200"/>
        <w:jc w:val="both"/>
        <w:textAlignment w:val="auto"/>
        <w:rPr>
          <w:rFonts w:ascii="仿宋" w:hAnsi="仿宋" w:eastAsia="仿宋" w:cs="仿宋"/>
          <w:sz w:val="32"/>
          <w:szCs w:val="32"/>
        </w:rPr>
      </w:pPr>
      <w:r>
        <w:rPr>
          <w:rFonts w:hint="eastAsia" w:ascii="仿宋" w:hAnsi="仿宋" w:eastAsia="仿宋" w:cs="仿宋"/>
          <w:sz w:val="32"/>
          <w:szCs w:val="32"/>
        </w:rPr>
        <w:t>小组成员在对收集的数据、资料进行核对、比较、计算的基础上，对比年度绩效目标，形成评价结论；根据评价论，撰写绩效评价报告，并形成绩效评价档案。</w:t>
      </w:r>
    </w:p>
    <w:p>
      <w:pPr>
        <w:widowControl w:val="0"/>
        <w:wordWrap/>
        <w:adjustRightInd/>
        <w:snapToGrid w:val="0"/>
        <w:spacing w:before="0" w:after="0" w:line="600" w:lineRule="exact"/>
        <w:ind w:left="0" w:leftChars="0" w:right="0" w:firstLine="640" w:firstLineChars="200"/>
        <w:jc w:val="both"/>
        <w:textAlignment w:val="auto"/>
        <w:outlineLvl w:val="9"/>
        <w:rPr>
          <w:rFonts w:ascii="黑体" w:hAnsi="黑体" w:eastAsia="黑体" w:cs="黑体"/>
          <w:sz w:val="32"/>
          <w:szCs w:val="32"/>
        </w:rPr>
      </w:pPr>
      <w:r>
        <w:rPr>
          <w:rFonts w:hint="eastAsia" w:ascii="黑体" w:hAnsi="黑体" w:eastAsia="黑体" w:cs="黑体"/>
          <w:sz w:val="32"/>
          <w:szCs w:val="32"/>
        </w:rPr>
        <w:t>二、绩效目标实现情况</w:t>
      </w:r>
    </w:p>
    <w:p>
      <w:pPr>
        <w:widowControl w:val="0"/>
        <w:wordWrap/>
        <w:adjustRightInd/>
        <w:snapToGrid/>
        <w:spacing w:line="560" w:lineRule="exact"/>
        <w:ind w:firstLine="640" w:firstLineChars="200"/>
        <w:textAlignment w:val="auto"/>
        <w:rPr>
          <w:rFonts w:hint="default"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（一）总体工作开展情况</w:t>
      </w:r>
    </w:p>
    <w:p>
      <w:pPr>
        <w:widowControl w:val="0"/>
        <w:wordWrap/>
        <w:adjustRightInd/>
        <w:snapToGrid/>
        <w:spacing w:line="560" w:lineRule="exact"/>
        <w:ind w:firstLine="614" w:firstLineChars="192"/>
        <w:textAlignment w:val="auto"/>
        <w:rPr>
          <w:rFonts w:hint="eastAsia" w:ascii="仿宋_GB2312" w:hAnsi="仿宋" w:eastAsia="仿宋_GB2312"/>
          <w:b/>
          <w:bCs/>
          <w:sz w:val="32"/>
          <w:szCs w:val="32"/>
          <w:lang w:val="en-US" w:eastAsia="zh-CN"/>
        </w:rPr>
      </w:pPr>
      <w:r>
        <w:rPr>
          <w:rFonts w:hint="eastAsia" w:ascii="仿宋_GB2312" w:hAnsi="仿宋" w:eastAsia="仿宋_GB2312"/>
          <w:sz w:val="32"/>
          <w:szCs w:val="32"/>
        </w:rPr>
        <w:t>我</w:t>
      </w:r>
      <w:r>
        <w:rPr>
          <w:rFonts w:hint="eastAsia" w:ascii="仿宋_GB2312" w:hAnsi="仿宋" w:eastAsia="仿宋_GB2312"/>
          <w:sz w:val="32"/>
          <w:szCs w:val="32"/>
          <w:lang w:eastAsia="zh-CN"/>
        </w:rPr>
        <w:t>室</w:t>
      </w:r>
      <w:r>
        <w:rPr>
          <w:rFonts w:hint="eastAsia" w:ascii="仿宋_GB2312" w:hAnsi="仿宋" w:eastAsia="仿宋_GB2312"/>
          <w:sz w:val="32"/>
          <w:szCs w:val="32"/>
        </w:rPr>
        <w:t>对</w:t>
      </w:r>
      <w:r>
        <w:rPr>
          <w:rFonts w:hint="eastAsia" w:ascii="仿宋_GB2312" w:hAnsi="仿宋" w:eastAsia="仿宋_GB2312"/>
          <w:sz w:val="32"/>
          <w:szCs w:val="32"/>
          <w:lang w:eastAsia="zh-CN"/>
        </w:rPr>
        <w:t>2022</w:t>
      </w:r>
      <w:r>
        <w:rPr>
          <w:rFonts w:hint="eastAsia" w:ascii="仿宋_GB2312" w:hAnsi="仿宋" w:eastAsia="仿宋_GB2312"/>
          <w:sz w:val="32"/>
          <w:szCs w:val="32"/>
        </w:rPr>
        <w:t>年度部门项目支出实施了绩效评价，评价项目共</w:t>
      </w:r>
      <w:r>
        <w:rPr>
          <w:rFonts w:hint="eastAsia" w:ascii="仿宋_GB2312" w:hAnsi="仿宋" w:eastAsia="仿宋_GB2312"/>
          <w:sz w:val="32"/>
          <w:szCs w:val="32"/>
          <w:lang w:val="en-US" w:eastAsia="zh-CN"/>
        </w:rPr>
        <w:t>11</w:t>
      </w:r>
      <w:r>
        <w:rPr>
          <w:rFonts w:hint="eastAsia" w:ascii="仿宋_GB2312" w:hAnsi="仿宋" w:eastAsia="仿宋_GB2312"/>
          <w:sz w:val="32"/>
          <w:szCs w:val="32"/>
        </w:rPr>
        <w:t>个，占部门项目总数的</w:t>
      </w:r>
      <w:r>
        <w:rPr>
          <w:rFonts w:hint="eastAsia" w:ascii="仿宋_GB2312" w:hAnsi="仿宋" w:eastAsia="仿宋_GB2312"/>
          <w:sz w:val="32"/>
          <w:szCs w:val="32"/>
          <w:lang w:val="en-US" w:eastAsia="zh-CN"/>
        </w:rPr>
        <w:t>100</w:t>
      </w:r>
      <w:r>
        <w:rPr>
          <w:rFonts w:hint="eastAsia" w:ascii="仿宋_GB2312" w:hAnsi="仿宋" w:eastAsia="仿宋_GB2312"/>
          <w:sz w:val="32"/>
          <w:szCs w:val="32"/>
        </w:rPr>
        <w:t>%，涉及金额</w:t>
      </w:r>
      <w:r>
        <w:rPr>
          <w:rFonts w:hint="eastAsia" w:ascii="仿宋" w:hAnsi="仿宋" w:eastAsia="仿宋" w:cs="仿宋"/>
          <w:sz w:val="32"/>
          <w:szCs w:val="32"/>
          <w:lang w:val="en-US" w:eastAsia="zh-CN"/>
        </w:rPr>
        <w:t>164.83万元</w:t>
      </w:r>
      <w:r>
        <w:rPr>
          <w:rFonts w:hint="eastAsia" w:ascii="仿宋_GB2312" w:hAnsi="仿宋" w:eastAsia="仿宋_GB2312"/>
          <w:sz w:val="32"/>
          <w:szCs w:val="32"/>
          <w:lang w:val="en-US" w:eastAsia="zh-CN"/>
        </w:rPr>
        <w:t>，</w:t>
      </w:r>
      <w:r>
        <w:rPr>
          <w:rFonts w:hint="eastAsia" w:ascii="仿宋_GB2312" w:hAnsi="仿宋" w:eastAsia="仿宋_GB2312"/>
          <w:sz w:val="32"/>
          <w:szCs w:val="32"/>
        </w:rPr>
        <w:t>均进行了</w:t>
      </w:r>
      <w:r>
        <w:rPr>
          <w:rFonts w:hint="eastAsia" w:ascii="仿宋_GB2312" w:hAnsi="仿宋" w:eastAsia="仿宋_GB2312"/>
          <w:sz w:val="32"/>
          <w:szCs w:val="32"/>
          <w:lang w:val="en-US" w:eastAsia="zh-CN"/>
        </w:rPr>
        <w:t>项目</w:t>
      </w:r>
      <w:r>
        <w:rPr>
          <w:rFonts w:hint="eastAsia" w:ascii="仿宋_GB2312" w:hAnsi="仿宋" w:eastAsia="仿宋_GB2312"/>
          <w:sz w:val="32"/>
          <w:szCs w:val="32"/>
        </w:rPr>
        <w:t>自评。</w:t>
      </w:r>
    </w:p>
    <w:p>
      <w:pPr>
        <w:widowControl w:val="0"/>
        <w:wordWrap/>
        <w:adjustRightInd/>
        <w:snapToGrid/>
        <w:spacing w:line="560" w:lineRule="exact"/>
        <w:ind w:firstLine="640" w:firstLineChars="200"/>
        <w:textAlignment w:val="auto"/>
        <w:rPr>
          <w:rFonts w:hint="default"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（二）年度总体目标</w:t>
      </w:r>
    </w:p>
    <w:p>
      <w:pPr>
        <w:widowControl w:val="0"/>
        <w:wordWrap/>
        <w:snapToGrid w:val="0"/>
        <w:spacing w:before="0" w:after="0" w:line="600" w:lineRule="exact"/>
        <w:ind w:left="0" w:leftChars="0" w:right="0" w:firstLine="640" w:firstLineChars="200"/>
        <w:jc w:val="both"/>
        <w:textAlignment w:val="auto"/>
        <w:outlineLvl w:val="9"/>
        <w:rPr>
          <w:rFonts w:hint="eastAsia" w:ascii="仿宋" w:hAnsi="仿宋" w:eastAsia="仿宋"/>
          <w:sz w:val="32"/>
          <w:szCs w:val="32"/>
          <w:lang w:eastAsia="zh-CN"/>
        </w:rPr>
      </w:pPr>
      <w:r>
        <w:rPr>
          <w:rFonts w:hint="default" w:ascii="Times New Roman" w:hAnsi="Times New Roman" w:eastAsia="仿宋_GB2312" w:cs="Times New Roman"/>
          <w:sz w:val="32"/>
          <w:szCs w:val="32"/>
          <w:lang w:eastAsia="zh-CN"/>
        </w:rPr>
        <w:t>202</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eastAsia="zh-CN"/>
        </w:rPr>
        <w:t>年以来，市政府研究室在市委、市政府的正确领导下，坚持</w:t>
      </w:r>
      <w:r>
        <w:rPr>
          <w:rFonts w:hint="default" w:ascii="Times New Roman" w:hAnsi="Times New Roman" w:eastAsia="仿宋_GB2312" w:cs="Times New Roman"/>
          <w:color w:val="000000"/>
          <w:sz w:val="32"/>
          <w:szCs w:val="32"/>
          <w:shd w:val="clear" w:color="auto" w:fill="FFFFFF"/>
        </w:rPr>
        <w:t>以习近平新时代中国特色社会主义思想为指导，</w:t>
      </w:r>
      <w:r>
        <w:rPr>
          <w:rFonts w:hint="default" w:ascii="Times New Roman" w:hAnsi="Times New Roman" w:eastAsia="仿宋_GB2312" w:cs="Times New Roman"/>
          <w:sz w:val="32"/>
          <w:szCs w:val="32"/>
          <w:lang w:eastAsia="zh-CN"/>
        </w:rPr>
        <w:t>深入学习贯彻党的二十大精神和省、市委重大决策部署，紧紧围绕市委、市政府中心工作和市领导交办事项，超前谋划，主动服务，深入调研，大力转作风、提效能、出精品，圆满完成了各项任务。</w:t>
      </w:r>
    </w:p>
    <w:p>
      <w:pPr>
        <w:widowControl w:val="0"/>
        <w:wordWrap/>
        <w:adjustRightInd/>
        <w:snapToGrid/>
        <w:spacing w:line="560" w:lineRule="exact"/>
        <w:ind w:firstLine="640" w:firstLineChars="200"/>
        <w:textAlignment w:val="auto"/>
        <w:rPr>
          <w:rFonts w:hint="default"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（三）项目预算执行情况</w:t>
      </w:r>
    </w:p>
    <w:p>
      <w:pPr>
        <w:widowControl w:val="0"/>
        <w:wordWrap/>
        <w:adjustRightInd/>
        <w:snapToGrid/>
        <w:spacing w:line="560" w:lineRule="exact"/>
        <w:ind w:firstLine="643" w:firstLineChars="200"/>
        <w:textAlignment w:val="auto"/>
        <w:rPr>
          <w:rFonts w:hint="default" w:ascii="仿宋_GB2312" w:hAnsi="仿宋" w:eastAsia="仿宋_GB2312"/>
          <w:b/>
          <w:bCs/>
          <w:sz w:val="32"/>
          <w:szCs w:val="32"/>
          <w:lang w:val="en-US" w:eastAsia="zh-CN"/>
        </w:rPr>
      </w:pPr>
      <w:r>
        <w:rPr>
          <w:rFonts w:hint="eastAsia" w:ascii="仿宋_GB2312" w:hAnsi="仿宋" w:eastAsia="仿宋_GB2312"/>
          <w:b/>
          <w:bCs/>
          <w:sz w:val="32"/>
          <w:szCs w:val="32"/>
          <w:lang w:val="en-US" w:eastAsia="zh-CN"/>
        </w:rPr>
        <w:t>1.项目预算安排情况</w:t>
      </w:r>
    </w:p>
    <w:p>
      <w:pPr>
        <w:widowControl w:val="0"/>
        <w:wordWrap/>
        <w:adjustRightInd/>
        <w:snapToGrid/>
        <w:spacing w:line="560" w:lineRule="exact"/>
        <w:ind w:firstLine="640" w:firstLineChars="200"/>
        <w:textAlignment w:val="auto"/>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2022年，我室年初</w:t>
      </w:r>
      <w:r>
        <w:rPr>
          <w:rFonts w:hint="eastAsia" w:ascii="仿宋" w:hAnsi="仿宋" w:eastAsia="仿宋" w:cs="仿宋"/>
          <w:sz w:val="32"/>
          <w:szCs w:val="32"/>
        </w:rPr>
        <w:t>项目预算</w:t>
      </w:r>
      <w:r>
        <w:rPr>
          <w:rFonts w:hint="eastAsia" w:ascii="仿宋" w:hAnsi="仿宋" w:eastAsia="仿宋" w:cs="仿宋"/>
          <w:sz w:val="32"/>
          <w:szCs w:val="32"/>
          <w:lang w:eastAsia="zh-CN"/>
        </w:rPr>
        <w:t>金额</w:t>
      </w:r>
      <w:r>
        <w:rPr>
          <w:rFonts w:hint="eastAsia" w:ascii="仿宋" w:hAnsi="仿宋" w:eastAsia="仿宋" w:cs="仿宋"/>
          <w:sz w:val="32"/>
          <w:szCs w:val="32"/>
          <w:lang w:val="en-US" w:eastAsia="zh-CN"/>
        </w:rPr>
        <w:t>126.75</w:t>
      </w:r>
      <w:r>
        <w:rPr>
          <w:rFonts w:hint="eastAsia" w:ascii="仿宋" w:hAnsi="仿宋" w:eastAsia="仿宋" w:cs="仿宋"/>
          <w:sz w:val="32"/>
          <w:szCs w:val="32"/>
        </w:rPr>
        <w:t>万元</w:t>
      </w:r>
      <w:r>
        <w:rPr>
          <w:rFonts w:hint="eastAsia" w:ascii="仿宋" w:hAnsi="仿宋" w:eastAsia="仿宋" w:cs="仿宋"/>
          <w:sz w:val="32"/>
          <w:szCs w:val="32"/>
          <w:lang w:eastAsia="zh-CN"/>
        </w:rPr>
        <w:t>，调整预算金额</w:t>
      </w:r>
      <w:r>
        <w:rPr>
          <w:rFonts w:hint="eastAsia" w:ascii="仿宋" w:hAnsi="仿宋" w:eastAsia="仿宋" w:cs="仿宋"/>
          <w:sz w:val="32"/>
          <w:szCs w:val="32"/>
          <w:lang w:val="en-US" w:eastAsia="zh-CN"/>
        </w:rPr>
        <w:t>194.77万元</w:t>
      </w:r>
      <w:r>
        <w:rPr>
          <w:rFonts w:hint="eastAsia" w:ascii="仿宋" w:hAnsi="仿宋" w:eastAsia="仿宋" w:cs="仿宋"/>
          <w:sz w:val="32"/>
          <w:szCs w:val="32"/>
          <w:lang w:eastAsia="zh-CN"/>
        </w:rPr>
        <w:t>。</w:t>
      </w:r>
    </w:p>
    <w:p>
      <w:pPr>
        <w:widowControl w:val="0"/>
        <w:wordWrap/>
        <w:adjustRightInd/>
        <w:snapToGrid/>
        <w:spacing w:line="560" w:lineRule="exact"/>
        <w:ind w:firstLine="643" w:firstLineChars="200"/>
        <w:textAlignment w:val="auto"/>
        <w:rPr>
          <w:rFonts w:hint="default" w:ascii="仿宋_GB2312" w:hAnsi="仿宋" w:eastAsia="仿宋_GB2312"/>
          <w:b/>
          <w:bCs/>
          <w:sz w:val="32"/>
          <w:szCs w:val="32"/>
          <w:lang w:val="en-US" w:eastAsia="zh-CN"/>
        </w:rPr>
      </w:pPr>
      <w:r>
        <w:rPr>
          <w:rFonts w:hint="eastAsia" w:ascii="仿宋_GB2312" w:hAnsi="仿宋" w:eastAsia="仿宋_GB2312"/>
          <w:b/>
          <w:bCs/>
          <w:sz w:val="32"/>
          <w:szCs w:val="32"/>
          <w:lang w:val="en-US" w:eastAsia="zh-CN"/>
        </w:rPr>
        <w:t>2.项目收入、支出、预算执行情况</w:t>
      </w:r>
    </w:p>
    <w:p>
      <w:pPr>
        <w:widowControl w:val="0"/>
        <w:wordWrap/>
        <w:adjustRightInd/>
        <w:snapToGrid/>
        <w:spacing w:line="560" w:lineRule="exact"/>
        <w:ind w:firstLine="614" w:firstLineChars="192"/>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2022年项目实际支出</w:t>
      </w:r>
      <w:r>
        <w:rPr>
          <w:rFonts w:hint="eastAsia" w:ascii="仿宋" w:hAnsi="仿宋" w:eastAsia="仿宋" w:cs="仿宋"/>
          <w:sz w:val="32"/>
          <w:szCs w:val="32"/>
          <w:lang w:val="en-US" w:eastAsia="zh-CN"/>
        </w:rPr>
        <w:t>164.83</w:t>
      </w:r>
      <w:r>
        <w:rPr>
          <w:rFonts w:hint="eastAsia" w:ascii="仿宋_GB2312" w:hAnsi="仿宋" w:eastAsia="仿宋_GB2312"/>
          <w:sz w:val="32"/>
          <w:szCs w:val="32"/>
          <w:lang w:val="en-US" w:eastAsia="zh-CN"/>
        </w:rPr>
        <w:t>万元，预算执行率为84.630%。</w:t>
      </w:r>
    </w:p>
    <w:p>
      <w:pPr>
        <w:widowControl w:val="0"/>
        <w:wordWrap/>
        <w:adjustRightInd/>
        <w:snapToGrid/>
        <w:spacing w:line="560" w:lineRule="exact"/>
        <w:ind w:firstLine="617" w:firstLineChars="192"/>
        <w:textAlignment w:val="auto"/>
        <w:rPr>
          <w:rFonts w:hint="eastAsia" w:ascii="仿宋_GB2312" w:hAnsi="仿宋" w:eastAsia="仿宋_GB2312"/>
          <w:b/>
          <w:bCs/>
          <w:sz w:val="32"/>
          <w:szCs w:val="32"/>
          <w:lang w:val="en-US" w:eastAsia="zh-CN"/>
        </w:rPr>
      </w:pPr>
      <w:r>
        <w:rPr>
          <w:rFonts w:hint="eastAsia" w:ascii="仿宋_GB2312" w:hAnsi="仿宋" w:eastAsia="仿宋_GB2312"/>
          <w:b/>
          <w:bCs/>
          <w:sz w:val="32"/>
          <w:szCs w:val="32"/>
          <w:lang w:val="en-US" w:eastAsia="zh-CN"/>
        </w:rPr>
        <w:t>3.财政拨款收入、支出分析</w:t>
      </w:r>
    </w:p>
    <w:p>
      <w:pPr>
        <w:widowControl w:val="0"/>
        <w:wordWrap/>
        <w:adjustRightInd/>
        <w:snapToGrid/>
        <w:spacing w:line="560" w:lineRule="exact"/>
        <w:ind w:firstLine="614" w:firstLineChars="192"/>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2022年项目收入</w:t>
      </w:r>
      <w:r>
        <w:rPr>
          <w:rFonts w:hint="eastAsia" w:ascii="仿宋" w:hAnsi="仿宋" w:eastAsia="仿宋" w:cs="仿宋"/>
          <w:sz w:val="32"/>
          <w:szCs w:val="32"/>
          <w:lang w:val="en-US" w:eastAsia="zh-CN"/>
        </w:rPr>
        <w:t>194.77</w:t>
      </w:r>
      <w:r>
        <w:rPr>
          <w:rFonts w:hint="eastAsia" w:ascii="仿宋_GB2312" w:hAnsi="仿宋" w:eastAsia="仿宋_GB2312"/>
          <w:sz w:val="32"/>
          <w:szCs w:val="32"/>
          <w:lang w:val="en-US" w:eastAsia="zh-CN"/>
        </w:rPr>
        <w:t>万元，其中财政拨款收入</w:t>
      </w:r>
      <w:r>
        <w:rPr>
          <w:rFonts w:hint="eastAsia" w:ascii="仿宋" w:hAnsi="仿宋" w:eastAsia="仿宋" w:cs="仿宋"/>
          <w:sz w:val="32"/>
          <w:szCs w:val="32"/>
          <w:lang w:val="en-US" w:eastAsia="zh-CN"/>
        </w:rPr>
        <w:t>194.77</w:t>
      </w:r>
      <w:r>
        <w:rPr>
          <w:rFonts w:hint="eastAsia" w:ascii="仿宋_GB2312" w:hAnsi="仿宋" w:eastAsia="仿宋_GB2312"/>
          <w:sz w:val="32"/>
          <w:szCs w:val="32"/>
          <w:lang w:val="en-US" w:eastAsia="zh-CN"/>
        </w:rPr>
        <w:t>万元，占100%；2022年项目支出</w:t>
      </w:r>
      <w:r>
        <w:rPr>
          <w:rFonts w:hint="eastAsia" w:ascii="仿宋" w:hAnsi="仿宋" w:eastAsia="仿宋" w:cs="仿宋"/>
          <w:sz w:val="32"/>
          <w:szCs w:val="32"/>
          <w:lang w:val="en-US" w:eastAsia="zh-CN"/>
        </w:rPr>
        <w:t>164.83</w:t>
      </w:r>
      <w:r>
        <w:rPr>
          <w:rFonts w:hint="eastAsia" w:ascii="仿宋_GB2312" w:hAnsi="仿宋" w:eastAsia="仿宋_GB2312"/>
          <w:sz w:val="32"/>
          <w:szCs w:val="32"/>
          <w:lang w:val="en-US" w:eastAsia="zh-CN"/>
        </w:rPr>
        <w:t>万元，具体明细见《项目预算及项目资金支出明细表》。</w:t>
      </w:r>
    </w:p>
    <w:p>
      <w:pPr>
        <w:spacing w:line="360" w:lineRule="auto"/>
        <w:jc w:val="center"/>
        <w:rPr>
          <w:rFonts w:hint="eastAsia" w:ascii="仿宋_GB2312" w:hAnsi="仿宋" w:eastAsia="仿宋_GB2312"/>
          <w:b/>
          <w:bCs/>
          <w:sz w:val="32"/>
          <w:szCs w:val="32"/>
          <w:lang w:val="en-US" w:eastAsia="zh-CN"/>
        </w:rPr>
      </w:pPr>
      <w:r>
        <w:rPr>
          <w:rFonts w:hint="eastAsia" w:ascii="仿宋_GB2312" w:hAnsi="仿宋" w:eastAsia="仿宋_GB2312"/>
          <w:b/>
          <w:bCs/>
          <w:sz w:val="32"/>
          <w:szCs w:val="32"/>
          <w:lang w:val="en-US" w:eastAsia="zh-CN"/>
        </w:rPr>
        <w:t>《项目预算及项目资金支出明细表》</w:t>
      </w:r>
    </w:p>
    <w:tbl>
      <w:tblPr>
        <w:tblpPr w:leftFromText="180" w:rightFromText="180" w:vertAnchor="text" w:horzAnchor="page" w:tblpX="1830" w:tblpY="623"/>
        <w:tblOverlap w:val="never"/>
        <w:tblW w:w="852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left w:w="108" w:type="dxa"/>
          <w:right w:w="108" w:type="dxa"/>
        </w:tblCellMar>
      </w:tblPr>
      <w:tblGrid>
        <w:gridCol w:w="646"/>
        <w:gridCol w:w="2762"/>
        <w:gridCol w:w="1704"/>
        <w:gridCol w:w="1705"/>
        <w:gridCol w:w="1705"/>
      </w:tblGrid>
      <w:tr>
        <w:trPr>
          <w:trHeight w:val="580" w:hRule="atLeast"/>
        </w:trPr>
        <w:tc>
          <w:tcPr>
            <w:tcW w:w="646"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序号</w:t>
            </w:r>
          </w:p>
        </w:tc>
        <w:tc>
          <w:tcPr>
            <w:tcW w:w="2762"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项目名称</w:t>
            </w:r>
          </w:p>
        </w:tc>
        <w:tc>
          <w:tcPr>
            <w:tcW w:w="1704"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年初预算数额（万元）</w:t>
            </w:r>
          </w:p>
        </w:tc>
        <w:tc>
          <w:tcPr>
            <w:tcW w:w="1705"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调整后预算数额（万元）</w:t>
            </w:r>
          </w:p>
        </w:tc>
        <w:tc>
          <w:tcPr>
            <w:tcW w:w="1705"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实际支出(万元）</w:t>
            </w:r>
          </w:p>
        </w:tc>
      </w:tr>
      <w:tr>
        <w:trPr>
          <w:trHeight w:val="567" w:hRule="atLeast"/>
        </w:trPr>
        <w:tc>
          <w:tcPr>
            <w:tcW w:w="646" w:type="dxa"/>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1</w:t>
            </w:r>
          </w:p>
        </w:tc>
        <w:tc>
          <w:tcPr>
            <w:tcW w:w="2762"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政府工作报告起草经费</w:t>
            </w:r>
          </w:p>
        </w:tc>
        <w:tc>
          <w:tcPr>
            <w:tcW w:w="1704" w:type="dxa"/>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15</w:t>
            </w:r>
          </w:p>
        </w:tc>
        <w:tc>
          <w:tcPr>
            <w:tcW w:w="1705" w:type="dxa"/>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15</w:t>
            </w:r>
          </w:p>
        </w:tc>
        <w:tc>
          <w:tcPr>
            <w:tcW w:w="1705" w:type="dxa"/>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15</w:t>
            </w:r>
          </w:p>
        </w:tc>
      </w:tr>
      <w:tr>
        <w:trPr>
          <w:trHeight w:val="567" w:hRule="atLeast"/>
        </w:trPr>
        <w:tc>
          <w:tcPr>
            <w:tcW w:w="646" w:type="dxa"/>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2</w:t>
            </w:r>
          </w:p>
        </w:tc>
        <w:tc>
          <w:tcPr>
            <w:tcW w:w="2762"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《石家庄经济》编印经费</w:t>
            </w:r>
          </w:p>
        </w:tc>
        <w:tc>
          <w:tcPr>
            <w:tcW w:w="1704" w:type="dxa"/>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8.5</w:t>
            </w:r>
          </w:p>
        </w:tc>
        <w:tc>
          <w:tcPr>
            <w:tcW w:w="1705" w:type="dxa"/>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8.5</w:t>
            </w:r>
          </w:p>
        </w:tc>
        <w:tc>
          <w:tcPr>
            <w:tcW w:w="1705" w:type="dxa"/>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7.08</w:t>
            </w:r>
          </w:p>
        </w:tc>
      </w:tr>
      <w:tr>
        <w:trPr>
          <w:trHeight w:val="567" w:hRule="atLeast"/>
        </w:trPr>
        <w:tc>
          <w:tcPr>
            <w:tcW w:w="646" w:type="dxa"/>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3</w:t>
            </w:r>
          </w:p>
        </w:tc>
        <w:tc>
          <w:tcPr>
            <w:tcW w:w="2762"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参事课题调研经费</w:t>
            </w:r>
          </w:p>
        </w:tc>
        <w:tc>
          <w:tcPr>
            <w:tcW w:w="1704" w:type="dxa"/>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54.5</w:t>
            </w:r>
          </w:p>
        </w:tc>
        <w:tc>
          <w:tcPr>
            <w:tcW w:w="1705" w:type="dxa"/>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54.5</w:t>
            </w:r>
          </w:p>
        </w:tc>
        <w:tc>
          <w:tcPr>
            <w:tcW w:w="1705"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35.03</w:t>
            </w:r>
          </w:p>
        </w:tc>
      </w:tr>
      <w:tr>
        <w:trPr>
          <w:trHeight w:val="567" w:hRule="atLeast"/>
        </w:trPr>
        <w:tc>
          <w:tcPr>
            <w:tcW w:w="646" w:type="dxa"/>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4</w:t>
            </w:r>
          </w:p>
        </w:tc>
        <w:tc>
          <w:tcPr>
            <w:tcW w:w="2762"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研究动态编印经费</w:t>
            </w:r>
          </w:p>
        </w:tc>
        <w:tc>
          <w:tcPr>
            <w:tcW w:w="1704" w:type="dxa"/>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2</w:t>
            </w:r>
          </w:p>
        </w:tc>
        <w:tc>
          <w:tcPr>
            <w:tcW w:w="1705" w:type="dxa"/>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2</w:t>
            </w:r>
          </w:p>
        </w:tc>
        <w:tc>
          <w:tcPr>
            <w:tcW w:w="1705" w:type="dxa"/>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1.72</w:t>
            </w:r>
          </w:p>
        </w:tc>
      </w:tr>
      <w:tr>
        <w:trPr>
          <w:trHeight w:val="567" w:hRule="atLeast"/>
        </w:trPr>
        <w:tc>
          <w:tcPr>
            <w:tcW w:w="646" w:type="dxa"/>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5</w:t>
            </w:r>
          </w:p>
        </w:tc>
        <w:tc>
          <w:tcPr>
            <w:tcW w:w="2762"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课题调研经费</w:t>
            </w:r>
          </w:p>
        </w:tc>
        <w:tc>
          <w:tcPr>
            <w:tcW w:w="1704" w:type="dxa"/>
            <w:textDirection w:val="lrTb"/>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20</w:t>
            </w:r>
          </w:p>
        </w:tc>
        <w:tc>
          <w:tcPr>
            <w:tcW w:w="1705" w:type="dxa"/>
            <w:textDirection w:val="lrTb"/>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20</w:t>
            </w:r>
          </w:p>
        </w:tc>
        <w:tc>
          <w:tcPr>
            <w:tcW w:w="1705" w:type="dxa"/>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16.32</w:t>
            </w:r>
          </w:p>
        </w:tc>
      </w:tr>
      <w:tr>
        <w:trPr>
          <w:trHeight w:val="567" w:hRule="atLeast"/>
        </w:trPr>
        <w:tc>
          <w:tcPr>
            <w:tcW w:w="646" w:type="dxa"/>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6</w:t>
            </w:r>
          </w:p>
        </w:tc>
        <w:tc>
          <w:tcPr>
            <w:tcW w:w="2762"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政府研究室劳务费</w:t>
            </w:r>
          </w:p>
        </w:tc>
        <w:tc>
          <w:tcPr>
            <w:tcW w:w="1704" w:type="dxa"/>
            <w:textDirection w:val="lrTb"/>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10.45</w:t>
            </w:r>
          </w:p>
        </w:tc>
        <w:tc>
          <w:tcPr>
            <w:tcW w:w="1705" w:type="dxa"/>
            <w:textDirection w:val="lrTb"/>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10.45</w:t>
            </w:r>
          </w:p>
        </w:tc>
        <w:tc>
          <w:tcPr>
            <w:tcW w:w="1705" w:type="dxa"/>
            <w:textDirection w:val="lrTb"/>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10.45</w:t>
            </w:r>
          </w:p>
        </w:tc>
      </w:tr>
      <w:tr>
        <w:trPr>
          <w:trHeight w:val="567" w:hRule="atLeast"/>
        </w:trPr>
        <w:tc>
          <w:tcPr>
            <w:tcW w:w="646" w:type="dxa"/>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7</w:t>
            </w:r>
          </w:p>
        </w:tc>
        <w:tc>
          <w:tcPr>
            <w:tcW w:w="2762"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党组织活动经费</w:t>
            </w:r>
          </w:p>
        </w:tc>
        <w:tc>
          <w:tcPr>
            <w:tcW w:w="1704" w:type="dxa"/>
            <w:textDirection w:val="lrTb"/>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2.3</w:t>
            </w:r>
          </w:p>
        </w:tc>
        <w:tc>
          <w:tcPr>
            <w:tcW w:w="1705" w:type="dxa"/>
            <w:textDirection w:val="lrTb"/>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2.3</w:t>
            </w:r>
          </w:p>
        </w:tc>
        <w:tc>
          <w:tcPr>
            <w:tcW w:w="1705" w:type="dxa"/>
            <w:textDirection w:val="lrTb"/>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2.29</w:t>
            </w:r>
          </w:p>
        </w:tc>
      </w:tr>
      <w:tr>
        <w:trPr>
          <w:trHeight w:val="567" w:hRule="atLeast"/>
        </w:trPr>
        <w:tc>
          <w:tcPr>
            <w:tcW w:w="646" w:type="dxa"/>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8</w:t>
            </w:r>
          </w:p>
        </w:tc>
        <w:tc>
          <w:tcPr>
            <w:tcW w:w="2762"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业务咨询委托费</w:t>
            </w:r>
          </w:p>
        </w:tc>
        <w:tc>
          <w:tcPr>
            <w:tcW w:w="1704" w:type="dxa"/>
            <w:textDirection w:val="lrTb"/>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4</w:t>
            </w:r>
          </w:p>
        </w:tc>
        <w:tc>
          <w:tcPr>
            <w:tcW w:w="1705" w:type="dxa"/>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4</w:t>
            </w:r>
          </w:p>
        </w:tc>
        <w:tc>
          <w:tcPr>
            <w:tcW w:w="1705" w:type="dxa"/>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0.7</w:t>
            </w:r>
          </w:p>
        </w:tc>
      </w:tr>
      <w:tr>
        <w:trPr>
          <w:trHeight w:val="567" w:hRule="atLeast"/>
        </w:trPr>
        <w:tc>
          <w:tcPr>
            <w:tcW w:w="646"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9</w:t>
            </w:r>
          </w:p>
        </w:tc>
        <w:tc>
          <w:tcPr>
            <w:tcW w:w="2762"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文件资料印刷费</w:t>
            </w:r>
          </w:p>
        </w:tc>
        <w:tc>
          <w:tcPr>
            <w:tcW w:w="1704"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6</w:t>
            </w:r>
          </w:p>
        </w:tc>
        <w:tc>
          <w:tcPr>
            <w:tcW w:w="1705"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6</w:t>
            </w:r>
          </w:p>
        </w:tc>
        <w:tc>
          <w:tcPr>
            <w:tcW w:w="1705" w:type="dxa"/>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4.79</w:t>
            </w:r>
          </w:p>
        </w:tc>
      </w:tr>
      <w:tr>
        <w:trPr>
          <w:trHeight w:val="567" w:hRule="atLeast"/>
        </w:trPr>
        <w:tc>
          <w:tcPr>
            <w:tcW w:w="646"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10</w:t>
            </w:r>
          </w:p>
        </w:tc>
        <w:tc>
          <w:tcPr>
            <w:tcW w:w="2762"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办公设备购置</w:t>
            </w:r>
          </w:p>
        </w:tc>
        <w:tc>
          <w:tcPr>
            <w:tcW w:w="1704"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4</w:t>
            </w:r>
          </w:p>
        </w:tc>
        <w:tc>
          <w:tcPr>
            <w:tcW w:w="1705"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4</w:t>
            </w:r>
          </w:p>
        </w:tc>
        <w:tc>
          <w:tcPr>
            <w:tcW w:w="1705" w:type="dxa"/>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3.45</w:t>
            </w:r>
          </w:p>
        </w:tc>
      </w:tr>
      <w:tr>
        <w:trPr>
          <w:trHeight w:val="567" w:hRule="atLeast"/>
        </w:trPr>
        <w:tc>
          <w:tcPr>
            <w:tcW w:w="646"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11</w:t>
            </w:r>
          </w:p>
        </w:tc>
        <w:tc>
          <w:tcPr>
            <w:tcW w:w="2762"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市长恳谈会经费</w:t>
            </w:r>
          </w:p>
        </w:tc>
        <w:tc>
          <w:tcPr>
            <w:tcW w:w="1704"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68.02</w:t>
            </w:r>
          </w:p>
        </w:tc>
        <w:tc>
          <w:tcPr>
            <w:tcW w:w="1705" w:type="dxa"/>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68.02</w:t>
            </w:r>
          </w:p>
        </w:tc>
        <w:tc>
          <w:tcPr>
            <w:tcW w:w="1705" w:type="dxa"/>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68.02</w:t>
            </w:r>
          </w:p>
        </w:tc>
      </w:tr>
    </w:tbl>
    <w:p>
      <w:pPr>
        <w:widowControl w:val="0"/>
        <w:wordWrap/>
        <w:adjustRightInd/>
        <w:snapToGrid/>
        <w:spacing w:line="560" w:lineRule="exact"/>
        <w:ind w:firstLine="640" w:firstLineChars="200"/>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（四）项目支出及评价情况</w:t>
      </w:r>
    </w:p>
    <w:p>
      <w:pPr>
        <w:widowControl w:val="0"/>
        <w:wordWrap/>
        <w:adjustRightInd/>
        <w:snapToGrid/>
        <w:spacing w:line="560" w:lineRule="exact"/>
        <w:ind w:firstLine="640" w:firstLineChars="200"/>
        <w:jc w:val="both"/>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我室2022年度项目经费支出</w:t>
      </w:r>
      <w:r>
        <w:rPr>
          <w:rFonts w:hint="eastAsia" w:ascii="仿宋" w:hAnsi="仿宋" w:eastAsia="仿宋" w:cs="仿宋"/>
          <w:sz w:val="32"/>
          <w:szCs w:val="32"/>
          <w:lang w:val="en-US" w:eastAsia="zh-CN"/>
        </w:rPr>
        <w:t>164.83</w:t>
      </w:r>
      <w:r>
        <w:rPr>
          <w:rFonts w:hint="eastAsia" w:ascii="仿宋_GB2312" w:hAnsi="仿宋" w:eastAsia="仿宋_GB2312"/>
          <w:sz w:val="32"/>
          <w:szCs w:val="32"/>
          <w:lang w:val="en-US" w:eastAsia="zh-CN"/>
        </w:rPr>
        <w:t>万元，包含11个项目，其中含重点项目1个，为课题调研费项目。</w:t>
      </w:r>
    </w:p>
    <w:p>
      <w:pPr>
        <w:widowControl w:val="0"/>
        <w:wordWrap/>
        <w:adjustRightInd/>
        <w:snapToGrid/>
        <w:spacing w:line="560" w:lineRule="exact"/>
        <w:ind w:firstLine="614" w:firstLineChars="192"/>
        <w:textAlignment w:val="auto"/>
        <w:rPr>
          <w:rFonts w:hint="eastAsia" w:ascii="仿宋_GB2312" w:hAnsi="仿宋" w:eastAsia="仿宋_GB2312"/>
          <w:sz w:val="28"/>
          <w:szCs w:val="28"/>
        </w:rPr>
      </w:pPr>
      <w:r>
        <w:rPr>
          <w:rFonts w:hint="eastAsia" w:ascii="仿宋_GB2312" w:hAnsi="仿宋" w:eastAsia="仿宋_GB2312"/>
          <w:sz w:val="32"/>
          <w:szCs w:val="32"/>
        </w:rPr>
        <w:t>具体项目绩效评价结果详见下表：</w:t>
      </w:r>
    </w:p>
    <w:p>
      <w:pPr>
        <w:widowControl w:val="0"/>
        <w:wordWrap/>
        <w:adjustRightInd/>
        <w:snapToGrid/>
        <w:spacing w:line="360" w:lineRule="auto"/>
        <w:ind w:firstLine="562" w:firstLineChars="200"/>
        <w:jc w:val="center"/>
        <w:textAlignment w:val="auto"/>
        <w:rPr>
          <w:rFonts w:hint="eastAsia" w:ascii="仿宋_GB2312" w:hAnsi="仿宋" w:eastAsia="仿宋_GB2312" w:cs="宋体"/>
          <w:b/>
          <w:bCs/>
          <w:kern w:val="0"/>
          <w:sz w:val="28"/>
          <w:szCs w:val="28"/>
        </w:rPr>
      </w:pPr>
      <w:r>
        <w:rPr>
          <w:rFonts w:hint="eastAsia" w:ascii="仿宋_GB2312" w:hAnsi="仿宋" w:eastAsia="仿宋_GB2312" w:cs="宋体"/>
          <w:b/>
          <w:bCs/>
          <w:kern w:val="0"/>
          <w:sz w:val="28"/>
          <w:szCs w:val="28"/>
          <w:lang w:eastAsia="zh-CN"/>
        </w:rPr>
        <w:t>2022</w:t>
      </w:r>
      <w:r>
        <w:rPr>
          <w:rFonts w:hint="eastAsia" w:ascii="仿宋_GB2312" w:hAnsi="仿宋" w:eastAsia="仿宋_GB2312" w:cs="宋体"/>
          <w:b/>
          <w:bCs/>
          <w:kern w:val="0"/>
          <w:sz w:val="28"/>
          <w:szCs w:val="28"/>
        </w:rPr>
        <w:t>年度项目支出绩效评价结果汇总表</w:t>
      </w:r>
    </w:p>
    <w:tbl>
      <w:tblPr>
        <w:tblW w:w="8803" w:type="dxa"/>
        <w:jc w:val="center"/>
        <w:tblInd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108" w:type="dxa"/>
        </w:tblCellMar>
      </w:tblPr>
      <w:tblGrid>
        <w:gridCol w:w="559"/>
        <w:gridCol w:w="1682"/>
        <w:gridCol w:w="3150"/>
        <w:gridCol w:w="975"/>
        <w:gridCol w:w="1380"/>
        <w:gridCol w:w="1057"/>
      </w:tblGrid>
      <w:tr>
        <w:trPr>
          <w:trHeight w:val="684" w:hRule="atLeast"/>
          <w:tblHeader/>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eastAsia" w:ascii="仿宋_GB2312" w:hAnsi="仿宋" w:eastAsia="仿宋_GB2312" w:cs="宋体"/>
                <w:b/>
                <w:color w:val="000000"/>
                <w:sz w:val="24"/>
              </w:rPr>
            </w:pPr>
            <w:r>
              <w:rPr>
                <w:rFonts w:hint="eastAsia" w:ascii="仿宋_GB2312" w:hAnsi="仿宋" w:eastAsia="仿宋_GB2312" w:cs="宋体"/>
                <w:b/>
                <w:color w:val="000000"/>
                <w:kern w:val="0"/>
                <w:sz w:val="24"/>
              </w:rPr>
              <w:t>序号</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eastAsia" w:ascii="仿宋_GB2312" w:hAnsi="仿宋" w:eastAsia="仿宋_GB2312" w:cs="宋体"/>
                <w:b/>
                <w:color w:val="000000"/>
                <w:sz w:val="24"/>
              </w:rPr>
            </w:pPr>
            <w:r>
              <w:rPr>
                <w:rFonts w:hint="eastAsia" w:ascii="仿宋_GB2312" w:hAnsi="仿宋" w:eastAsia="仿宋_GB2312" w:cs="宋体"/>
                <w:b/>
                <w:color w:val="000000"/>
                <w:kern w:val="0"/>
                <w:sz w:val="24"/>
              </w:rPr>
              <w:t>项目名称</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widowControl/>
              <w:jc w:val="both"/>
              <w:textAlignment w:val="center"/>
              <w:rPr>
                <w:rFonts w:hint="default" w:ascii="仿宋_GB2312" w:hAnsi="仿宋" w:eastAsia="仿宋_GB2312" w:cs="宋体"/>
                <w:b/>
                <w:color w:val="000000"/>
                <w:sz w:val="24"/>
                <w:lang w:val="en-US" w:eastAsia="zh-CN"/>
              </w:rPr>
            </w:pPr>
            <w:r>
              <w:rPr>
                <w:rFonts w:hint="eastAsia" w:ascii="仿宋_GB2312" w:hAnsi="仿宋" w:eastAsia="仿宋_GB2312" w:cs="宋体"/>
                <w:b/>
                <w:color w:val="000000"/>
                <w:sz w:val="24"/>
                <w:lang w:val="en-US" w:eastAsia="zh-CN"/>
              </w:rPr>
              <w:t>绩效目标</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eastAsia" w:ascii="仿宋_GB2312" w:hAnsi="仿宋" w:eastAsia="仿宋_GB2312" w:cs="宋体"/>
                <w:b/>
                <w:color w:val="000000"/>
                <w:kern w:val="0"/>
                <w:sz w:val="24"/>
              </w:rPr>
            </w:pPr>
            <w:r>
              <w:rPr>
                <w:rFonts w:hint="eastAsia" w:ascii="仿宋_GB2312" w:hAnsi="仿宋" w:eastAsia="仿宋_GB2312" w:cs="宋体"/>
                <w:b/>
                <w:color w:val="000000"/>
                <w:kern w:val="0"/>
                <w:sz w:val="24"/>
              </w:rPr>
              <w:t>预算金额</w:t>
            </w:r>
            <w:r>
              <w:rPr>
                <w:rFonts w:hint="eastAsia" w:ascii="仿宋_GB2312" w:hAnsi="仿宋" w:eastAsia="仿宋_GB2312" w:cs="宋体"/>
                <w:b/>
                <w:color w:val="000000"/>
                <w:kern w:val="0"/>
                <w:sz w:val="24"/>
              </w:rPr>
              <w:br/>
            </w:r>
            <w:r>
              <w:rPr>
                <w:rFonts w:hint="eastAsia" w:ascii="仿宋_GB2312" w:hAnsi="仿宋" w:eastAsia="仿宋_GB2312" w:cs="宋体"/>
                <w:b/>
                <w:color w:val="000000"/>
                <w:kern w:val="0"/>
                <w:sz w:val="24"/>
              </w:rPr>
              <w:t>（万元）</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eastAsia" w:ascii="仿宋_GB2312" w:hAnsi="仿宋" w:eastAsia="仿宋_GB2312" w:cs="宋体"/>
                <w:b/>
                <w:color w:val="000000"/>
                <w:sz w:val="24"/>
              </w:rPr>
            </w:pPr>
            <w:r>
              <w:rPr>
                <w:rFonts w:hint="eastAsia" w:ascii="仿宋_GB2312" w:hAnsi="仿宋" w:eastAsia="仿宋_GB2312" w:cs="宋体"/>
                <w:b/>
                <w:color w:val="000000"/>
                <w:kern w:val="0"/>
                <w:sz w:val="24"/>
              </w:rPr>
              <w:t>支出金额</w:t>
            </w:r>
            <w:r>
              <w:rPr>
                <w:rFonts w:hint="eastAsia" w:ascii="仿宋_GB2312" w:hAnsi="仿宋" w:eastAsia="仿宋_GB2312" w:cs="宋体"/>
                <w:b/>
                <w:color w:val="000000"/>
                <w:kern w:val="0"/>
                <w:sz w:val="24"/>
              </w:rPr>
              <w:br/>
            </w:r>
            <w:r>
              <w:rPr>
                <w:rFonts w:hint="eastAsia" w:ascii="仿宋_GB2312" w:hAnsi="仿宋" w:eastAsia="仿宋_GB2312" w:cs="宋体"/>
                <w:b/>
                <w:color w:val="000000"/>
                <w:kern w:val="0"/>
                <w:sz w:val="24"/>
              </w:rPr>
              <w:t>（万元）</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eastAsia" w:ascii="仿宋_GB2312" w:hAnsi="仿宋" w:eastAsia="仿宋_GB2312" w:cs="宋体"/>
                <w:b/>
                <w:color w:val="000000"/>
                <w:sz w:val="24"/>
              </w:rPr>
            </w:pPr>
            <w:r>
              <w:rPr>
                <w:rFonts w:hint="eastAsia" w:ascii="仿宋_GB2312" w:hAnsi="仿宋" w:eastAsia="仿宋_GB2312" w:cs="宋体"/>
                <w:b/>
                <w:color w:val="000000"/>
                <w:kern w:val="0"/>
                <w:sz w:val="24"/>
              </w:rPr>
              <w:t>自评分数</w:t>
            </w:r>
          </w:p>
        </w:tc>
      </w:tr>
      <w:tr>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eastAsia"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1</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政府工作报告起草经费</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widowControl/>
              <w:jc w:val="both"/>
              <w:textAlignment w:val="center"/>
              <w:rPr>
                <w:rFonts w:hint="eastAsia" w:ascii="仿宋_GB2312" w:hAnsi="仿宋" w:eastAsia="仿宋_GB2312" w:cs="宋体"/>
                <w:color w:val="000000"/>
                <w:sz w:val="24"/>
              </w:rPr>
            </w:pPr>
            <w:r>
              <w:rPr>
                <w:rFonts w:hint="eastAsia" w:ascii="仿宋" w:hAnsi="仿宋" w:eastAsia="仿宋" w:cs="仿宋"/>
                <w:color w:val="000000"/>
                <w:sz w:val="24"/>
                <w:lang w:val="en-US" w:eastAsia="zh-CN"/>
              </w:rPr>
              <w:t>起草完成市《政府工作报告》</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15</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15</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ind w:right="210"/>
              <w:jc w:val="both"/>
              <w:textAlignment w:val="center"/>
              <w:rPr>
                <w:rFonts w:hint="default" w:ascii="仿宋_GB2312" w:hAnsi="仿宋" w:eastAsia="仿宋_GB2312" w:cs="宋体"/>
                <w:color w:val="auto"/>
                <w:kern w:val="0"/>
                <w:sz w:val="24"/>
                <w:lang w:val="en-US" w:eastAsia="zh-CN"/>
              </w:rPr>
            </w:pPr>
            <w:r>
              <w:rPr>
                <w:rFonts w:hint="eastAsia" w:ascii="仿宋_GB2312" w:hAnsi="仿宋" w:eastAsia="仿宋_GB2312" w:cs="宋体"/>
                <w:color w:val="auto"/>
                <w:kern w:val="0"/>
                <w:sz w:val="24"/>
                <w:lang w:val="en-US" w:eastAsia="zh-CN"/>
              </w:rPr>
              <w:t>98</w:t>
            </w:r>
          </w:p>
        </w:tc>
      </w:tr>
      <w:tr>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eastAsia"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2</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《石家庄经济》编印经费</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tabs>
                <w:tab w:val="left" w:pos="664"/>
              </w:tabs>
              <w:jc w:val="both"/>
              <w:rPr>
                <w:rFonts w:hint="default" w:ascii="Times New Roman" w:hAnsi="Times New Roman" w:eastAsia="宋体" w:cs="Times New Roman"/>
                <w:kern w:val="2"/>
                <w:sz w:val="21"/>
                <w:szCs w:val="24"/>
                <w:lang w:val="en-US" w:eastAsia="zh-CN" w:bidi="ar-SA"/>
              </w:rPr>
            </w:pPr>
            <w:r>
              <w:rPr>
                <w:rFonts w:hint="eastAsia" w:ascii="仿宋" w:hAnsi="仿宋" w:eastAsia="仿宋" w:cs="仿宋"/>
                <w:color w:val="000000"/>
                <w:sz w:val="24"/>
                <w:lang w:val="en-US" w:eastAsia="zh-CN"/>
              </w:rPr>
              <w:t>编印6期《石家庄经济》刊物</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8.85</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7.08</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ind w:right="210"/>
              <w:jc w:val="both"/>
              <w:textAlignment w:val="center"/>
              <w:rPr>
                <w:rFonts w:hint="default" w:ascii="仿宋_GB2312" w:hAnsi="仿宋" w:eastAsia="仿宋_GB2312" w:cs="宋体"/>
                <w:color w:val="auto"/>
                <w:kern w:val="0"/>
                <w:sz w:val="24"/>
                <w:lang w:val="en-US" w:eastAsia="zh-CN"/>
              </w:rPr>
            </w:pPr>
            <w:r>
              <w:rPr>
                <w:rFonts w:hint="eastAsia" w:ascii="仿宋_GB2312" w:hAnsi="仿宋" w:eastAsia="仿宋_GB2312" w:cs="宋体"/>
                <w:color w:val="auto"/>
                <w:kern w:val="0"/>
                <w:sz w:val="24"/>
                <w:lang w:val="en-US" w:eastAsia="zh-CN"/>
              </w:rPr>
              <w:t>94</w:t>
            </w:r>
          </w:p>
        </w:tc>
      </w:tr>
      <w:tr>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default"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3</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参事课题调研经费</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组织开展参事课题调研</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54.5</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35.03</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ind w:right="210"/>
              <w:jc w:val="both"/>
              <w:textAlignment w:val="center"/>
              <w:rPr>
                <w:rFonts w:hint="default" w:ascii="仿宋_GB2312" w:hAnsi="仿宋" w:eastAsia="仿宋_GB2312" w:cs="宋体"/>
                <w:color w:val="000000"/>
                <w:kern w:val="0"/>
                <w:sz w:val="24"/>
                <w:lang w:val="en-US" w:eastAsia="zh-CN"/>
              </w:rPr>
            </w:pPr>
            <w:r>
              <w:rPr>
                <w:rFonts w:hint="eastAsia" w:ascii="仿宋_GB2312" w:hAnsi="仿宋" w:eastAsia="仿宋_GB2312" w:cs="宋体"/>
                <w:color w:val="000000"/>
                <w:kern w:val="0"/>
                <w:sz w:val="24"/>
                <w:lang w:val="en-US" w:eastAsia="zh-CN"/>
              </w:rPr>
              <w:t>93</w:t>
            </w:r>
          </w:p>
        </w:tc>
      </w:tr>
      <w:tr>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eastAsia"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4</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研究动态编印经费</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编印研究动态6期</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2</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1.72</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ind w:right="210"/>
              <w:jc w:val="both"/>
              <w:textAlignment w:val="center"/>
              <w:rPr>
                <w:rFonts w:hint="default" w:ascii="仿宋_GB2312" w:hAnsi="仿宋" w:eastAsia="仿宋_GB2312" w:cs="宋体"/>
                <w:color w:val="auto"/>
                <w:kern w:val="0"/>
                <w:sz w:val="24"/>
                <w:lang w:val="en-US" w:eastAsia="zh-CN"/>
              </w:rPr>
            </w:pPr>
            <w:r>
              <w:rPr>
                <w:rFonts w:hint="eastAsia" w:ascii="仿宋_GB2312" w:hAnsi="仿宋" w:eastAsia="仿宋_GB2312" w:cs="宋体"/>
                <w:color w:val="auto"/>
                <w:kern w:val="0"/>
                <w:sz w:val="24"/>
                <w:lang w:val="en-US" w:eastAsia="zh-CN"/>
              </w:rPr>
              <w:t>97</w:t>
            </w:r>
          </w:p>
        </w:tc>
      </w:tr>
      <w:tr>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default"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5</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课题调研经费</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完成年初重点调研课题计划安排，完成市领导安排部署的调研课题</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20</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16.32</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ind w:right="210"/>
              <w:jc w:val="both"/>
              <w:textAlignment w:val="center"/>
              <w:rPr>
                <w:rFonts w:hint="default" w:ascii="仿宋_GB2312" w:hAnsi="仿宋" w:eastAsia="仿宋_GB2312" w:cs="宋体"/>
                <w:color w:val="000000"/>
                <w:kern w:val="0"/>
                <w:sz w:val="24"/>
                <w:lang w:val="en-US" w:eastAsia="zh-CN"/>
              </w:rPr>
            </w:pPr>
            <w:r>
              <w:rPr>
                <w:rFonts w:hint="eastAsia" w:ascii="仿宋_GB2312" w:hAnsi="仿宋" w:eastAsia="仿宋_GB2312" w:cs="宋体"/>
                <w:color w:val="000000"/>
                <w:kern w:val="0"/>
                <w:sz w:val="24"/>
                <w:lang w:val="en-US" w:eastAsia="zh-CN"/>
              </w:rPr>
              <w:t>98</w:t>
            </w:r>
          </w:p>
        </w:tc>
      </w:tr>
      <w:tr>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default"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6</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政府研究室劳务费</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起草完成换届市《政府工作报告》</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10.45</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10.45</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ind w:right="210"/>
              <w:jc w:val="both"/>
              <w:textAlignment w:val="center"/>
              <w:rPr>
                <w:rFonts w:hint="default" w:ascii="仿宋_GB2312" w:hAnsi="仿宋" w:eastAsia="仿宋_GB2312" w:cs="宋体"/>
                <w:color w:val="000000"/>
                <w:kern w:val="0"/>
                <w:sz w:val="24"/>
                <w:lang w:val="en-US" w:eastAsia="zh-CN"/>
              </w:rPr>
            </w:pPr>
            <w:r>
              <w:rPr>
                <w:rFonts w:hint="eastAsia" w:ascii="仿宋_GB2312" w:hAnsi="仿宋" w:eastAsia="仿宋_GB2312" w:cs="宋体"/>
                <w:color w:val="000000"/>
                <w:kern w:val="0"/>
                <w:sz w:val="24"/>
                <w:lang w:val="en-US" w:eastAsia="zh-CN"/>
              </w:rPr>
              <w:t>100</w:t>
            </w:r>
          </w:p>
        </w:tc>
      </w:tr>
      <w:tr>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default" w:ascii="仿宋_GB2312" w:hAnsi="仿宋" w:eastAsia="仿宋_GB2312" w:cs="宋体"/>
                <w:color w:val="auto"/>
                <w:sz w:val="24"/>
                <w:highlight w:val="none"/>
                <w:lang w:val="en-US" w:eastAsia="zh-CN"/>
              </w:rPr>
            </w:pPr>
            <w:r>
              <w:rPr>
                <w:rFonts w:hint="eastAsia" w:ascii="仿宋_GB2312" w:hAnsi="仿宋" w:eastAsia="仿宋_GB2312" w:cs="宋体"/>
                <w:color w:val="auto"/>
                <w:sz w:val="24"/>
                <w:highlight w:val="none"/>
                <w:lang w:val="en-US" w:eastAsia="zh-CN"/>
              </w:rPr>
              <w:t>7</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党组织活动经费</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组织开展2次党员教育活动（计划3月和6月）；教育全体党员学习“不忘初心、牢记使命”主题教育</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default"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2.3</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2.29</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ind w:right="210"/>
              <w:jc w:val="both"/>
              <w:textAlignment w:val="center"/>
              <w:rPr>
                <w:rFonts w:hint="default" w:ascii="仿宋_GB2312" w:hAnsi="仿宋" w:eastAsia="仿宋_GB2312" w:cs="宋体"/>
                <w:color w:val="000000"/>
                <w:kern w:val="0"/>
                <w:sz w:val="24"/>
                <w:lang w:val="en-US" w:eastAsia="zh-CN"/>
              </w:rPr>
            </w:pPr>
            <w:r>
              <w:rPr>
                <w:rFonts w:hint="eastAsia" w:ascii="仿宋_GB2312" w:hAnsi="仿宋" w:eastAsia="仿宋_GB2312" w:cs="宋体"/>
                <w:color w:val="000000"/>
                <w:kern w:val="0"/>
                <w:sz w:val="24"/>
                <w:lang w:val="en-US" w:eastAsia="zh-CN"/>
              </w:rPr>
              <w:t>96</w:t>
            </w:r>
          </w:p>
        </w:tc>
      </w:tr>
      <w:tr>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default"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8</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sz w:val="24"/>
                <w:lang w:val="en-US" w:eastAsia="zh-CN"/>
              </w:rPr>
              <w:t>业务咨询委托费</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widowControl/>
              <w:jc w:val="both"/>
              <w:textAlignment w:val="center"/>
              <w:rPr>
                <w:rFonts w:hint="default" w:ascii="仿宋" w:hAnsi="仿宋" w:eastAsia="仿宋" w:cs="仿宋"/>
                <w:color w:val="000000"/>
                <w:sz w:val="24"/>
                <w:lang w:val="en-US" w:eastAsia="zh-CN"/>
              </w:rPr>
            </w:pPr>
            <w:r>
              <w:rPr>
                <w:rFonts w:hint="eastAsia" w:ascii="仿宋" w:hAnsi="仿宋" w:eastAsia="仿宋" w:cs="仿宋"/>
                <w:color w:val="000000"/>
                <w:sz w:val="24"/>
                <w:lang w:val="en-US" w:eastAsia="zh-CN"/>
              </w:rPr>
              <w:t>调研课题咨询、专项领域专家座谈咨询、政府报告起草座谈咨询、财务咨询工作</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4</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kern w:val="2"/>
                <w:sz w:val="24"/>
                <w:szCs w:val="24"/>
                <w:lang w:val="en-US" w:eastAsia="zh-CN" w:bidi="ar-SA"/>
              </w:rPr>
            </w:pPr>
            <w:r>
              <w:rPr>
                <w:rFonts w:hint="eastAsia" w:ascii="仿宋" w:hAnsi="仿宋" w:eastAsia="仿宋" w:cs="仿宋"/>
                <w:color w:val="000000"/>
                <w:kern w:val="2"/>
                <w:sz w:val="24"/>
                <w:szCs w:val="24"/>
                <w:lang w:val="en-US" w:eastAsia="zh-CN" w:bidi="ar-SA"/>
              </w:rPr>
              <w:t>0.7</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ind w:right="210"/>
              <w:jc w:val="both"/>
              <w:textAlignment w:val="center"/>
              <w:rPr>
                <w:rFonts w:hint="default" w:ascii="仿宋_GB2312" w:hAnsi="仿宋" w:eastAsia="仿宋_GB2312" w:cs="宋体"/>
                <w:color w:val="000000"/>
                <w:kern w:val="0"/>
                <w:sz w:val="24"/>
                <w:lang w:val="en-US" w:eastAsia="zh-CN"/>
              </w:rPr>
            </w:pPr>
            <w:r>
              <w:rPr>
                <w:rFonts w:hint="eastAsia" w:ascii="仿宋_GB2312" w:hAnsi="仿宋" w:eastAsia="仿宋_GB2312" w:cs="宋体"/>
                <w:color w:val="000000"/>
                <w:kern w:val="0"/>
                <w:sz w:val="24"/>
                <w:lang w:val="en-US" w:eastAsia="zh-CN"/>
              </w:rPr>
              <w:t>98</w:t>
            </w:r>
          </w:p>
        </w:tc>
      </w:tr>
      <w:tr>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eastAsia"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9</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文件资料印刷费</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集印各类文件资料汇编</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6</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4.79</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ind w:right="210"/>
              <w:jc w:val="both"/>
              <w:textAlignment w:val="center"/>
              <w:rPr>
                <w:rFonts w:hint="eastAsia" w:ascii="仿宋_GB2312" w:hAnsi="仿宋" w:eastAsia="仿宋_GB2312" w:cs="宋体"/>
                <w:color w:val="000000"/>
                <w:kern w:val="0"/>
                <w:sz w:val="24"/>
                <w:lang w:val="en-US" w:eastAsia="zh-CN"/>
              </w:rPr>
            </w:pPr>
            <w:r>
              <w:rPr>
                <w:rFonts w:hint="eastAsia" w:ascii="仿宋_GB2312" w:hAnsi="仿宋" w:eastAsia="仿宋_GB2312" w:cs="宋体"/>
                <w:color w:val="000000"/>
                <w:kern w:val="0"/>
                <w:sz w:val="24"/>
                <w:lang w:val="en-US" w:eastAsia="zh-CN"/>
              </w:rPr>
              <w:t>95</w:t>
            </w:r>
          </w:p>
        </w:tc>
      </w:tr>
      <w:tr>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eastAsia"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10</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办公设备购置</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完成办公设备替代更换</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4</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3.45</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ind w:right="210"/>
              <w:jc w:val="both"/>
              <w:textAlignment w:val="center"/>
              <w:rPr>
                <w:rFonts w:hint="eastAsia" w:ascii="仿宋_GB2312" w:hAnsi="仿宋" w:eastAsia="仿宋_GB2312" w:cs="宋体"/>
                <w:color w:val="000000"/>
                <w:kern w:val="0"/>
                <w:sz w:val="24"/>
                <w:lang w:val="en-US" w:eastAsia="zh-CN"/>
              </w:rPr>
            </w:pPr>
            <w:r>
              <w:rPr>
                <w:rFonts w:hint="eastAsia" w:ascii="仿宋_GB2312" w:hAnsi="仿宋" w:eastAsia="仿宋_GB2312" w:cs="宋体"/>
                <w:color w:val="000000"/>
                <w:kern w:val="0"/>
                <w:sz w:val="24"/>
                <w:lang w:val="en-US" w:eastAsia="zh-CN"/>
              </w:rPr>
              <w:t>96</w:t>
            </w:r>
          </w:p>
        </w:tc>
      </w:tr>
      <w:tr>
        <w:trPr>
          <w:trHeight w:val="758" w:hRule="atLeast"/>
          <w:jc w:val="center"/>
        </w:trPr>
        <w:tc>
          <w:tcPr>
            <w:tcW w:w="55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jc w:val="both"/>
              <w:textAlignment w:val="center"/>
              <w:rPr>
                <w:rFonts w:hint="eastAsia" w:ascii="仿宋_GB2312" w:hAnsi="仿宋" w:eastAsia="仿宋_GB2312" w:cs="宋体"/>
                <w:color w:val="000000"/>
                <w:sz w:val="24"/>
                <w:lang w:val="en-US" w:eastAsia="zh-CN"/>
              </w:rPr>
            </w:pPr>
            <w:r>
              <w:rPr>
                <w:rFonts w:hint="eastAsia" w:ascii="仿宋_GB2312" w:hAnsi="仿宋" w:eastAsia="仿宋_GB2312" w:cs="宋体"/>
                <w:color w:val="000000"/>
                <w:sz w:val="24"/>
                <w:lang w:val="en-US" w:eastAsia="zh-CN"/>
              </w:rPr>
              <w:t>11</w:t>
            </w:r>
          </w:p>
        </w:tc>
        <w:tc>
          <w:tcPr>
            <w:tcW w:w="168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市长恳谈会经费</w:t>
            </w:r>
          </w:p>
        </w:tc>
        <w:tc>
          <w:tcPr>
            <w:tcW w:w="3150"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高质量完成会议组织工作</w:t>
            </w:r>
          </w:p>
        </w:tc>
        <w:tc>
          <w:tcPr>
            <w:tcW w:w="975" w:type="dxa"/>
            <w:tcBorders>
              <w:top w:val="single" w:color="000000" w:sz="4" w:space="0"/>
              <w:left w:val="single" w:color="auto"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68.02</w:t>
            </w:r>
          </w:p>
        </w:tc>
        <w:tc>
          <w:tcPr>
            <w:tcW w:w="138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textDirection w:val="lrTb"/>
            <w:vAlign w:val="top"/>
          </w:tcPr>
          <w:p>
            <w:pPr>
              <w:widowControl/>
              <w:jc w:val="both"/>
              <w:textAlignment w:val="center"/>
              <w:rPr>
                <w:rFonts w:hint="eastAsia" w:ascii="仿宋" w:hAnsi="仿宋" w:eastAsia="仿宋" w:cs="仿宋"/>
                <w:color w:val="000000"/>
                <w:sz w:val="24"/>
                <w:lang w:val="en-US" w:eastAsia="zh-CN"/>
              </w:rPr>
            </w:pPr>
            <w:r>
              <w:rPr>
                <w:rFonts w:hint="eastAsia" w:ascii="仿宋" w:hAnsi="仿宋" w:eastAsia="仿宋" w:cs="仿宋"/>
                <w:color w:val="000000"/>
                <w:sz w:val="24"/>
                <w:lang w:val="en-US" w:eastAsia="zh-CN"/>
              </w:rPr>
              <w:t>68.02</w:t>
            </w:r>
          </w:p>
        </w:tc>
        <w:tc>
          <w:tcPr>
            <w:tcW w:w="105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top"/>
          </w:tcPr>
          <w:p>
            <w:pPr>
              <w:widowControl/>
              <w:ind w:right="210"/>
              <w:jc w:val="both"/>
              <w:textAlignment w:val="center"/>
              <w:rPr>
                <w:rFonts w:hint="eastAsia" w:ascii="仿宋_GB2312" w:hAnsi="仿宋" w:eastAsia="仿宋_GB2312" w:cs="宋体"/>
                <w:color w:val="000000"/>
                <w:kern w:val="0"/>
                <w:sz w:val="24"/>
                <w:lang w:val="en-US" w:eastAsia="zh-CN"/>
              </w:rPr>
            </w:pPr>
            <w:r>
              <w:rPr>
                <w:rFonts w:hint="eastAsia" w:ascii="仿宋_GB2312" w:hAnsi="仿宋" w:eastAsia="仿宋_GB2312" w:cs="宋体"/>
                <w:color w:val="000000"/>
                <w:kern w:val="0"/>
                <w:sz w:val="24"/>
                <w:lang w:val="en-US" w:eastAsia="zh-CN"/>
              </w:rPr>
              <w:t>100</w:t>
            </w:r>
          </w:p>
        </w:tc>
      </w:tr>
    </w:tbl>
    <w:p>
      <w:pPr>
        <w:widowControl w:val="0"/>
        <w:wordWrap/>
        <w:adjustRightInd/>
        <w:snapToGrid/>
        <w:spacing w:line="560" w:lineRule="exact"/>
        <w:ind w:firstLine="640" w:firstLineChars="200"/>
        <w:textAlignment w:val="auto"/>
        <w:rPr>
          <w:rFonts w:hint="default"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（五）评价结论</w:t>
      </w:r>
    </w:p>
    <w:p>
      <w:pPr>
        <w:widowControl w:val="0"/>
        <w:wordWrap/>
        <w:adjustRightInd/>
        <w:snapToGrid/>
        <w:spacing w:line="560" w:lineRule="exact"/>
        <w:ind w:firstLine="640" w:firstLineChars="200"/>
        <w:textAlignment w:val="auto"/>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2022年我室积极履职，通过加强预算收支管理，不断梳理内部管理流程，建立健全内部管理制度，部门整体支出管理水平得到提升。</w:t>
      </w:r>
      <w:r>
        <w:rPr>
          <w:rFonts w:hint="eastAsia" w:ascii="仿宋_GB2312" w:hAnsi="仿宋" w:eastAsia="仿宋_GB2312"/>
          <w:sz w:val="32"/>
          <w:szCs w:val="32"/>
        </w:rPr>
        <w:t>评价项目共</w:t>
      </w:r>
      <w:r>
        <w:rPr>
          <w:rFonts w:hint="eastAsia" w:ascii="仿宋_GB2312" w:hAnsi="仿宋" w:eastAsia="仿宋_GB2312"/>
          <w:sz w:val="32"/>
          <w:szCs w:val="32"/>
          <w:lang w:val="en-US" w:eastAsia="zh-CN"/>
        </w:rPr>
        <w:t>11</w:t>
      </w:r>
      <w:r>
        <w:rPr>
          <w:rFonts w:hint="eastAsia" w:ascii="仿宋_GB2312" w:hAnsi="仿宋" w:eastAsia="仿宋_GB2312"/>
          <w:sz w:val="32"/>
          <w:szCs w:val="32"/>
        </w:rPr>
        <w:t>个</w:t>
      </w:r>
      <w:r>
        <w:rPr>
          <w:rFonts w:hint="eastAsia" w:ascii="仿宋_GB2312" w:hAnsi="仿宋" w:eastAsia="仿宋_GB2312"/>
          <w:sz w:val="32"/>
          <w:szCs w:val="32"/>
          <w:lang w:eastAsia="zh-CN"/>
        </w:rPr>
        <w:t>，</w:t>
      </w:r>
      <w:r>
        <w:rPr>
          <w:rFonts w:hint="eastAsia" w:ascii="仿宋_GB2312" w:hAnsi="仿宋" w:eastAsia="仿宋_GB2312"/>
          <w:sz w:val="32"/>
          <w:szCs w:val="32"/>
        </w:rPr>
        <w:t>占部门项目总数的</w:t>
      </w:r>
      <w:r>
        <w:rPr>
          <w:rFonts w:hint="eastAsia" w:ascii="仿宋_GB2312" w:hAnsi="仿宋" w:eastAsia="仿宋_GB2312"/>
          <w:sz w:val="32"/>
          <w:szCs w:val="32"/>
          <w:lang w:val="en-US" w:eastAsia="zh-CN"/>
        </w:rPr>
        <w:t>100%，</w:t>
      </w:r>
      <w:r>
        <w:rPr>
          <w:rFonts w:hint="eastAsia" w:ascii="仿宋_GB2312" w:hAnsi="仿宋" w:eastAsia="仿宋_GB2312"/>
          <w:sz w:val="32"/>
          <w:szCs w:val="32"/>
        </w:rPr>
        <w:t>涉及金额</w:t>
      </w:r>
      <w:r>
        <w:rPr>
          <w:rFonts w:hint="eastAsia" w:ascii="仿宋" w:hAnsi="仿宋" w:eastAsia="仿宋" w:cs="仿宋"/>
          <w:sz w:val="32"/>
          <w:szCs w:val="32"/>
          <w:lang w:val="en-US" w:eastAsia="zh-CN"/>
        </w:rPr>
        <w:t>164.83</w:t>
      </w:r>
      <w:r>
        <w:rPr>
          <w:rFonts w:hint="eastAsia" w:ascii="仿宋_GB2312" w:hAnsi="仿宋" w:eastAsia="仿宋_GB2312"/>
          <w:sz w:val="32"/>
          <w:szCs w:val="32"/>
          <w:lang w:val="en-US" w:eastAsia="zh-CN"/>
        </w:rPr>
        <w:t>万元，其中</w:t>
      </w:r>
      <w:r>
        <w:rPr>
          <w:rFonts w:hint="eastAsia" w:ascii="仿宋_GB2312" w:hAnsi="仿宋" w:eastAsia="仿宋_GB2312"/>
          <w:sz w:val="32"/>
          <w:szCs w:val="32"/>
        </w:rPr>
        <w:t>评价得分在</w:t>
      </w:r>
      <w:r>
        <w:rPr>
          <w:rFonts w:hint="eastAsia" w:ascii="仿宋_GB2312" w:hAnsi="仿宋" w:eastAsia="仿宋_GB2312"/>
          <w:sz w:val="32"/>
          <w:szCs w:val="32"/>
          <w:lang w:val="en-US" w:eastAsia="zh-CN"/>
        </w:rPr>
        <w:t>85</w:t>
      </w:r>
      <w:r>
        <w:rPr>
          <w:rFonts w:hint="eastAsia" w:ascii="仿宋_GB2312" w:hAnsi="仿宋" w:eastAsia="仿宋_GB2312"/>
          <w:sz w:val="32"/>
          <w:szCs w:val="32"/>
        </w:rPr>
        <w:t>（含）-100分的</w:t>
      </w:r>
      <w:r>
        <w:rPr>
          <w:rFonts w:hint="eastAsia" w:ascii="仿宋_GB2312" w:hAnsi="仿宋" w:eastAsia="仿宋_GB2312"/>
          <w:sz w:val="32"/>
          <w:szCs w:val="32"/>
          <w:lang w:val="en-US" w:eastAsia="zh-CN"/>
        </w:rPr>
        <w:t>10个、</w:t>
      </w:r>
      <w:r>
        <w:rPr>
          <w:rFonts w:hint="eastAsia" w:ascii="仿宋_GB2312" w:hAnsi="仿宋" w:eastAsia="仿宋_GB2312"/>
          <w:sz w:val="32"/>
          <w:szCs w:val="32"/>
        </w:rPr>
        <w:t>评价得分在</w:t>
      </w:r>
      <w:r>
        <w:rPr>
          <w:rFonts w:hint="eastAsia" w:ascii="仿宋_GB2312" w:hAnsi="仿宋" w:eastAsia="仿宋_GB2312"/>
          <w:sz w:val="32"/>
          <w:szCs w:val="32"/>
          <w:lang w:val="en-US" w:eastAsia="zh-CN"/>
        </w:rPr>
        <w:t>75</w:t>
      </w:r>
      <w:r>
        <w:rPr>
          <w:rFonts w:hint="eastAsia" w:ascii="仿宋_GB2312" w:hAnsi="仿宋" w:eastAsia="仿宋_GB2312"/>
          <w:sz w:val="32"/>
          <w:szCs w:val="32"/>
        </w:rPr>
        <w:t>（含）-</w:t>
      </w:r>
      <w:r>
        <w:rPr>
          <w:rFonts w:hint="eastAsia" w:ascii="仿宋_GB2312" w:hAnsi="仿宋" w:eastAsia="仿宋_GB2312"/>
          <w:sz w:val="32"/>
          <w:szCs w:val="32"/>
          <w:lang w:val="en-US" w:eastAsia="zh-CN"/>
        </w:rPr>
        <w:t>85</w:t>
      </w:r>
      <w:r>
        <w:rPr>
          <w:rFonts w:hint="eastAsia" w:ascii="仿宋_GB2312" w:hAnsi="仿宋" w:eastAsia="仿宋_GB2312"/>
          <w:sz w:val="32"/>
          <w:szCs w:val="32"/>
        </w:rPr>
        <w:t>分的</w:t>
      </w:r>
      <w:r>
        <w:rPr>
          <w:rFonts w:hint="eastAsia" w:ascii="仿宋_GB2312" w:hAnsi="仿宋" w:eastAsia="仿宋_GB2312"/>
          <w:sz w:val="32"/>
          <w:szCs w:val="32"/>
          <w:lang w:val="en-US" w:eastAsia="zh-CN"/>
        </w:rPr>
        <w:t>0个、</w:t>
      </w:r>
      <w:r>
        <w:rPr>
          <w:rFonts w:hint="eastAsia" w:ascii="仿宋_GB2312" w:hAnsi="仿宋" w:eastAsia="仿宋_GB2312"/>
          <w:sz w:val="32"/>
          <w:szCs w:val="32"/>
        </w:rPr>
        <w:t>评价得分在</w:t>
      </w:r>
      <w:r>
        <w:rPr>
          <w:rFonts w:hint="eastAsia" w:ascii="仿宋_GB2312" w:hAnsi="仿宋" w:eastAsia="仿宋_GB2312"/>
          <w:sz w:val="32"/>
          <w:szCs w:val="32"/>
          <w:lang w:val="en-US" w:eastAsia="zh-CN"/>
        </w:rPr>
        <w:t>60</w:t>
      </w:r>
      <w:r>
        <w:rPr>
          <w:rFonts w:hint="eastAsia" w:ascii="仿宋_GB2312" w:hAnsi="仿宋" w:eastAsia="仿宋_GB2312"/>
          <w:sz w:val="32"/>
          <w:szCs w:val="32"/>
        </w:rPr>
        <w:t>（含）-</w:t>
      </w:r>
      <w:r>
        <w:rPr>
          <w:rFonts w:hint="eastAsia" w:ascii="仿宋_GB2312" w:hAnsi="仿宋" w:eastAsia="仿宋_GB2312"/>
          <w:sz w:val="32"/>
          <w:szCs w:val="32"/>
          <w:lang w:val="en-US" w:eastAsia="zh-CN"/>
        </w:rPr>
        <w:t>75</w:t>
      </w:r>
      <w:r>
        <w:rPr>
          <w:rFonts w:hint="eastAsia" w:ascii="仿宋_GB2312" w:hAnsi="仿宋" w:eastAsia="仿宋_GB2312"/>
          <w:sz w:val="32"/>
          <w:szCs w:val="32"/>
        </w:rPr>
        <w:t>分的</w:t>
      </w:r>
      <w:r>
        <w:rPr>
          <w:rFonts w:hint="eastAsia" w:ascii="仿宋_GB2312" w:hAnsi="仿宋" w:eastAsia="仿宋_GB2312"/>
          <w:sz w:val="32"/>
          <w:szCs w:val="32"/>
          <w:lang w:val="en-US" w:eastAsia="zh-CN"/>
        </w:rPr>
        <w:t>0个、</w:t>
      </w:r>
      <w:r>
        <w:rPr>
          <w:rFonts w:hint="eastAsia" w:ascii="仿宋_GB2312" w:hAnsi="仿宋" w:eastAsia="仿宋_GB2312"/>
          <w:sz w:val="32"/>
          <w:szCs w:val="32"/>
        </w:rPr>
        <w:t>评价得分在60分以下的0个</w:t>
      </w:r>
      <w:r>
        <w:rPr>
          <w:rFonts w:hint="eastAsia" w:ascii="仿宋_GB2312" w:hAnsi="仿宋" w:eastAsia="仿宋_GB2312"/>
          <w:sz w:val="32"/>
          <w:szCs w:val="32"/>
          <w:lang w:eastAsia="zh-CN"/>
        </w:rPr>
        <w:t>。</w:t>
      </w:r>
    </w:p>
    <w:p>
      <w:pPr>
        <w:widowControl w:val="0"/>
        <w:wordWrap/>
        <w:snapToGrid/>
        <w:spacing w:line="560" w:lineRule="exact"/>
        <w:ind w:firstLine="614" w:firstLineChars="192"/>
        <w:textAlignment w:val="auto"/>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经过</w:t>
      </w:r>
      <w:r>
        <w:rPr>
          <w:rFonts w:hint="eastAsia" w:ascii="仿宋_GB2312" w:hAnsi="仿宋" w:eastAsia="仿宋_GB2312"/>
          <w:sz w:val="32"/>
          <w:szCs w:val="32"/>
        </w:rPr>
        <w:t>评价结果汇总分析我</w:t>
      </w:r>
      <w:r>
        <w:rPr>
          <w:rFonts w:hint="eastAsia" w:ascii="仿宋_GB2312" w:hAnsi="仿宋" w:eastAsia="仿宋_GB2312"/>
          <w:sz w:val="32"/>
          <w:szCs w:val="32"/>
          <w:lang w:eastAsia="zh-CN"/>
        </w:rPr>
        <w:t>室2022</w:t>
      </w:r>
      <w:r>
        <w:rPr>
          <w:rFonts w:hint="eastAsia" w:ascii="仿宋_GB2312" w:hAnsi="仿宋" w:eastAsia="仿宋_GB2312"/>
          <w:sz w:val="32"/>
          <w:szCs w:val="32"/>
        </w:rPr>
        <w:t>年度</w:t>
      </w:r>
      <w:r>
        <w:rPr>
          <w:rFonts w:hint="eastAsia" w:ascii="仿宋_GB2312" w:hAnsi="仿宋" w:eastAsia="仿宋_GB2312"/>
          <w:sz w:val="32"/>
          <w:szCs w:val="32"/>
          <w:lang w:val="en-US" w:eastAsia="zh-CN"/>
        </w:rPr>
        <w:t>10个</w:t>
      </w:r>
      <w:r>
        <w:rPr>
          <w:rFonts w:hint="eastAsia" w:ascii="仿宋_GB2312" w:hAnsi="仿宋" w:eastAsia="仿宋_GB2312"/>
          <w:sz w:val="32"/>
          <w:szCs w:val="32"/>
        </w:rPr>
        <w:t>评价项目整体执行情况较好</w:t>
      </w:r>
      <w:r>
        <w:rPr>
          <w:rFonts w:hint="eastAsia" w:ascii="仿宋_GB2312" w:hAnsi="仿宋" w:eastAsia="仿宋_GB2312"/>
          <w:sz w:val="32"/>
          <w:szCs w:val="32"/>
          <w:lang w:eastAsia="zh-CN"/>
        </w:rPr>
        <w:t>，</w:t>
      </w:r>
      <w:r>
        <w:rPr>
          <w:rFonts w:hint="eastAsia" w:ascii="仿宋_GB2312" w:hAnsi="仿宋" w:eastAsia="仿宋_GB2312"/>
          <w:sz w:val="32"/>
          <w:szCs w:val="32"/>
        </w:rPr>
        <w:t>自评结果均为“优秀”</w:t>
      </w:r>
      <w:r>
        <w:rPr>
          <w:rFonts w:hint="eastAsia" w:ascii="仿宋_GB2312" w:hAnsi="仿宋" w:eastAsia="仿宋_GB2312"/>
          <w:sz w:val="32"/>
          <w:szCs w:val="32"/>
          <w:lang w:eastAsia="zh-CN"/>
        </w:rPr>
        <w:t>。</w:t>
      </w:r>
    </w:p>
    <w:p>
      <w:pPr>
        <w:widowControl w:val="0"/>
        <w:wordWrap/>
        <w:snapToGrid w:val="0"/>
        <w:spacing w:before="0" w:after="0" w:line="600" w:lineRule="exact"/>
        <w:ind w:left="0" w:leftChars="0" w:right="0" w:firstLine="640" w:firstLineChars="200"/>
        <w:jc w:val="both"/>
        <w:textAlignment w:val="auto"/>
        <w:rPr>
          <w:rFonts w:ascii="黑体" w:hAnsi="黑体" w:eastAsia="黑体" w:cs="黑体"/>
          <w:sz w:val="32"/>
          <w:szCs w:val="32"/>
        </w:rPr>
      </w:pPr>
      <w:r>
        <w:rPr>
          <w:rFonts w:hint="eastAsia" w:ascii="黑体" w:hAnsi="黑体" w:eastAsia="黑体" w:cs="黑体"/>
          <w:sz w:val="32"/>
          <w:szCs w:val="32"/>
        </w:rPr>
        <w:t>三、绩效目标设定质量情况</w:t>
      </w:r>
    </w:p>
    <w:p>
      <w:pPr>
        <w:widowControl w:val="0"/>
        <w:wordWrap/>
        <w:snapToGrid/>
        <w:spacing w:before="0" w:after="0" w:line="600" w:lineRule="exact"/>
        <w:ind w:left="0" w:leftChars="0" w:right="0" w:firstLine="614" w:firstLineChars="192"/>
        <w:jc w:val="both"/>
        <w:textAlignment w:val="auto"/>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我室在设置总体目标和具体绩效指标时，牢牢把握关联性、可控性、可实施性、精准性、可衡量和低成本的原则，根据各项目预算特点设置相应绩效目标，绩效目标的设定较为明确、清晰，质量较好。但是</w:t>
      </w:r>
      <w:r>
        <w:rPr>
          <w:rFonts w:hint="eastAsia" w:ascii="仿宋_GB2312" w:hAnsi="仿宋" w:eastAsia="仿宋_GB2312"/>
          <w:sz w:val="32"/>
          <w:szCs w:val="32"/>
        </w:rPr>
        <w:t>部分项目绩效</w:t>
      </w:r>
      <w:r>
        <w:rPr>
          <w:rFonts w:hint="eastAsia" w:ascii="仿宋_GB2312" w:hAnsi="仿宋" w:eastAsia="仿宋_GB2312"/>
          <w:sz w:val="32"/>
          <w:szCs w:val="32"/>
          <w:lang w:val="en-US" w:eastAsia="zh-CN"/>
        </w:rPr>
        <w:t>指标细化、</w:t>
      </w:r>
      <w:r>
        <w:rPr>
          <w:rFonts w:hint="eastAsia" w:ascii="仿宋_GB2312" w:hAnsi="仿宋" w:eastAsia="仿宋_GB2312"/>
          <w:sz w:val="32"/>
          <w:szCs w:val="32"/>
        </w:rPr>
        <w:t>量化程度不够</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不利于</w:t>
      </w:r>
      <w:r>
        <w:rPr>
          <w:rFonts w:hint="eastAsia" w:ascii="仿宋_GB2312" w:hAnsi="仿宋" w:eastAsia="仿宋_GB2312"/>
          <w:sz w:val="32"/>
          <w:szCs w:val="32"/>
        </w:rPr>
        <w:t>后期评价阶段</w:t>
      </w:r>
      <w:r>
        <w:rPr>
          <w:rFonts w:hint="eastAsia" w:ascii="仿宋_GB2312" w:hAnsi="仿宋" w:eastAsia="仿宋_GB2312"/>
          <w:sz w:val="32"/>
          <w:szCs w:val="32"/>
          <w:lang w:val="en-US" w:eastAsia="zh-CN"/>
        </w:rPr>
        <w:t>的</w:t>
      </w:r>
      <w:r>
        <w:rPr>
          <w:rFonts w:hint="eastAsia" w:ascii="仿宋_GB2312" w:hAnsi="仿宋" w:eastAsia="仿宋_GB2312"/>
          <w:sz w:val="32"/>
          <w:szCs w:val="32"/>
        </w:rPr>
        <w:t>考核衡量</w:t>
      </w:r>
      <w:r>
        <w:rPr>
          <w:rFonts w:hint="eastAsia" w:ascii="仿宋_GB2312" w:hAnsi="仿宋" w:eastAsia="仿宋_GB2312"/>
          <w:sz w:val="32"/>
          <w:szCs w:val="32"/>
          <w:lang w:eastAsia="zh-CN"/>
        </w:rPr>
        <w:t>。</w:t>
      </w:r>
    </w:p>
    <w:p>
      <w:pPr>
        <w:widowControl w:val="0"/>
        <w:wordWrap/>
        <w:adjustRightInd/>
        <w:snapToGrid w:val="0"/>
        <w:spacing w:before="0" w:after="0" w:line="600" w:lineRule="exact"/>
        <w:ind w:left="0" w:leftChars="0" w:right="0" w:firstLine="640" w:firstLineChars="200"/>
        <w:jc w:val="both"/>
        <w:textAlignment w:val="auto"/>
        <w:outlineLvl w:val="9"/>
        <w:rPr>
          <w:rFonts w:ascii="黑体" w:hAnsi="黑体" w:eastAsia="黑体" w:cs="黑体"/>
          <w:sz w:val="32"/>
          <w:szCs w:val="32"/>
        </w:rPr>
      </w:pPr>
      <w:r>
        <w:rPr>
          <w:rFonts w:hint="eastAsia" w:ascii="黑体" w:hAnsi="黑体" w:eastAsia="黑体" w:cs="黑体"/>
          <w:sz w:val="32"/>
          <w:szCs w:val="32"/>
        </w:rPr>
        <w:t>四、整改措施及结果应用</w:t>
      </w:r>
    </w:p>
    <w:p>
      <w:pPr>
        <w:widowControl w:val="0"/>
        <w:wordWrap/>
        <w:adjustRightInd w:val="0"/>
        <w:snapToGrid/>
        <w:spacing w:before="0" w:after="0" w:line="600" w:lineRule="exact"/>
        <w:ind w:left="0" w:leftChars="0" w:right="0" w:firstLine="643" w:firstLineChars="200"/>
        <w:jc w:val="both"/>
        <w:textAlignment w:val="auto"/>
        <w:outlineLvl w:val="1"/>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（一）存在的主要问题</w:t>
      </w:r>
    </w:p>
    <w:p>
      <w:pPr>
        <w:widowControl w:val="0"/>
        <w:wordWrap/>
        <w:adjustRightInd w:val="0"/>
        <w:snapToGrid/>
        <w:spacing w:before="0" w:after="0" w:line="600" w:lineRule="exact"/>
        <w:ind w:left="0" w:leftChars="0" w:right="0" w:firstLine="643" w:firstLineChars="200"/>
        <w:jc w:val="both"/>
        <w:textAlignment w:val="auto"/>
        <w:outlineLvl w:val="1"/>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项目初期编制了绩效目标，绩效目标设置较为合理、明确，符合我单位的年度工作任务，但是部分项目绩效指标细化、量化程度不够，不利于后期评价阶段的考核衡量。</w:t>
      </w:r>
    </w:p>
    <w:p>
      <w:pPr>
        <w:widowControl w:val="0"/>
        <w:wordWrap/>
        <w:adjustRightInd w:val="0"/>
        <w:snapToGrid/>
        <w:spacing w:before="0" w:after="0" w:line="600" w:lineRule="exact"/>
        <w:ind w:left="0" w:leftChars="0" w:right="0" w:firstLine="643" w:firstLineChars="200"/>
        <w:jc w:val="both"/>
        <w:textAlignment w:val="auto"/>
        <w:outlineLvl w:val="1"/>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（二）针对问题提出具体的改进措施或建议</w:t>
      </w:r>
    </w:p>
    <w:p>
      <w:pPr>
        <w:widowControl w:val="0"/>
        <w:wordWrap/>
        <w:adjustRightInd w:val="0"/>
        <w:snapToGrid w:val="0"/>
        <w:spacing w:before="0" w:after="0" w:line="600" w:lineRule="exact"/>
        <w:ind w:left="0" w:leftChars="0" w:right="0" w:firstLine="640" w:firstLineChars="200"/>
        <w:jc w:val="both"/>
        <w:textAlignment w:val="auto"/>
        <w:outlineLvl w:val="9"/>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一是</w:t>
      </w:r>
      <w:r>
        <w:rPr>
          <w:rFonts w:hint="eastAsia" w:ascii="仿宋_GB2312" w:hAnsi="仿宋" w:eastAsia="仿宋_GB2312"/>
          <w:sz w:val="32"/>
          <w:szCs w:val="32"/>
        </w:rPr>
        <w:t>预算编制阶段</w:t>
      </w:r>
      <w:r>
        <w:rPr>
          <w:rFonts w:hint="eastAsia" w:ascii="仿宋_GB2312" w:hAnsi="仿宋" w:eastAsia="仿宋_GB2312"/>
          <w:sz w:val="32"/>
          <w:szCs w:val="32"/>
          <w:lang w:eastAsia="zh-CN"/>
        </w:rPr>
        <w:t>，</w:t>
      </w:r>
      <w:r>
        <w:rPr>
          <w:rFonts w:hint="eastAsia" w:ascii="仿宋_GB2312" w:hAnsi="仿宋" w:eastAsia="仿宋_GB2312"/>
          <w:sz w:val="32"/>
          <w:szCs w:val="32"/>
        </w:rPr>
        <w:t>财政预算项目申报阶段</w:t>
      </w:r>
      <w:r>
        <w:rPr>
          <w:rFonts w:hint="eastAsia" w:ascii="仿宋_GB2312" w:hAnsi="仿宋" w:eastAsia="仿宋_GB2312"/>
          <w:sz w:val="32"/>
          <w:szCs w:val="32"/>
          <w:lang w:eastAsia="zh-CN"/>
        </w:rPr>
        <w:t>，</w:t>
      </w:r>
      <w:r>
        <w:rPr>
          <w:rFonts w:hint="eastAsia" w:ascii="仿宋_GB2312" w:hAnsi="仿宋" w:eastAsia="仿宋_GB2312"/>
          <w:sz w:val="32"/>
          <w:szCs w:val="32"/>
        </w:rPr>
        <w:t>我</w:t>
      </w:r>
      <w:r>
        <w:rPr>
          <w:rFonts w:hint="eastAsia" w:ascii="仿宋_GB2312" w:hAnsi="仿宋" w:eastAsia="仿宋_GB2312"/>
          <w:sz w:val="32"/>
          <w:szCs w:val="32"/>
          <w:lang w:eastAsia="zh-CN"/>
        </w:rPr>
        <w:t>单位</w:t>
      </w:r>
      <w:r>
        <w:rPr>
          <w:rFonts w:hint="eastAsia" w:ascii="仿宋_GB2312" w:hAnsi="仿宋" w:eastAsia="仿宋_GB2312"/>
          <w:sz w:val="32"/>
          <w:szCs w:val="32"/>
        </w:rPr>
        <w:t>将认真</w:t>
      </w:r>
      <w:r>
        <w:rPr>
          <w:rFonts w:hint="eastAsia" w:ascii="仿宋_GB2312" w:hAnsi="仿宋" w:eastAsia="仿宋_GB2312"/>
          <w:sz w:val="32"/>
          <w:szCs w:val="32"/>
          <w:lang w:eastAsia="zh-CN"/>
        </w:rPr>
        <w:t>、</w:t>
      </w:r>
      <w:r>
        <w:rPr>
          <w:rFonts w:hint="eastAsia" w:ascii="仿宋_GB2312" w:hAnsi="仿宋" w:eastAsia="仿宋_GB2312"/>
          <w:sz w:val="32"/>
          <w:szCs w:val="32"/>
        </w:rPr>
        <w:t>科学合理填报绩效目标申报表</w:t>
      </w:r>
      <w:r>
        <w:rPr>
          <w:rFonts w:hint="eastAsia" w:ascii="仿宋_GB2312" w:hAnsi="仿宋" w:eastAsia="仿宋_GB2312"/>
          <w:sz w:val="32"/>
          <w:szCs w:val="32"/>
          <w:lang w:eastAsia="zh-CN"/>
        </w:rPr>
        <w:t>，</w:t>
      </w:r>
      <w:r>
        <w:rPr>
          <w:rFonts w:hint="eastAsia" w:ascii="仿宋_GB2312" w:hAnsi="仿宋" w:eastAsia="仿宋_GB2312"/>
          <w:sz w:val="32"/>
          <w:szCs w:val="32"/>
        </w:rPr>
        <w:t>同时进一步加强绩效目标申报表审核工作，保证各项指标细化、量化，进一步提高绩效目标设定的科学合理性。进一步加强各项目的预算资金管理，加大对预算编制与执行的监督管理力度，提高预算资金使用效率。</w:t>
      </w:r>
      <w:r>
        <w:rPr>
          <w:rFonts w:hint="eastAsia" w:ascii="仿宋_GB2312" w:hAnsi="仿宋" w:eastAsia="仿宋_GB2312"/>
          <w:sz w:val="32"/>
          <w:szCs w:val="32"/>
          <w:lang w:val="en-US" w:eastAsia="zh-CN"/>
        </w:rPr>
        <w:t>二是</w:t>
      </w:r>
      <w:r>
        <w:rPr>
          <w:rFonts w:hint="eastAsia" w:ascii="仿宋_GB2312" w:hAnsi="仿宋" w:eastAsia="仿宋_GB2312"/>
          <w:sz w:val="32"/>
          <w:szCs w:val="32"/>
        </w:rPr>
        <w:t>预算执行阶段</w:t>
      </w:r>
      <w:r>
        <w:rPr>
          <w:rFonts w:hint="eastAsia" w:ascii="仿宋_GB2312" w:hAnsi="仿宋" w:eastAsia="仿宋_GB2312"/>
          <w:sz w:val="32"/>
          <w:szCs w:val="32"/>
          <w:lang w:eastAsia="zh-CN"/>
        </w:rPr>
        <w:t>。</w:t>
      </w:r>
      <w:r>
        <w:rPr>
          <w:rFonts w:hint="eastAsia" w:ascii="仿宋_GB2312" w:hAnsi="仿宋" w:eastAsia="仿宋_GB2312"/>
          <w:sz w:val="32"/>
          <w:szCs w:val="32"/>
        </w:rPr>
        <w:t>进一步强化项目操作管理，通过实行全过程的绩效运行监控工作，及时发现执行偏差并纠正，保证项目按计划有序开展。</w:t>
      </w:r>
      <w:r>
        <w:rPr>
          <w:rFonts w:hint="eastAsia" w:ascii="仿宋_GB2312" w:hAnsi="仿宋" w:eastAsia="仿宋_GB2312"/>
          <w:sz w:val="32"/>
          <w:szCs w:val="32"/>
          <w:lang w:eastAsia="zh-CN"/>
        </w:rPr>
        <w:t>三是</w:t>
      </w:r>
      <w:r>
        <w:rPr>
          <w:rFonts w:hint="eastAsia" w:ascii="仿宋_GB2312" w:hAnsi="仿宋" w:eastAsia="仿宋_GB2312"/>
          <w:sz w:val="32"/>
          <w:szCs w:val="32"/>
          <w:lang w:val="en-US" w:eastAsia="zh-CN"/>
        </w:rPr>
        <w:t>强化学习培训。对</w:t>
      </w:r>
      <w:r>
        <w:rPr>
          <w:rFonts w:hint="eastAsia" w:ascii="仿宋_GB2312" w:hAnsi="仿宋" w:eastAsia="仿宋_GB2312"/>
          <w:sz w:val="32"/>
          <w:szCs w:val="32"/>
        </w:rPr>
        <w:t>各业务处室</w:t>
      </w:r>
      <w:r>
        <w:rPr>
          <w:rFonts w:hint="eastAsia" w:ascii="仿宋_GB2312" w:hAnsi="仿宋" w:eastAsia="仿宋_GB2312"/>
          <w:sz w:val="32"/>
          <w:szCs w:val="32"/>
          <w:lang w:val="en-US" w:eastAsia="zh-CN"/>
        </w:rPr>
        <w:t>相关人员加强培训，特别是加强针对《预算法》《行政事业单位会计制度》，项目立项规范，绩效评价相关方针、政策以及市财政有关规定等的学习培训，切实提高部门预算收支、项目立项和绩效目标的管理水平。</w:t>
      </w:r>
    </w:p>
    <w:p>
      <w:pPr>
        <w:widowControl w:val="0"/>
        <w:wordWrap/>
        <w:adjustRightInd/>
        <w:snapToGrid w:val="0"/>
        <w:spacing w:line="560" w:lineRule="exact"/>
        <w:ind w:left="0" w:leftChars="0" w:right="0" w:firstLine="640" w:firstLineChars="200"/>
        <w:textAlignment w:val="auto"/>
        <w:outlineLvl w:val="9"/>
        <w:rPr>
          <w:rFonts w:ascii="仿宋" w:hAnsi="仿宋" w:eastAsia="仿宋" w:cs="仿宋"/>
          <w:sz w:val="32"/>
          <w:szCs w:val="32"/>
        </w:rPr>
      </w:pPr>
    </w:p>
    <w:sectPr>
      <w:headerReference r:id="rId4" w:type="default"/>
      <w:footerReference r:id="rId5" w:type="default"/>
      <w:pgSz w:w="11906" w:h="16838"/>
      <w:pgMar w:top="2041" w:right="1304" w:bottom="1701" w:left="1531" w:header="851" w:footer="992" w:gutter="0"/>
      <w:pgNumType w:fmt="numberInDash"/>
      <w:cols w:space="72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Calibri">
    <w:panose1 w:val="020F0502020204030204"/>
    <w:charset w:val="00"/>
    <w:family w:val="auto"/>
    <w:pitch w:val="default"/>
    <w:sig w:usb0="E10002FF" w:usb1="4000ACFF" w:usb2="00000009" w:usb3="00000000" w:csb0="2000019F" w:csb1="00000000"/>
  </w:font>
  <w:font w:name="仿宋">
    <w:panose1 w:val="02010609060101010101"/>
    <w:charset w:val="86"/>
    <w:family w:val="auto"/>
    <w:pitch w:val="default"/>
    <w:sig w:usb0="800002BF" w:usb1="38CF7CFA" w:usb2="00000016" w:usb3="00000000" w:csb0="00040001" w:csb1="00000000"/>
  </w:font>
  <w:font w:name="Times">
    <w:altName w:val="Times New Roman"/>
    <w:panose1 w:val="02020603050405020304"/>
    <w:charset w:val="00"/>
    <w:family w:val="auto"/>
    <w:pitch w:val="default"/>
    <w:sig w:usb0="E0002AFF" w:usb1="C0007841" w:usb2="00000009" w:usb3="00000000" w:csb0="000001FF" w:csb1="00000000"/>
  </w:font>
  <w:font w:name="方正仿宋_GBK">
    <w:altName w:val="微软雅黑"/>
    <w:panose1 w:val="00000000000000000000"/>
    <w:charset w:val="86"/>
    <w:family w:val="auto"/>
    <w:pitch w:val="default"/>
    <w:sig w:usb0="00000000" w:usb1="0800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10" w:usb3="00000000" w:csb0="00040000" w:csb1="00000000"/>
  </w:font>
  <w:font w:name="Cambria">
    <w:panose1 w:val="02040503050406030204"/>
    <w:charset w:val="00"/>
    <w:family w:val="auto"/>
    <w:pitch w:val="default"/>
    <w:sig w:usb0="E00002FF" w:usb1="400004FF" w:usb2="00000000" w:usb3="00000000" w:csb0="2000019F"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Calibri Light">
    <w:altName w:val="Times New Roman"/>
    <w:panose1 w:val="00000000000000000000"/>
    <w:charset w:val="00"/>
    <w:family w:val="auto"/>
    <w:pitch w:val="default"/>
    <w:sig w:usb0="A00002EF" w:usb1="4000207B" w:usb2="00000000" w:usb3="00000000" w:csb0="0000019F" w:csb1="00000000"/>
  </w:font>
  <w:font w:name="华文中宋">
    <w:panose1 w:val="02010600040101010101"/>
    <w:charset w:val="86"/>
    <w:family w:val="auto"/>
    <w:pitch w:val="default"/>
    <w:sig w:usb0="00000287" w:usb1="080F0000" w:usb2="00000000" w:usb3="00000000" w:csb0="0004009F" w:csb1="DFD70000"/>
  </w:font>
  <w:font w:name="方正小标宋_GBK">
    <w:altName w:val="宋体"/>
    <w:panose1 w:val="00000000000000000000"/>
    <w:charset w:val="86"/>
    <w:family w:val="auto"/>
    <w:pitch w:val="default"/>
    <w:sig w:usb0="00000000" w:usb1="00000000" w:usb2="00000000" w:usb3="00000000" w:csb0="00040001" w:csb1="00000000"/>
  </w:font>
  <w:font w:name="方正楷体_GBK">
    <w:altName w:val="宋体"/>
    <w:panose1 w:val="00000000000000000000"/>
    <w:charset w:val="86"/>
    <w:family w:val="auto"/>
    <w:pitch w:val="default"/>
    <w:sig w:usb0="00000000" w:usb1="00000000" w:usb2="00000000" w:usb3="00000000" w:csb0="00040001" w:csb1="00000000"/>
  </w:font>
  <w:font w:name="方正黑体_GBK">
    <w:altName w:val="宋体"/>
    <w:panose1 w:val="00000000000000000000"/>
    <w:charset w:val="86"/>
    <w:family w:val="auto"/>
    <w:pitch w:val="default"/>
    <w:sig w:usb0="00000000" w:usb1="00000000" w:usb2="00000000" w:usb3="00000000" w:csb0="00040001" w:csb1="00000000"/>
  </w:font>
  <w:font w:name="方正书宋_GBK">
    <w:altName w:val="宋体"/>
    <w:panose1 w:val="00000000000000000000"/>
    <w:charset w:val="86"/>
    <w:family w:val="auto"/>
    <w:pitch w:val="default"/>
    <w:sig w:usb0="00000000" w:usb1="00000000" w:usb2="00000000" w:usb3="00000000" w:csb0="00040001" w:csb1="00000000"/>
  </w:font>
  <w:font w:name="等线">
    <w:altName w:val="宋体"/>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
      <w:rPr>
        <w:rFonts w:ascii="Times New Roman" w:hAnsi="Times New Roman" w:eastAsia="宋体" w:cs="Times New Roman"/>
        <w:kern w:val="2"/>
        <w:sz w:val="21"/>
        <w:szCs w:val="24"/>
        <w:lang w:val="en-US" w:eastAsia="zh-CN" w:bidi="ar-SA"/>
      </w:rPr>
      <w:pict>
        <v:shape id="Quad Arrow 3073" o:spid="_x0000_s1025" type="#_x0000_t202" style="position:absolute;left:0;margin-top:0pt;height:144pt;width:144pt;mso-position-horizontal:center;mso-position-horizontal-relative:margin;mso-wrap-style:none;rotation:0f;z-index:251658240;"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6"/>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next w:val="2"/>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tyle>
  <w:style w:type="paragraph" w:styleId="2">
    <w:name w:val="Body Text"/>
    <w:basedOn w:val="1"/>
    <w:pPr>
      <w:spacing w:after="120" w:line="324" w:lineRule="auto"/>
      <w:ind w:firstLine="200" w:firstLineChars="200"/>
    </w:pPr>
    <w:rPr>
      <w:bCs/>
      <w:sz w:val="28"/>
    </w:rPr>
  </w:style>
  <w:style w:type="paragraph" w:styleId="3">
    <w:name w:val="footer"/>
    <w:basedOn w:val="1"/>
    <w:link w:val="4"/>
    <w:pPr>
      <w:tabs>
        <w:tab w:val="center" w:pos="4153"/>
        <w:tab w:val="right" w:pos="8306"/>
      </w:tabs>
      <w:snapToGrid w:val="0"/>
      <w:jc w:val="left"/>
    </w:pPr>
    <w:rPr>
      <w:sz w:val="18"/>
      <w:szCs w:val="18"/>
    </w:rPr>
  </w:style>
  <w:style w:type="character" w:customStyle="1" w:styleId="4">
    <w:name w:val="页脚 Char"/>
    <w:basedOn w:val="5"/>
    <w:link w:val="3"/>
    <w:semiHidden/>
    <w:rPr>
      <w:sz w:val="18"/>
      <w:szCs w:val="18"/>
    </w:rPr>
  </w:style>
  <w:style w:type="paragraph" w:styleId="6">
    <w:name w:val="header"/>
    <w:basedOn w:val="1"/>
    <w:link w:val="7"/>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5"/>
    <w:link w:val="6"/>
    <w:semiHidden/>
    <w:rPr>
      <w:sz w:val="18"/>
      <w:szCs w:val="18"/>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theme" Target="theme/theme1.xml"/><Relationship Id="rId7" Type="http://schemas.openxmlformats.org/officeDocument/2006/relationships/customXml" Target="../customXml/item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1</Pages>
  <Words>64</Words>
  <Characters>367</Characters>
  <Lines>3</Lines>
  <Paragraphs>1</Paragraphs>
  <ScaleCrop>false</ScaleCrop>
  <LinksUpToDate>false</LinksUpToDate>
  <CharactersWithSpaces>0</CharactersWithSpaces>
  <Application>WPS Office 个人版_9.1.0.4249</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HP</cp:lastModifiedBy>
  <cp:lastPrinted>2022-01-10T06:18:00Z</cp:lastPrinted>
  <dcterms:modified xsi:type="dcterms:W3CDTF">2023-04-19T00:48:31Z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2052-9.1.0.4249</vt:lpwstr>
  </property>
</Properties>
</file>