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p>
    <w:p>
      <w:pPr>
        <w:spacing w:line="560" w:lineRule="exact"/>
        <w:jc w:val="center"/>
        <w:rPr>
          <w:rFonts w:ascii="宋体" w:hAnsi="宋体" w:cs="宋体"/>
          <w:b/>
          <w:bCs/>
          <w:sz w:val="44"/>
          <w:szCs w:val="44"/>
        </w:rPr>
      </w:pPr>
    </w:p>
    <w:p>
      <w:pPr>
        <w:wordWrap/>
        <w:spacing w:before="0" w:after="0" w:line="240" w:lineRule="auto"/>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石家庄市档案馆</w:t>
      </w:r>
    </w:p>
    <w:p>
      <w:pPr>
        <w:wordWrap/>
        <w:spacing w:before="0" w:after="0" w:line="240" w:lineRule="auto"/>
        <w:ind w:left="0" w:leftChars="0" w:right="0"/>
        <w:jc w:val="center"/>
        <w:textAlignment w:val="auto"/>
        <w:outlineLvl w:val="9"/>
        <w:rPr>
          <w:rFonts w:ascii="宋体" w:hAnsi="宋体" w:cs="宋体"/>
          <w:b/>
          <w:bCs/>
          <w:sz w:val="44"/>
          <w:szCs w:val="44"/>
        </w:rPr>
      </w:pPr>
      <w:r>
        <w:rPr>
          <w:rFonts w:hint="eastAsia" w:ascii="宋体" w:hAnsi="宋体" w:cs="宋体"/>
          <w:b/>
          <w:bCs/>
          <w:sz w:val="44"/>
          <w:szCs w:val="44"/>
        </w:rPr>
        <w:t>2022年度整体支出绩效自评报告</w:t>
      </w:r>
    </w:p>
    <w:p>
      <w:pPr>
        <w:widowControl w:val="0"/>
        <w:wordWrap/>
        <w:adjustRightInd w:val="0"/>
        <w:snapToGrid w:val="0"/>
        <w:spacing w:before="0" w:after="0" w:line="560" w:lineRule="exact"/>
        <w:ind w:left="0" w:leftChars="0" w:right="0" w:firstLine="640" w:firstLineChars="200"/>
        <w:jc w:val="both"/>
        <w:textAlignment w:val="auto"/>
        <w:outlineLvl w:val="9"/>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市档案馆</w:t>
      </w:r>
      <w:r>
        <w:rPr>
          <w:rFonts w:hint="eastAsia" w:ascii="仿宋" w:hAnsi="仿宋" w:eastAsia="仿宋"/>
          <w:sz w:val="32"/>
          <w:szCs w:val="32"/>
        </w:rPr>
        <w:t>2022年整体支出情况实施了财政支出绩效自评价，形成本评价报告。</w:t>
      </w:r>
      <w:bookmarkStart w:id="0" w:name="_GoBack"/>
      <w:bookmarkEnd w:id="0"/>
    </w:p>
    <w:p>
      <w:pPr>
        <w:wordWrap/>
        <w:adjustRightInd w:val="0"/>
        <w:snapToGrid w:val="0"/>
        <w:spacing w:before="0" w:after="0" w:line="560" w:lineRule="exact"/>
        <w:ind w:left="0" w:leftChars="0" w:right="0"/>
        <w:textAlignment w:val="auto"/>
        <w:outlineLvl w:val="9"/>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wordWrap/>
        <w:adjustRightInd w:val="0"/>
        <w:snapToGrid w:val="0"/>
        <w:spacing w:before="0" w:after="0" w:line="560" w:lineRule="exact"/>
        <w:ind w:left="0" w:leftChars="0" w:right="0" w:firstLine="640" w:firstLineChars="200"/>
        <w:jc w:val="both"/>
        <w:textAlignment w:val="auto"/>
        <w:outlineLvl w:val="9"/>
        <w:rPr>
          <w:rFonts w:ascii="楷体" w:hAnsi="楷体" w:eastAsia="楷体" w:cs="楷体_GB2312"/>
          <w:bCs/>
          <w:sz w:val="32"/>
          <w:szCs w:val="32"/>
        </w:rPr>
      </w:pPr>
      <w:r>
        <w:rPr>
          <w:rFonts w:hint="eastAsia" w:ascii="楷体" w:hAnsi="楷体" w:eastAsia="楷体" w:cs="楷体_GB2312"/>
          <w:bCs/>
          <w:sz w:val="32"/>
          <w:szCs w:val="32"/>
        </w:rPr>
        <w:t>（一）部门概况</w:t>
      </w:r>
    </w:p>
    <w:p>
      <w:pPr>
        <w:wordWrap/>
        <w:snapToGrid w:val="0"/>
        <w:spacing w:before="0" w:after="0" w:line="560" w:lineRule="exact"/>
        <w:ind w:left="0" w:leftChars="0" w:right="0" w:firstLine="800" w:firstLineChars="250"/>
        <w:jc w:val="both"/>
        <w:textAlignment w:val="auto"/>
        <w:outlineLvl w:val="9"/>
        <w:rPr>
          <w:rFonts w:ascii="黑体" w:hAnsi="黑体" w:eastAsia="黑体" w:cs="黑体"/>
          <w:sz w:val="32"/>
          <w:szCs w:val="32"/>
        </w:rPr>
      </w:pPr>
      <w:r>
        <w:rPr>
          <w:rFonts w:hint="eastAsia" w:ascii="仿宋_GB2312" w:hAnsi="仿宋" w:eastAsia="仿宋_GB2312"/>
          <w:sz w:val="32"/>
          <w:szCs w:val="32"/>
        </w:rPr>
        <w:t>1．主要职能</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仿宋" w:hAnsi="仿宋" w:eastAsia="仿宋" w:cs="仿宋"/>
          <w:kern w:val="2"/>
          <w:sz w:val="32"/>
          <w:szCs w:val="32"/>
        </w:rPr>
      </w:pPr>
      <w:r>
        <w:rPr>
          <w:rFonts w:hint="eastAsia" w:ascii="仿宋" w:hAnsi="仿宋" w:eastAsia="仿宋" w:cs="仿宋"/>
          <w:kern w:val="2"/>
          <w:sz w:val="32"/>
          <w:szCs w:val="32"/>
        </w:rPr>
        <w:t>（1）贯彻执行国家、省和我市有关档案管理的法律、法规、规章,配合做好档案公共事务工作。</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仿宋" w:hAnsi="仿宋" w:eastAsia="仿宋" w:cs="仿宋"/>
          <w:kern w:val="2"/>
          <w:sz w:val="32"/>
          <w:szCs w:val="32"/>
        </w:rPr>
      </w:pPr>
      <w:r>
        <w:rPr>
          <w:rFonts w:hint="eastAsia" w:ascii="仿宋" w:hAnsi="仿宋" w:eastAsia="仿宋" w:cs="仿宋"/>
          <w:kern w:val="2"/>
          <w:sz w:val="32"/>
          <w:szCs w:val="32"/>
        </w:rPr>
        <w:t>（2）集中统一管理市直单位各历史时期的档案资料</w:t>
      </w:r>
      <w:r>
        <w:rPr>
          <w:rFonts w:ascii="仿宋" w:hAnsi="仿宋" w:eastAsia="仿宋" w:cs="仿宋"/>
          <w:kern w:val="2"/>
          <w:sz w:val="32"/>
          <w:szCs w:val="32"/>
        </w:rPr>
        <w:t>，</w:t>
      </w:r>
      <w:r>
        <w:rPr>
          <w:rFonts w:hint="eastAsia" w:ascii="仿宋" w:hAnsi="仿宋" w:eastAsia="仿宋" w:cs="仿宋"/>
          <w:kern w:val="2"/>
          <w:sz w:val="32"/>
          <w:szCs w:val="32"/>
        </w:rPr>
        <w:t>保管革命历史、旧政权、著名人物以及具有地方特色的各种档案资料，保守党和国家机密，维护档案完整，确保档案资料安全。</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仿宋" w:hAnsi="仿宋" w:eastAsia="仿宋" w:cs="仿宋"/>
          <w:kern w:val="2"/>
          <w:sz w:val="32"/>
          <w:szCs w:val="32"/>
        </w:rPr>
      </w:pPr>
      <w:r>
        <w:rPr>
          <w:rFonts w:hint="eastAsia" w:ascii="仿宋" w:hAnsi="仿宋" w:eastAsia="仿宋" w:cs="仿宋"/>
          <w:kern w:val="2"/>
          <w:sz w:val="32"/>
          <w:szCs w:val="32"/>
        </w:rPr>
        <w:t>（3）接收市委、市人大、市政府、市政协、市纪委监委及市直各机关、单位应进馆的档案资料。</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仿宋" w:hAnsi="仿宋" w:eastAsia="仿宋" w:cs="仿宋"/>
          <w:kern w:val="2"/>
          <w:sz w:val="32"/>
          <w:szCs w:val="32"/>
        </w:rPr>
      </w:pPr>
      <w:r>
        <w:rPr>
          <w:rFonts w:hint="eastAsia" w:ascii="仿宋" w:hAnsi="仿宋" w:eastAsia="仿宋" w:cs="仿宋"/>
          <w:kern w:val="2"/>
          <w:sz w:val="32"/>
          <w:szCs w:val="32"/>
        </w:rPr>
        <w:t>（4）征集、搜集、整理散存在社会上对国家和社会有保存价值的珍贵档案和地方志文献资料。</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仿宋" w:hAnsi="仿宋" w:eastAsia="仿宋" w:cs="仿宋"/>
          <w:kern w:val="2"/>
          <w:sz w:val="32"/>
          <w:szCs w:val="32"/>
        </w:rPr>
      </w:pPr>
      <w:r>
        <w:rPr>
          <w:rFonts w:hint="eastAsia" w:ascii="仿宋" w:hAnsi="仿宋" w:eastAsia="仿宋" w:cs="仿宋"/>
          <w:kern w:val="2"/>
          <w:sz w:val="32"/>
          <w:szCs w:val="32"/>
        </w:rPr>
        <w:t>（5）负责馆藏档案资料和旧志的整理、编目、鉴定、统计和技术保护工作。</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仿宋" w:hAnsi="仿宋" w:eastAsia="仿宋" w:cs="仿宋"/>
          <w:kern w:val="2"/>
          <w:sz w:val="32"/>
          <w:szCs w:val="32"/>
        </w:rPr>
      </w:pPr>
      <w:r>
        <w:rPr>
          <w:rFonts w:hint="eastAsia" w:ascii="仿宋" w:hAnsi="仿宋" w:eastAsia="仿宋" w:cs="仿宋"/>
          <w:kern w:val="2"/>
          <w:sz w:val="32"/>
          <w:szCs w:val="32"/>
        </w:rPr>
        <w:t>（6）依法开放档案，为党和政府及社会各方面提供利用服务。</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仿宋" w:hAnsi="仿宋" w:eastAsia="仿宋" w:cs="仿宋"/>
          <w:kern w:val="2"/>
          <w:sz w:val="32"/>
          <w:szCs w:val="32"/>
        </w:rPr>
      </w:pPr>
      <w:r>
        <w:rPr>
          <w:rFonts w:hint="eastAsia" w:ascii="仿宋" w:hAnsi="仿宋" w:eastAsia="仿宋" w:cs="仿宋"/>
          <w:kern w:val="2"/>
          <w:sz w:val="32"/>
          <w:szCs w:val="32"/>
        </w:rPr>
        <w:t>（7）承担政府公开信息的收集、管理和集中查阅工作。</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仿宋" w:hAnsi="仿宋" w:eastAsia="仿宋" w:cs="仿宋"/>
          <w:kern w:val="2"/>
          <w:sz w:val="32"/>
          <w:szCs w:val="32"/>
        </w:rPr>
      </w:pPr>
      <w:r>
        <w:rPr>
          <w:rFonts w:hint="eastAsia" w:ascii="仿宋" w:hAnsi="仿宋" w:eastAsia="仿宋" w:cs="仿宋"/>
          <w:kern w:val="2"/>
          <w:sz w:val="32"/>
          <w:szCs w:val="32"/>
        </w:rPr>
        <w:t>（8）开发档案和地方志信息资源，建立方志馆，开展档案史料编研出版、展览陈列和社会教育活动。</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仿宋" w:hAnsi="仿宋" w:eastAsia="仿宋" w:cs="仿宋"/>
          <w:kern w:val="2"/>
          <w:sz w:val="32"/>
          <w:szCs w:val="32"/>
        </w:rPr>
      </w:pPr>
      <w:r>
        <w:rPr>
          <w:rFonts w:hint="eastAsia" w:ascii="仿宋" w:hAnsi="仿宋" w:eastAsia="仿宋" w:cs="仿宋"/>
          <w:kern w:val="2"/>
          <w:sz w:val="32"/>
          <w:szCs w:val="32"/>
        </w:rPr>
        <w:t>（9）运用现代化技术手段，开展馆藏档案信息化建设。</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仿宋" w:hAnsi="仿宋" w:eastAsia="仿宋" w:cs="仿宋"/>
          <w:kern w:val="2"/>
          <w:sz w:val="32"/>
          <w:szCs w:val="32"/>
        </w:rPr>
      </w:pPr>
      <w:r>
        <w:rPr>
          <w:rFonts w:hint="eastAsia" w:ascii="仿宋" w:hAnsi="仿宋" w:eastAsia="仿宋" w:cs="仿宋"/>
          <w:kern w:val="2"/>
          <w:sz w:val="32"/>
          <w:szCs w:val="32"/>
        </w:rPr>
        <w:t>（10）编纂地方志书、地方综合年鉴和其他地情资料。</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仿宋" w:hAnsi="仿宋" w:eastAsia="仿宋" w:cs="仿宋"/>
          <w:kern w:val="2"/>
          <w:sz w:val="32"/>
          <w:szCs w:val="32"/>
        </w:rPr>
      </w:pPr>
      <w:r>
        <w:rPr>
          <w:rFonts w:hint="eastAsia" w:ascii="仿宋" w:hAnsi="仿宋" w:eastAsia="仿宋" w:cs="仿宋"/>
          <w:kern w:val="2"/>
          <w:sz w:val="32"/>
          <w:szCs w:val="32"/>
        </w:rPr>
        <w:t>（11）开展档案和方志理论研究，进行学术交流。</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hint="eastAsia" w:ascii="楷体" w:hAnsi="楷体" w:eastAsia="楷体" w:cs="楷体_GB2312"/>
          <w:bCs/>
          <w:sz w:val="32"/>
          <w:szCs w:val="32"/>
        </w:rPr>
      </w:pPr>
      <w:r>
        <w:rPr>
          <w:rFonts w:hint="eastAsia" w:ascii="仿宋" w:hAnsi="仿宋" w:eastAsia="仿宋" w:cs="仿宋"/>
          <w:kern w:val="2"/>
          <w:sz w:val="32"/>
          <w:szCs w:val="32"/>
        </w:rPr>
        <w:t>（12）完成市委交办的其他任务。</w:t>
      </w:r>
    </w:p>
    <w:p>
      <w:pPr>
        <w:wordWrap/>
        <w:snapToGrid w:val="0"/>
        <w:spacing w:before="0" w:after="0" w:line="560" w:lineRule="exact"/>
        <w:ind w:left="0" w:leftChars="0" w:right="0" w:firstLine="640" w:firstLineChars="200"/>
        <w:textAlignment w:val="auto"/>
        <w:outlineLvl w:val="9"/>
        <w:rPr>
          <w:rFonts w:ascii="仿宋_GB2312" w:hAnsi="仿宋" w:eastAsia="仿宋_GB2312"/>
          <w:sz w:val="32"/>
          <w:szCs w:val="32"/>
        </w:rPr>
      </w:pPr>
      <w:r>
        <w:rPr>
          <w:rFonts w:hint="eastAsia" w:ascii="仿宋_GB2312" w:hAnsi="仿宋" w:eastAsia="仿宋_GB2312"/>
          <w:sz w:val="32"/>
          <w:szCs w:val="32"/>
        </w:rPr>
        <w:t>2．机构及人员情况</w:t>
      </w:r>
    </w:p>
    <w:p>
      <w:pPr>
        <w:wordWrap/>
        <w:snapToGrid w:val="0"/>
        <w:spacing w:before="0" w:after="0" w:line="560" w:lineRule="exact"/>
        <w:ind w:left="0" w:leftChars="0" w:right="0"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石家庄市档案馆为公益一类事业单位，无下属单位，执行政府会计制度，为一级预算单位。202</w:t>
      </w:r>
      <w:r>
        <w:rPr>
          <w:rFonts w:hint="eastAsia" w:ascii="仿宋" w:hAnsi="仿宋" w:eastAsia="仿宋" w:cs="仿宋"/>
          <w:sz w:val="32"/>
          <w:szCs w:val="32"/>
          <w:lang w:val="en-US" w:eastAsia="zh-CN"/>
        </w:rPr>
        <w:t>2</w:t>
      </w:r>
      <w:r>
        <w:rPr>
          <w:rFonts w:hint="eastAsia" w:ascii="仿宋" w:hAnsi="仿宋" w:eastAsia="仿宋" w:cs="仿宋"/>
          <w:sz w:val="32"/>
          <w:szCs w:val="32"/>
        </w:rPr>
        <w:t>年末实有88人，其中在职4</w:t>
      </w:r>
      <w:r>
        <w:rPr>
          <w:rFonts w:hint="eastAsia" w:ascii="仿宋" w:hAnsi="仿宋" w:eastAsia="仿宋" w:cs="仿宋"/>
          <w:sz w:val="32"/>
          <w:szCs w:val="32"/>
          <w:lang w:val="en-US" w:eastAsia="zh-CN"/>
        </w:rPr>
        <w:t>6</w:t>
      </w:r>
      <w:r>
        <w:rPr>
          <w:rFonts w:hint="eastAsia" w:ascii="仿宋" w:hAnsi="仿宋" w:eastAsia="仿宋" w:cs="仿宋"/>
          <w:sz w:val="32"/>
          <w:szCs w:val="32"/>
        </w:rPr>
        <w:t>人，离休</w:t>
      </w:r>
      <w:r>
        <w:rPr>
          <w:rFonts w:hint="eastAsia" w:ascii="仿宋" w:hAnsi="仿宋" w:eastAsia="仿宋" w:cs="仿宋"/>
          <w:sz w:val="32"/>
          <w:szCs w:val="32"/>
          <w:lang w:val="en-US" w:eastAsia="zh-CN"/>
        </w:rPr>
        <w:t>1</w:t>
      </w:r>
      <w:r>
        <w:rPr>
          <w:rFonts w:hint="eastAsia" w:ascii="仿宋" w:hAnsi="仿宋" w:eastAsia="仿宋" w:cs="仿宋"/>
          <w:sz w:val="32"/>
          <w:szCs w:val="32"/>
        </w:rPr>
        <w:t>人，退休41人。</w:t>
      </w:r>
    </w:p>
    <w:p>
      <w:pPr>
        <w:wordWrap/>
        <w:snapToGrid w:val="0"/>
        <w:spacing w:before="0" w:after="0" w:line="560" w:lineRule="exact"/>
        <w:ind w:left="0" w:leftChars="0" w:right="0" w:firstLine="640" w:firstLineChars="200"/>
        <w:textAlignment w:val="auto"/>
        <w:outlineLvl w:val="9"/>
        <w:rPr>
          <w:rFonts w:ascii="仿宋_GB2312" w:hAnsi="仿宋" w:eastAsia="仿宋_GB2312"/>
          <w:sz w:val="32"/>
          <w:szCs w:val="32"/>
        </w:rPr>
      </w:pPr>
      <w:r>
        <w:rPr>
          <w:rFonts w:hint="eastAsia" w:ascii="仿宋_GB2312" w:hAnsi="仿宋" w:eastAsia="仿宋_GB2312"/>
          <w:sz w:val="32"/>
          <w:szCs w:val="32"/>
        </w:rPr>
        <w:t>3．资产情况</w:t>
      </w:r>
    </w:p>
    <w:p>
      <w:pPr>
        <w:wordWrap/>
        <w:snapToGrid w:val="0"/>
        <w:spacing w:before="0" w:after="0" w:line="56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仿宋" w:hAnsi="仿宋" w:eastAsia="仿宋" w:cs="仿宋"/>
          <w:color w:val="000000"/>
          <w:sz w:val="32"/>
          <w:szCs w:val="32"/>
        </w:rPr>
        <w:t>202</w:t>
      </w:r>
      <w:r>
        <w:rPr>
          <w:rFonts w:hint="eastAsia" w:ascii="仿宋" w:hAnsi="仿宋" w:eastAsia="仿宋" w:cs="仿宋"/>
          <w:color w:val="000000"/>
          <w:sz w:val="32"/>
          <w:szCs w:val="32"/>
          <w:lang w:val="en-US" w:eastAsia="zh-CN"/>
        </w:rPr>
        <w:t>2</w:t>
      </w:r>
      <w:r>
        <w:rPr>
          <w:rFonts w:hint="eastAsia" w:ascii="仿宋" w:hAnsi="仿宋" w:eastAsia="仿宋" w:cs="仿宋"/>
          <w:color w:val="000000"/>
          <w:sz w:val="32"/>
          <w:szCs w:val="32"/>
        </w:rPr>
        <w:t>年末流动资产合计</w:t>
      </w:r>
      <w:r>
        <w:rPr>
          <w:rFonts w:hint="eastAsia" w:ascii="仿宋" w:hAnsi="仿宋" w:eastAsia="仿宋" w:cs="仿宋"/>
          <w:color w:val="000000"/>
          <w:sz w:val="32"/>
          <w:szCs w:val="32"/>
          <w:lang w:val="en-US" w:eastAsia="zh-CN"/>
        </w:rPr>
        <w:t>38.472286</w:t>
      </w:r>
      <w:r>
        <w:rPr>
          <w:rFonts w:hint="eastAsia" w:ascii="仿宋" w:hAnsi="仿宋" w:eastAsia="仿宋" w:cs="仿宋"/>
          <w:color w:val="000000"/>
          <w:sz w:val="32"/>
          <w:szCs w:val="32"/>
        </w:rPr>
        <w:t>万元，均为银行存款。负债合计</w:t>
      </w:r>
      <w:r>
        <w:rPr>
          <w:rFonts w:hint="eastAsia" w:ascii="仿宋" w:hAnsi="仿宋" w:eastAsia="仿宋" w:cs="仿宋"/>
          <w:color w:val="000000"/>
          <w:sz w:val="32"/>
          <w:szCs w:val="32"/>
          <w:lang w:val="en-US" w:eastAsia="zh-CN"/>
        </w:rPr>
        <w:t>9.061186</w:t>
      </w:r>
      <w:r>
        <w:rPr>
          <w:rFonts w:hint="eastAsia" w:ascii="仿宋" w:hAnsi="仿宋" w:eastAsia="仿宋" w:cs="仿宋"/>
          <w:color w:val="000000"/>
          <w:sz w:val="32"/>
          <w:szCs w:val="32"/>
        </w:rPr>
        <w:t>万元，均为其他应付款。资产原值为</w:t>
      </w:r>
      <w:r>
        <w:rPr>
          <w:rFonts w:hint="eastAsia" w:ascii="仿宋" w:hAnsi="仿宋" w:eastAsia="仿宋" w:cs="仿宋"/>
          <w:color w:val="000000"/>
          <w:sz w:val="32"/>
          <w:szCs w:val="32"/>
          <w:lang w:val="en-US" w:eastAsia="zh-CN"/>
        </w:rPr>
        <w:t>1053.2917</w:t>
      </w:r>
      <w:r>
        <w:rPr>
          <w:rFonts w:hint="eastAsia" w:ascii="仿宋" w:hAnsi="仿宋" w:eastAsia="仿宋" w:cs="仿宋"/>
          <w:color w:val="000000"/>
          <w:sz w:val="32"/>
          <w:szCs w:val="32"/>
        </w:rPr>
        <w:t>万元，资产净值为</w:t>
      </w:r>
      <w:r>
        <w:rPr>
          <w:rFonts w:hint="eastAsia" w:ascii="仿宋" w:hAnsi="仿宋" w:eastAsia="仿宋" w:cs="仿宋"/>
          <w:color w:val="000000"/>
          <w:sz w:val="32"/>
          <w:szCs w:val="32"/>
          <w:lang w:val="en-US" w:eastAsia="zh-CN"/>
        </w:rPr>
        <w:t>300.71316</w:t>
      </w:r>
      <w:r>
        <w:rPr>
          <w:rFonts w:hint="eastAsia" w:ascii="仿宋" w:hAnsi="仿宋" w:eastAsia="仿宋" w:cs="仿宋"/>
          <w:color w:val="000000"/>
          <w:sz w:val="32"/>
          <w:szCs w:val="32"/>
        </w:rPr>
        <w:t>万元。</w:t>
      </w:r>
    </w:p>
    <w:p>
      <w:pPr>
        <w:widowControl w:val="0"/>
        <w:wordWrap/>
        <w:adjustRightInd w:val="0"/>
        <w:snapToGrid w:val="0"/>
        <w:spacing w:before="0" w:after="0" w:line="560" w:lineRule="exact"/>
        <w:ind w:left="0" w:leftChars="0" w:right="0" w:firstLine="640" w:firstLineChars="200"/>
        <w:jc w:val="both"/>
        <w:textAlignment w:val="auto"/>
        <w:outlineLvl w:val="9"/>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wordWrap/>
        <w:snapToGrid w:val="0"/>
        <w:spacing w:before="0" w:after="0" w:line="56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年度，石家庄市档案馆一般公共预算财政拨款收入、支出预算数</w:t>
      </w:r>
      <w:r>
        <w:rPr>
          <w:rFonts w:hint="eastAsia" w:ascii="仿宋" w:hAnsi="仿宋" w:eastAsia="仿宋" w:cs="仿宋"/>
          <w:sz w:val="32"/>
          <w:szCs w:val="32"/>
          <w:lang w:val="en-US" w:eastAsia="zh-CN"/>
        </w:rPr>
        <w:t>1344.61</w:t>
      </w:r>
      <w:r>
        <w:rPr>
          <w:rFonts w:hint="eastAsia" w:ascii="仿宋" w:hAnsi="仿宋" w:eastAsia="仿宋" w:cs="仿宋"/>
          <w:sz w:val="32"/>
          <w:szCs w:val="32"/>
        </w:rPr>
        <w:t>万元。基本支出</w:t>
      </w:r>
      <w:r>
        <w:rPr>
          <w:rFonts w:hint="eastAsia" w:ascii="仿宋" w:hAnsi="仿宋" w:eastAsia="仿宋" w:cs="仿宋"/>
          <w:sz w:val="32"/>
          <w:szCs w:val="32"/>
          <w:lang w:val="en-US" w:eastAsia="zh-CN"/>
        </w:rPr>
        <w:t>1131.85</w:t>
      </w:r>
      <w:r>
        <w:rPr>
          <w:rFonts w:hint="eastAsia" w:ascii="仿宋" w:hAnsi="仿宋" w:eastAsia="仿宋" w:cs="仿宋"/>
          <w:sz w:val="32"/>
          <w:szCs w:val="32"/>
        </w:rPr>
        <w:t>万元，其中人员经费</w:t>
      </w:r>
      <w:r>
        <w:rPr>
          <w:rFonts w:hint="eastAsia" w:ascii="仿宋" w:hAnsi="仿宋" w:eastAsia="仿宋" w:cs="仿宋"/>
          <w:sz w:val="32"/>
          <w:szCs w:val="32"/>
          <w:lang w:val="en-US" w:eastAsia="zh-CN"/>
        </w:rPr>
        <w:t>1010.46</w:t>
      </w:r>
      <w:r>
        <w:rPr>
          <w:rFonts w:hint="eastAsia" w:ascii="仿宋" w:hAnsi="仿宋" w:eastAsia="仿宋" w:cs="仿宋"/>
          <w:sz w:val="32"/>
          <w:szCs w:val="32"/>
        </w:rPr>
        <w:t>万元，日常公用经费</w:t>
      </w:r>
      <w:r>
        <w:rPr>
          <w:rFonts w:hint="eastAsia" w:ascii="仿宋" w:hAnsi="仿宋" w:eastAsia="仿宋" w:cs="仿宋"/>
          <w:sz w:val="32"/>
          <w:szCs w:val="32"/>
          <w:lang w:val="en-US" w:eastAsia="zh-CN"/>
        </w:rPr>
        <w:t>121.39</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212.76</w:t>
      </w:r>
      <w:r>
        <w:rPr>
          <w:rFonts w:hint="eastAsia" w:ascii="仿宋" w:hAnsi="仿宋" w:eastAsia="仿宋" w:cs="仿宋"/>
          <w:sz w:val="32"/>
          <w:szCs w:val="32"/>
        </w:rPr>
        <w:t>万元。202</w:t>
      </w:r>
      <w:r>
        <w:rPr>
          <w:rFonts w:hint="eastAsia" w:ascii="仿宋" w:hAnsi="仿宋" w:eastAsia="仿宋" w:cs="仿宋"/>
          <w:sz w:val="32"/>
          <w:szCs w:val="32"/>
          <w:lang w:val="en-US" w:eastAsia="zh-CN"/>
        </w:rPr>
        <w:t>2</w:t>
      </w:r>
      <w:r>
        <w:rPr>
          <w:rFonts w:hint="eastAsia" w:ascii="仿宋" w:hAnsi="仿宋" w:eastAsia="仿宋" w:cs="仿宋"/>
          <w:sz w:val="32"/>
          <w:szCs w:val="32"/>
        </w:rPr>
        <w:t>年度收入决算数</w:t>
      </w:r>
      <w:r>
        <w:rPr>
          <w:rFonts w:hint="eastAsia" w:ascii="仿宋" w:hAnsi="仿宋" w:eastAsia="仿宋" w:cs="仿宋"/>
          <w:sz w:val="32"/>
          <w:szCs w:val="32"/>
          <w:lang w:val="en-US" w:eastAsia="zh-CN"/>
        </w:rPr>
        <w:t>1908.083272</w:t>
      </w:r>
      <w:r>
        <w:rPr>
          <w:rFonts w:hint="eastAsia" w:ascii="仿宋" w:hAnsi="仿宋" w:eastAsia="仿宋" w:cs="仿宋"/>
          <w:sz w:val="32"/>
          <w:szCs w:val="32"/>
        </w:rPr>
        <w:t>万元，</w:t>
      </w:r>
      <w:r>
        <w:rPr>
          <w:rFonts w:hint="eastAsia" w:ascii="仿宋" w:hAnsi="仿宋" w:eastAsia="仿宋" w:cs="仿宋"/>
          <w:sz w:val="32"/>
          <w:szCs w:val="32"/>
          <w:lang w:eastAsia="zh-CN"/>
        </w:rPr>
        <w:t>均为</w:t>
      </w:r>
      <w:r>
        <w:rPr>
          <w:rFonts w:hint="eastAsia" w:ascii="仿宋" w:hAnsi="仿宋" w:eastAsia="仿宋" w:cs="仿宋"/>
          <w:sz w:val="32"/>
          <w:szCs w:val="32"/>
        </w:rPr>
        <w:t>一般公共预算财政拨款收入。无事业收入、经营收入、其他等收入。202</w:t>
      </w:r>
      <w:r>
        <w:rPr>
          <w:rFonts w:hint="eastAsia" w:ascii="仿宋" w:hAnsi="仿宋" w:eastAsia="仿宋" w:cs="仿宋"/>
          <w:sz w:val="32"/>
          <w:szCs w:val="32"/>
          <w:lang w:val="en-US" w:eastAsia="zh-CN"/>
        </w:rPr>
        <w:t>2</w:t>
      </w:r>
      <w:r>
        <w:rPr>
          <w:rFonts w:hint="eastAsia" w:ascii="仿宋" w:hAnsi="仿宋" w:eastAsia="仿宋" w:cs="仿宋"/>
          <w:sz w:val="32"/>
          <w:szCs w:val="32"/>
        </w:rPr>
        <w:t>年度支出决算数</w:t>
      </w:r>
      <w:r>
        <w:rPr>
          <w:rFonts w:hint="eastAsia" w:ascii="仿宋" w:hAnsi="仿宋" w:eastAsia="仿宋" w:cs="仿宋"/>
          <w:sz w:val="32"/>
          <w:szCs w:val="32"/>
          <w:lang w:val="en-US" w:eastAsia="zh-CN"/>
        </w:rPr>
        <w:t>1908.083272</w:t>
      </w:r>
      <w:r>
        <w:rPr>
          <w:rFonts w:hint="eastAsia" w:ascii="仿宋" w:hAnsi="仿宋" w:eastAsia="仿宋" w:cs="仿宋"/>
          <w:sz w:val="32"/>
          <w:szCs w:val="32"/>
        </w:rPr>
        <w:t>万元。按资金来源均为财政拨款支出。无其他资金来源支出。</w:t>
      </w:r>
    </w:p>
    <w:p>
      <w:pPr>
        <w:widowControl w:val="0"/>
        <w:wordWrap/>
        <w:adjustRightInd w:val="0"/>
        <w:snapToGrid w:val="0"/>
        <w:spacing w:before="0" w:after="0" w:line="560" w:lineRule="exact"/>
        <w:ind w:left="0" w:leftChars="0" w:right="0" w:firstLine="640" w:firstLineChars="200"/>
        <w:jc w:val="both"/>
        <w:textAlignment w:val="auto"/>
        <w:outlineLvl w:val="9"/>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6"/>
        <w:wordWrap/>
        <w:snapToGrid w:val="0"/>
        <w:spacing w:before="0" w:after="0" w:line="560" w:lineRule="exact"/>
        <w:ind w:left="0" w:leftChars="0" w:right="0" w:firstLine="640"/>
        <w:textAlignment w:val="auto"/>
        <w:outlineLvl w:val="9"/>
        <w:rPr>
          <w:rFonts w:hint="default" w:ascii="仿宋" w:hAnsi="仿宋" w:eastAsia="仿宋" w:cs="仿宋"/>
          <w:sz w:val="32"/>
          <w:szCs w:val="32"/>
        </w:rPr>
      </w:pPr>
      <w:r>
        <w:rPr>
          <w:rFonts w:ascii="仿宋" w:hAnsi="仿宋" w:eastAsia="仿宋" w:cs="仿宋"/>
          <w:kern w:val="2"/>
          <w:sz w:val="32"/>
          <w:szCs w:val="32"/>
        </w:rPr>
        <w:t>以“为党管档，为国守史，为民服务”为使命担当，紧紧围绕市委中心工作，做好档案的收、管、存、用，深入挖掘馆藏和地情资源，充分发挥档案方志存史、资政、育人功能，自觉服务全市经济和社会发展大局，开拓创新，奋力开创档案馆工作的新局面，不</w:t>
      </w:r>
      <w:r>
        <w:rPr>
          <w:rFonts w:ascii="仿宋" w:hAnsi="仿宋" w:eastAsia="仿宋" w:cs="仿宋"/>
          <w:color w:val="000000"/>
          <w:sz w:val="32"/>
          <w:szCs w:val="32"/>
          <w:shd w:val="clear" w:color="auto" w:fill="FFFFFF"/>
        </w:rPr>
        <w:t>断激发和释放档案馆的生机和活力。</w:t>
      </w:r>
    </w:p>
    <w:p>
      <w:pPr>
        <w:wordWrap/>
        <w:snapToGrid w:val="0"/>
        <w:spacing w:before="0" w:after="0" w:line="560" w:lineRule="exact"/>
        <w:ind w:left="0" w:leftChars="0" w:right="0" w:firstLine="640" w:firstLineChars="200"/>
        <w:textAlignment w:val="auto"/>
        <w:outlineLvl w:val="9"/>
        <w:rPr>
          <w:rFonts w:hint="eastAsia" w:ascii="黑体" w:hAnsi="黑体" w:eastAsia="黑体"/>
          <w:sz w:val="32"/>
          <w:szCs w:val="32"/>
        </w:rPr>
      </w:pPr>
      <w:r>
        <w:rPr>
          <w:rFonts w:hint="eastAsia" w:ascii="仿宋" w:hAnsi="仿宋" w:eastAsia="仿宋"/>
          <w:sz w:val="32"/>
          <w:lang w:eastAsia="zh-CN"/>
        </w:rPr>
        <w:t>为更好留存疫情防控资料，进一步总结疫情防控斗争经验，对</w:t>
      </w:r>
      <w:r>
        <w:rPr>
          <w:rFonts w:hint="eastAsia" w:ascii="仿宋" w:hAnsi="仿宋" w:eastAsia="仿宋"/>
          <w:sz w:val="32"/>
          <w:lang w:val="en-US" w:eastAsia="zh-CN"/>
        </w:rPr>
        <w:t>2021年接收市疫情防控办抗疫档案进行整理。</w:t>
      </w:r>
      <w:r>
        <w:rPr>
          <w:rFonts w:hint="eastAsia" w:ascii="仿宋" w:hAnsi="仿宋" w:eastAsia="仿宋"/>
          <w:sz w:val="32"/>
        </w:rPr>
        <w:t>做好《石家庄年鉴202</w:t>
      </w:r>
      <w:r>
        <w:rPr>
          <w:rFonts w:hint="eastAsia" w:ascii="仿宋" w:hAnsi="仿宋" w:eastAsia="仿宋"/>
          <w:sz w:val="32"/>
          <w:lang w:val="en-US" w:eastAsia="zh-CN"/>
        </w:rPr>
        <w:t>2</w:t>
      </w:r>
      <w:r>
        <w:rPr>
          <w:rFonts w:hint="eastAsia" w:ascii="仿宋" w:hAnsi="仿宋" w:eastAsia="仿宋"/>
          <w:sz w:val="32"/>
        </w:rPr>
        <w:t>》及口袋书编辑出版印刷工作，</w:t>
      </w:r>
      <w:r>
        <w:rPr>
          <w:rFonts w:hint="eastAsia" w:ascii="仿宋" w:hAnsi="仿宋" w:eastAsia="仿宋" w:cs="仿宋"/>
          <w:sz w:val="32"/>
          <w:szCs w:val="32"/>
        </w:rPr>
        <w:t>框架编排合理，内容记述准确，具有编纂委员会、简介、目录、类目、编后记5项要素，符合出版规定，差</w:t>
      </w:r>
      <w:r>
        <w:rPr>
          <w:rFonts w:hint="eastAsia" w:ascii="仿宋" w:hAnsi="仿宋" w:eastAsia="仿宋"/>
          <w:sz w:val="32"/>
        </w:rPr>
        <w:t>错率在总字数的0.1‰内。加强业务指导，提高市直相关单位人员编鉴业务素质，对210家供稿单位进行2021年年鉴编纂业务培训，参训率达到95%以上，受训人员对培训内容满意率达到95%。</w:t>
      </w:r>
    </w:p>
    <w:p>
      <w:pPr>
        <w:wordWrap/>
        <w:adjustRightInd w:val="0"/>
        <w:snapToGrid w:val="0"/>
        <w:spacing w:before="0" w:after="0"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二、自评工作开展情况</w:t>
      </w:r>
    </w:p>
    <w:p>
      <w:pPr>
        <w:widowControl w:val="0"/>
        <w:wordWrap/>
        <w:adjustRightInd/>
        <w:snapToGrid/>
        <w:spacing w:before="0" w:after="0" w:line="560" w:lineRule="exact"/>
        <w:ind w:left="0" w:leftChars="0" w:right="0" w:firstLine="0" w:firstLineChars="0"/>
        <w:jc w:val="both"/>
        <w:textAlignment w:val="auto"/>
        <w:outlineLvl w:val="9"/>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wordWrap/>
        <w:snapToGrid w:val="0"/>
        <w:spacing w:before="0" w:after="0"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cs="仿宋"/>
          <w:color w:val="333333"/>
          <w:sz w:val="32"/>
          <w:szCs w:val="32"/>
          <w:shd w:val="clear" w:color="auto" w:fill="FFFFFF"/>
        </w:rPr>
        <w:t>我单位成立了预算绩效管理领导小组，定期或不定期召开会议，研究、协调、解决预算绩效管理工作中存在的问題，确保我馆预算绩效管理工作顺利推进。绩效自评工作中，多次召开会议，确保自评工作顺利开展。</w:t>
      </w:r>
    </w:p>
    <w:p>
      <w:pPr>
        <w:widowControl w:val="0"/>
        <w:numPr>
          <w:ilvl w:val="0"/>
          <w:numId w:val="1"/>
        </w:numPr>
        <w:wordWrap/>
        <w:adjustRightInd/>
        <w:snapToGrid/>
        <w:spacing w:before="0" w:after="0" w:line="560" w:lineRule="exact"/>
        <w:ind w:left="0" w:leftChars="0" w:right="0" w:firstLine="0" w:firstLineChars="0"/>
        <w:jc w:val="both"/>
        <w:textAlignment w:val="auto"/>
        <w:outlineLvl w:val="9"/>
        <w:rPr>
          <w:rFonts w:ascii="楷体" w:hAnsi="楷体" w:eastAsia="楷体" w:cs="楷体_GB2312"/>
          <w:bCs/>
          <w:sz w:val="32"/>
          <w:szCs w:val="32"/>
        </w:rPr>
      </w:pPr>
      <w:r>
        <w:rPr>
          <w:rFonts w:hint="eastAsia" w:ascii="楷体" w:hAnsi="楷体" w:eastAsia="楷体" w:cs="楷体_GB2312"/>
          <w:bCs/>
          <w:sz w:val="32"/>
          <w:szCs w:val="32"/>
        </w:rPr>
        <w:t>自评的方法和过程</w:t>
      </w:r>
    </w:p>
    <w:p>
      <w:pPr>
        <w:wordWrap/>
        <w:snapToGrid w:val="0"/>
        <w:spacing w:before="0" w:after="0" w:line="560" w:lineRule="exact"/>
        <w:ind w:left="0" w:leftChars="0" w:right="0" w:firstLine="640" w:firstLineChars="200"/>
        <w:textAlignment w:val="auto"/>
        <w:outlineLvl w:val="9"/>
        <w:rPr>
          <w:rFonts w:ascii="楷体" w:hAnsi="楷体" w:eastAsia="楷体" w:cs="楷体_GB2312"/>
          <w:bCs/>
          <w:sz w:val="32"/>
          <w:szCs w:val="32"/>
        </w:rPr>
      </w:pPr>
      <w:r>
        <w:rPr>
          <w:rFonts w:hint="eastAsia" w:ascii="仿宋" w:hAnsi="仿宋" w:eastAsia="仿宋" w:cs="仿宋"/>
          <w:sz w:val="32"/>
          <w:szCs w:val="32"/>
        </w:rPr>
        <w:t>我单位以绩效目标实现为导向，进一步加强制度建设，提升自评质量。一是抓好绩效目标编制，及时报送绩效目标。二是做好了绩效跟踪监控，按要求加强过程监控。三是深入开展财政支出绩效评价，对202</w:t>
      </w:r>
      <w:r>
        <w:rPr>
          <w:rFonts w:hint="eastAsia" w:ascii="仿宋" w:hAnsi="仿宋" w:eastAsia="仿宋" w:cs="仿宋"/>
          <w:sz w:val="32"/>
          <w:szCs w:val="32"/>
          <w:lang w:val="en-US" w:eastAsia="zh-CN"/>
        </w:rPr>
        <w:t>2</w:t>
      </w:r>
      <w:r>
        <w:rPr>
          <w:rFonts w:hint="eastAsia" w:ascii="仿宋" w:hAnsi="仿宋" w:eastAsia="仿宋" w:cs="仿宋"/>
          <w:sz w:val="32"/>
          <w:szCs w:val="32"/>
        </w:rPr>
        <w:t>年度项目按照年初绩效目标逐一核查，</w:t>
      </w:r>
      <w:r>
        <w:rPr>
          <w:rFonts w:hint="eastAsia" w:ascii="仿宋" w:hAnsi="仿宋" w:eastAsia="仿宋" w:cs="仿宋"/>
          <w:color w:val="333333"/>
          <w:sz w:val="32"/>
          <w:szCs w:val="32"/>
          <w:shd w:val="clear" w:color="auto" w:fill="FFFFFF"/>
        </w:rPr>
        <w:t>预算项目绩效目标完成达标，达到了年初预算项目安排的工作目标。</w:t>
      </w:r>
      <w:r>
        <w:rPr>
          <w:rFonts w:hint="eastAsia" w:ascii="仿宋" w:hAnsi="仿宋" w:eastAsia="仿宋" w:cs="仿宋"/>
          <w:sz w:val="32"/>
          <w:szCs w:val="32"/>
        </w:rPr>
        <w:t>四是强化评价结果应用。组织绩效自评和绩效跟踪监控，对发现的问题及时改正，加强评价结果与项目资金安排的衔接。五是健全绩效管理工作机制，明确职责分工，努力提高了绩效管理工作水平。</w:t>
      </w:r>
    </w:p>
    <w:p>
      <w:pPr>
        <w:widowControl w:val="0"/>
        <w:wordWrap/>
        <w:adjustRightInd/>
        <w:snapToGrid/>
        <w:spacing w:before="0" w:after="0" w:line="560" w:lineRule="exact"/>
        <w:ind w:left="0" w:leftChars="0" w:right="0"/>
        <w:jc w:val="both"/>
        <w:textAlignment w:val="auto"/>
        <w:outlineLvl w:val="9"/>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widowControl w:val="0"/>
        <w:numPr>
          <w:ilvl w:val="0"/>
          <w:numId w:val="2"/>
        </w:numPr>
        <w:wordWrap/>
        <w:adjustRightInd/>
        <w:snapToGrid/>
        <w:spacing w:before="0" w:after="0" w:line="560" w:lineRule="exact"/>
        <w:ind w:left="0" w:leftChars="0" w:right="0" w:firstLine="640" w:firstLineChars="200"/>
        <w:jc w:val="both"/>
        <w:textAlignment w:val="auto"/>
        <w:outlineLvl w:val="9"/>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wordWrap/>
        <w:snapToGrid w:val="0"/>
        <w:spacing w:before="0" w:after="0" w:line="560" w:lineRule="exact"/>
        <w:ind w:left="0" w:leftChars="0" w:right="0" w:firstLine="640" w:firstLineChars="200"/>
        <w:jc w:val="left"/>
        <w:textAlignment w:val="auto"/>
        <w:outlineLvl w:val="9"/>
        <w:rPr>
          <w:rFonts w:ascii="仿宋" w:hAnsi="仿宋" w:eastAsia="仿宋" w:cs="仿宋"/>
          <w:sz w:val="32"/>
          <w:szCs w:val="32"/>
        </w:rPr>
      </w:pPr>
      <w:r>
        <w:rPr>
          <w:rFonts w:ascii="仿宋" w:hAnsi="仿宋" w:eastAsia="仿宋" w:cs="仿宋"/>
          <w:sz w:val="32"/>
          <w:szCs w:val="32"/>
        </w:rPr>
        <w:t>以“为党管档，为国守史，为民服务”为使命担当，紧紧围绕市委中心工作，做好档案的收、管、存、用，深入挖掘馆藏和地情资源，充分发挥档案方志存史、资政、育人功能，自觉服务全市经济和社会发展大局，开拓创新，奋力开创档案馆工作的新局面，不断激发和释放档案馆的生机和活力，</w:t>
      </w:r>
      <w:r>
        <w:rPr>
          <w:rFonts w:hint="eastAsia" w:ascii="仿宋" w:hAnsi="仿宋" w:eastAsia="仿宋" w:cs="仿宋"/>
          <w:sz w:val="32"/>
          <w:szCs w:val="32"/>
        </w:rPr>
        <w:t>圆满完成了全年任务目标。</w:t>
      </w:r>
    </w:p>
    <w:p>
      <w:pPr>
        <w:wordWrap/>
        <w:spacing w:before="0" w:after="0" w:line="56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pPr>
        <w:widowControl w:val="0"/>
        <w:wordWrap/>
        <w:adjustRightInd/>
        <w:snapToGrid/>
        <w:spacing w:before="0" w:after="0" w:line="560" w:lineRule="exact"/>
        <w:ind w:left="0" w:leftChars="0" w:right="0" w:firstLine="640" w:firstLineChars="200"/>
        <w:jc w:val="both"/>
        <w:textAlignment w:val="auto"/>
        <w:outlineLvl w:val="9"/>
        <w:rPr>
          <w:rFonts w:hint="eastAsia" w:ascii="仿宋_GB2312" w:hAnsi="仿宋_GB2312" w:eastAsia="仿宋_GB2312"/>
          <w:sz w:val="32"/>
        </w:rPr>
      </w:pPr>
      <w:r>
        <w:rPr>
          <w:rFonts w:hint="eastAsia" w:ascii="仿宋_GB2312" w:hAnsi="仿宋_GB2312" w:eastAsia="仿宋_GB2312"/>
          <w:sz w:val="32"/>
        </w:rPr>
        <w:t>顺利完成市疫情办档案378盒、8471件，市纪委专业档案554卷（盒），市大督办档案464盒，司法局档案72盒（253卷）的接收工作，并入库上架。高质量完成</w:t>
      </w:r>
      <w:r>
        <w:rPr>
          <w:rFonts w:hint="eastAsia" w:ascii="仿宋_GB2312" w:hAnsi="仿宋_GB2312" w:eastAsia="仿宋_GB2312"/>
          <w:sz w:val="32"/>
          <w:lang w:eastAsia="zh-CN"/>
        </w:rPr>
        <w:t>了</w:t>
      </w:r>
      <w:r>
        <w:rPr>
          <w:rFonts w:hint="eastAsia" w:ascii="仿宋_GB2312" w:hAnsi="仿宋_GB2312" w:eastAsia="仿宋_GB2312"/>
          <w:sz w:val="32"/>
        </w:rPr>
        <w:t>《石家庄年鉴》《掌上石家庄</w:t>
      </w:r>
      <w:r>
        <w:rPr>
          <w:rFonts w:hint="eastAsia" w:ascii="仿宋_GB2312" w:hAnsi="仿宋_GB2312" w:eastAsia="仿宋_GB2312"/>
          <w:sz w:val="32"/>
          <w:lang w:val="en-US" w:eastAsia="zh-CN"/>
        </w:rPr>
        <w:t>2022</w:t>
      </w:r>
      <w:r>
        <w:rPr>
          <w:rFonts w:hint="eastAsia" w:ascii="仿宋_GB2312" w:hAnsi="仿宋_GB2312" w:eastAsia="仿宋_GB2312"/>
          <w:sz w:val="32"/>
        </w:rPr>
        <w:t>》编纂出版工作。精选202</w:t>
      </w:r>
      <w:r>
        <w:rPr>
          <w:rFonts w:hint="eastAsia" w:ascii="仿宋_GB2312" w:hAnsi="仿宋_GB2312" w:eastAsia="仿宋_GB2312"/>
          <w:sz w:val="32"/>
          <w:lang w:val="en-US" w:eastAsia="zh-CN"/>
        </w:rPr>
        <w:t>1</w:t>
      </w:r>
      <w:r>
        <w:rPr>
          <w:rFonts w:hint="eastAsia" w:ascii="仿宋_GB2312" w:hAnsi="仿宋_GB2312" w:eastAsia="仿宋_GB2312"/>
          <w:sz w:val="32"/>
        </w:rPr>
        <w:t>年度石家庄市重点工作、主要经济指标和有影响力事件，将百万字的年鉴内容精炼编成10万字以内的《掌上石家庄（2022）》，为各级领导决策提供地情参考。</w:t>
      </w:r>
    </w:p>
    <w:p>
      <w:pPr>
        <w:widowControl w:val="0"/>
        <w:wordWrap/>
        <w:adjustRightInd/>
        <w:snapToGrid/>
        <w:spacing w:before="0" w:after="0" w:line="560" w:lineRule="exact"/>
        <w:ind w:left="0" w:leftChars="0" w:right="0" w:firstLine="640" w:firstLineChars="200"/>
        <w:jc w:val="both"/>
        <w:textAlignment w:val="auto"/>
        <w:outlineLvl w:val="9"/>
        <w:rPr>
          <w:rFonts w:hint="eastAsia" w:ascii="黑体" w:hAnsi="黑体" w:eastAsia="黑体"/>
          <w:sz w:val="32"/>
          <w:szCs w:val="32"/>
        </w:rPr>
      </w:pPr>
      <w:r>
        <w:rPr>
          <w:rFonts w:ascii="仿宋" w:hAnsi="仿宋" w:eastAsia="仿宋" w:cs="仿宋"/>
          <w:kern w:val="2"/>
          <w:sz w:val="32"/>
          <w:szCs w:val="32"/>
        </w:rPr>
        <w:t>提升市县相关单位编鉴人员业务素质</w:t>
      </w:r>
      <w:r>
        <w:rPr>
          <w:rFonts w:hint="eastAsia" w:ascii="仿宋" w:hAnsi="仿宋" w:eastAsia="仿宋" w:cs="仿宋"/>
          <w:kern w:val="2"/>
          <w:sz w:val="32"/>
          <w:szCs w:val="32"/>
        </w:rPr>
        <w:t xml:space="preserve">，因受到疫情影响，培训工作未开展，年初绩效目标没有完成。 </w:t>
      </w:r>
    </w:p>
    <w:p>
      <w:pPr>
        <w:wordWrap/>
        <w:spacing w:before="0" w:after="0"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widowControl w:val="0"/>
        <w:wordWrap/>
        <w:adjustRightInd w:val="0"/>
        <w:snapToGrid w:val="0"/>
        <w:spacing w:before="0" w:after="0" w:line="560" w:lineRule="exact"/>
        <w:ind w:left="0" w:leftChars="0" w:right="0" w:firstLine="640" w:firstLineChars="200"/>
        <w:jc w:val="left"/>
        <w:textAlignment w:val="auto"/>
        <w:outlineLvl w:val="9"/>
        <w:rPr>
          <w:rFonts w:ascii="仿宋" w:hAnsi="仿宋" w:eastAsia="仿宋" w:cs="仿宋"/>
          <w:sz w:val="32"/>
          <w:szCs w:val="32"/>
        </w:rPr>
      </w:pPr>
      <w:r>
        <w:rPr>
          <w:rFonts w:hint="eastAsia" w:ascii="仿宋" w:hAnsi="仿宋" w:eastAsia="仿宋" w:cs="仿宋"/>
          <w:sz w:val="32"/>
          <w:szCs w:val="32"/>
        </w:rPr>
        <w:t>根据部门职责定位和各项工作履职情况进行综合评价，给出总得分90分，综合绩效评价等级为优秀。</w:t>
      </w:r>
    </w:p>
    <w:p>
      <w:pPr>
        <w:wordWrap/>
        <w:spacing w:before="0" w:after="0"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仿宋" w:hAnsi="仿宋" w:eastAsia="仿宋" w:cs="仿宋"/>
          <w:kern w:val="2"/>
          <w:sz w:val="32"/>
          <w:szCs w:val="32"/>
        </w:rPr>
      </w:pPr>
      <w:r>
        <w:rPr>
          <w:rFonts w:hint="eastAsia" w:ascii="仿宋" w:hAnsi="仿宋" w:eastAsia="仿宋" w:cs="仿宋"/>
          <w:kern w:val="2"/>
          <w:sz w:val="32"/>
          <w:szCs w:val="32"/>
        </w:rPr>
        <w:t>一是提高认识。我单位部分人员对绩效管理认识不足，下一步将加大绩效管理宣传力度，使单位内部各部门都能参与进来，提高大家对绩效自评的认识。</w:t>
      </w:r>
    </w:p>
    <w:p>
      <w:pPr>
        <w:pStyle w:val="5"/>
        <w:shd w:val="clear" w:color="auto" w:fill="FFFFFF"/>
        <w:wordWrap/>
        <w:snapToGrid w:val="0"/>
        <w:spacing w:before="0" w:beforeAutospacing="0" w:after="0" w:afterAutospacing="0" w:line="560" w:lineRule="exact"/>
        <w:ind w:left="0" w:leftChars="0" w:right="0" w:firstLine="640" w:firstLineChars="200"/>
        <w:jc w:val="both"/>
        <w:textAlignment w:val="auto"/>
        <w:outlineLvl w:val="9"/>
        <w:rPr>
          <w:rFonts w:ascii="楷体" w:hAnsi="楷体" w:eastAsia="楷体"/>
          <w:bCs/>
          <w:sz w:val="32"/>
          <w:szCs w:val="32"/>
        </w:rPr>
      </w:pPr>
      <w:r>
        <w:rPr>
          <w:rFonts w:hint="eastAsia" w:ascii="仿宋" w:hAnsi="仿宋" w:eastAsia="仿宋" w:cs="仿宋"/>
          <w:kern w:val="2"/>
          <w:sz w:val="32"/>
          <w:szCs w:val="32"/>
        </w:rPr>
        <w:t>二是科学设置绩效指标。克服运用一些共性指标，针对不同项目设置个性化、实效化指标，使绩效管理更加合理化。</w:t>
      </w:r>
    </w:p>
    <w:p>
      <w:pPr>
        <w:numPr>
          <w:ilvl w:val="0"/>
          <w:numId w:val="3"/>
        </w:numPr>
        <w:wordWrap/>
        <w:adjustRightInd w:val="0"/>
        <w:snapToGrid w:val="0"/>
        <w:spacing w:before="0" w:after="0" w:line="560" w:lineRule="exact"/>
        <w:ind w:left="0" w:leftChars="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pPr>
        <w:wordWrap/>
        <w:spacing w:before="0" w:after="0" w:line="560" w:lineRule="exact"/>
        <w:ind w:left="0" w:leftChars="0" w:right="0" w:firstLine="640"/>
        <w:textAlignment w:val="auto"/>
        <w:outlineLvl w:val="9"/>
        <w:rPr>
          <w:rFonts w:hint="eastAsia" w:ascii="仿宋" w:hAnsi="仿宋" w:eastAsia="仿宋" w:cs="仿宋"/>
          <w:sz w:val="32"/>
          <w:szCs w:val="32"/>
        </w:rPr>
      </w:pPr>
      <w:r>
        <w:rPr>
          <w:rFonts w:hint="eastAsia" w:ascii="仿宋" w:hAnsi="仿宋" w:eastAsia="仿宋" w:cs="仿宋"/>
          <w:sz w:val="32"/>
          <w:szCs w:val="32"/>
        </w:rPr>
        <w:t>组长：</w:t>
      </w:r>
      <w:r>
        <w:rPr>
          <w:rFonts w:hint="eastAsia" w:ascii="仿宋" w:hAnsi="仿宋" w:eastAsia="仿宋" w:cs="仿宋"/>
          <w:sz w:val="32"/>
          <w:szCs w:val="32"/>
          <w:lang w:eastAsia="zh-CN"/>
        </w:rPr>
        <w:t>冯肖成</w:t>
      </w:r>
      <w:r>
        <w:rPr>
          <w:rFonts w:hint="eastAsia" w:ascii="仿宋" w:hAnsi="仿宋" w:eastAsia="仿宋" w:cs="仿宋"/>
          <w:sz w:val="32"/>
          <w:szCs w:val="32"/>
        </w:rPr>
        <w:t xml:space="preserve">   市档案馆副馆长</w:t>
      </w:r>
    </w:p>
    <w:p>
      <w:pPr>
        <w:wordWrap/>
        <w:spacing w:before="0" w:after="0" w:line="560" w:lineRule="exact"/>
        <w:ind w:left="0" w:leftChars="0" w:right="0" w:firstLine="640"/>
        <w:textAlignment w:val="auto"/>
        <w:outlineLvl w:val="9"/>
        <w:rPr>
          <w:rFonts w:ascii="仿宋" w:hAnsi="仿宋" w:eastAsia="仿宋" w:cs="仿宋"/>
          <w:sz w:val="32"/>
          <w:szCs w:val="32"/>
        </w:rPr>
      </w:pPr>
      <w:r>
        <w:rPr>
          <w:rFonts w:hint="eastAsia" w:ascii="仿宋" w:hAnsi="仿宋" w:eastAsia="仿宋" w:cs="仿宋"/>
          <w:sz w:val="32"/>
          <w:szCs w:val="32"/>
        </w:rPr>
        <w:t>成员：姜青春   市档案馆办公室主任</w:t>
      </w:r>
    </w:p>
    <w:p>
      <w:pPr>
        <w:wordWrap/>
        <w:spacing w:before="0" w:after="0" w:line="560" w:lineRule="exact"/>
        <w:ind w:left="0" w:leftChars="0" w:right="0" w:firstLine="1600" w:firstLineChars="500"/>
        <w:textAlignment w:val="auto"/>
        <w:outlineLvl w:val="9"/>
        <w:rPr>
          <w:rFonts w:ascii="仿宋" w:hAnsi="仿宋" w:eastAsia="仿宋" w:cs="仿宋"/>
          <w:sz w:val="32"/>
          <w:szCs w:val="32"/>
        </w:rPr>
      </w:pPr>
      <w:r>
        <w:rPr>
          <w:rFonts w:hint="eastAsia" w:ascii="仿宋" w:hAnsi="仿宋" w:eastAsia="仿宋" w:cs="仿宋"/>
          <w:sz w:val="32"/>
          <w:szCs w:val="32"/>
        </w:rPr>
        <w:t>张建洲   市档案馆人事财务科科长长</w:t>
      </w:r>
    </w:p>
    <w:p>
      <w:pPr>
        <w:wordWrap/>
        <w:spacing w:before="0" w:after="0" w:line="560" w:lineRule="exact"/>
        <w:ind w:left="0" w:leftChars="0" w:right="0"/>
        <w:textAlignment w:val="auto"/>
        <w:outlineLvl w:val="9"/>
        <w:rPr>
          <w:rFonts w:ascii="仿宋" w:hAnsi="仿宋" w:eastAsia="仿宋" w:cs="仿宋"/>
          <w:sz w:val="32"/>
          <w:szCs w:val="32"/>
        </w:rPr>
      </w:pPr>
      <w:r>
        <w:rPr>
          <w:rFonts w:hint="eastAsia" w:ascii="仿宋" w:hAnsi="仿宋" w:eastAsia="仿宋" w:cs="仿宋"/>
          <w:sz w:val="32"/>
          <w:szCs w:val="32"/>
        </w:rPr>
        <w:t xml:space="preserve">          刘晓莉   市档案馆机关党总支（老干部科）科长</w:t>
      </w:r>
    </w:p>
    <w:p>
      <w:pPr>
        <w:wordWrap/>
        <w:spacing w:before="0" w:after="0" w:line="560" w:lineRule="exact"/>
        <w:ind w:left="0" w:leftChars="0" w:right="0"/>
        <w:textAlignment w:val="auto"/>
        <w:outlineLvl w:val="9"/>
        <w:rPr>
          <w:rFonts w:ascii="仿宋" w:hAnsi="仿宋" w:eastAsia="仿宋" w:cs="仿宋"/>
          <w:sz w:val="32"/>
          <w:szCs w:val="32"/>
        </w:rPr>
      </w:pPr>
      <w:r>
        <w:rPr>
          <w:rFonts w:hint="eastAsia" w:ascii="仿宋" w:hAnsi="仿宋" w:eastAsia="仿宋" w:cs="仿宋"/>
          <w:sz w:val="32"/>
          <w:szCs w:val="32"/>
        </w:rPr>
        <w:t xml:space="preserve">          吴  怡   石家庄市档案馆人事财务</w:t>
      </w:r>
      <w:r>
        <w:rPr>
          <w:rStyle w:val="7"/>
          <w:rFonts w:hint="eastAsia" w:ascii="仿宋" w:hAnsi="仿宋" w:eastAsia="仿宋" w:cs="仿宋_GB2312"/>
          <w:sz w:val="32"/>
          <w:szCs w:val="32"/>
        </w:rPr>
        <w:t>科</w:t>
      </w:r>
      <w:r>
        <w:rPr>
          <w:rFonts w:hint="eastAsia" w:ascii="仿宋" w:hAnsi="仿宋" w:eastAsia="仿宋" w:cs="仿宋"/>
          <w:sz w:val="32"/>
          <w:szCs w:val="32"/>
        </w:rPr>
        <w:t>三级主任科员</w:t>
      </w:r>
    </w:p>
    <w:p>
      <w:pPr>
        <w:numPr>
          <w:numId w:val="0"/>
        </w:numPr>
        <w:wordWrap/>
        <w:adjustRightInd w:val="0"/>
        <w:snapToGrid w:val="0"/>
        <w:spacing w:before="0" w:after="0" w:line="560" w:lineRule="exact"/>
        <w:ind w:left="0" w:leftChars="0" w:right="0"/>
        <w:textAlignment w:val="auto"/>
        <w:outlineLvl w:val="9"/>
        <w:rPr>
          <w:rFonts w:hint="eastAsia" w:ascii="黑体" w:hAnsi="黑体" w:eastAsia="黑体"/>
          <w:sz w:val="32"/>
          <w:szCs w:val="32"/>
        </w:rPr>
      </w:pPr>
    </w:p>
    <w:p>
      <w:pPr>
        <w:widowControl w:val="0"/>
        <w:wordWrap/>
        <w:adjustRightInd/>
        <w:snapToGrid/>
        <w:spacing w:beforeLines="50" w:afterLines="50" w:line="560" w:lineRule="exact"/>
        <w:ind w:left="0" w:leftChars="0" w:right="0" w:firstLine="640" w:firstLineChars="200"/>
        <w:jc w:val="both"/>
        <w:textAlignment w:val="auto"/>
        <w:outlineLvl w:val="9"/>
        <w:rPr>
          <w:rFonts w:hint="eastAsia" w:ascii="仿宋_GB2312" w:hAnsi="仿宋_GB2312" w:eastAsia="仿宋_GB2312"/>
          <w:sz w:val="32"/>
          <w:lang w:eastAsia="zh-CN"/>
        </w:rPr>
      </w:pPr>
    </w:p>
    <w:p>
      <w:pPr>
        <w:widowControl w:val="0"/>
        <w:wordWrap/>
        <w:adjustRightInd/>
        <w:snapToGrid/>
        <w:spacing w:beforeLines="50" w:afterLines="50" w:line="360" w:lineRule="auto"/>
        <w:ind w:left="0" w:leftChars="0" w:right="0"/>
        <w:jc w:val="both"/>
        <w:textAlignment w:val="auto"/>
        <w:outlineLvl w:val="9"/>
        <w:rPr>
          <w:rFonts w:hint="eastAsia" w:ascii="仿宋_GB2312" w:hAnsi="仿宋_GB2312" w:eastAsia="仿宋_GB2312"/>
          <w:sz w:val="32"/>
          <w:lang w:eastAsia="zh-CN"/>
        </w:rPr>
      </w:pPr>
      <w:r>
        <w:rPr>
          <w:rFonts w:hint="eastAsia" w:ascii="仿宋_GB2312" w:hAnsi="仿宋_GB2312" w:eastAsia="仿宋_GB2312"/>
          <w:sz w:val="32"/>
          <w:lang w:val="en-US" w:eastAsia="zh-CN"/>
        </w:rPr>
        <w:t xml:space="preserve">                                    </w:t>
      </w:r>
      <w:r>
        <w:rPr>
          <w:rFonts w:hint="eastAsia" w:ascii="仿宋_GB2312" w:hAnsi="仿宋_GB2312" w:eastAsia="仿宋_GB2312"/>
          <w:sz w:val="32"/>
          <w:lang w:eastAsia="zh-CN"/>
        </w:rPr>
        <w:t>石家庄市档案馆</w:t>
      </w:r>
    </w:p>
    <w:p>
      <w:pPr>
        <w:widowControl w:val="0"/>
        <w:wordWrap/>
        <w:adjustRightInd/>
        <w:snapToGrid/>
        <w:spacing w:before="0" w:after="0" w:line="360" w:lineRule="auto"/>
        <w:ind w:left="0" w:leftChars="0" w:right="0" w:firstLine="640" w:firstLineChars="200"/>
        <w:jc w:val="both"/>
        <w:textAlignment w:val="auto"/>
        <w:outlineLvl w:val="9"/>
        <w:rPr>
          <w:rFonts w:hint="eastAsia" w:ascii="仿宋_GB2312" w:hAnsi="仿宋_GB2312" w:eastAsia="仿宋_GB2312"/>
          <w:sz w:val="32"/>
          <w:lang w:eastAsia="zh-CN"/>
        </w:rPr>
      </w:pPr>
      <w:r>
        <w:rPr>
          <w:rFonts w:hint="eastAsia" w:ascii="仿宋_GB2312" w:hAnsi="仿宋_GB2312" w:eastAsia="仿宋_GB2312"/>
          <w:sz w:val="32"/>
          <w:lang w:val="en-US" w:eastAsia="zh-CN"/>
        </w:rPr>
        <w:t xml:space="preserve">                               </w:t>
      </w:r>
      <w:r>
        <w:rPr>
          <w:rFonts w:hint="eastAsia" w:ascii="仿宋_GB2312" w:hAnsi="仿宋_GB2312" w:eastAsia="仿宋_GB2312"/>
          <w:sz w:val="32"/>
          <w:lang w:eastAsia="zh-CN"/>
        </w:rPr>
        <w:t>2023年4月11日</w:t>
      </w:r>
    </w:p>
    <w:sectPr>
      <w:footerReference r:id="rId4" w:type="default"/>
      <w:pgSz w:w="11906" w:h="16838"/>
      <w:pgMar w:top="1440" w:right="1474" w:bottom="1440" w:left="1587" w:header="851" w:footer="992" w:gutter="0"/>
      <w:pgNumType w:fmt="numberInDash"/>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Calibri">
    <w:panose1 w:val="020F0502020204030204"/>
    <w:charset w:val="00"/>
    <w:family w:val="auto"/>
    <w:pitch w:val="default"/>
    <w:sig w:usb0="E00002FF" w:usb1="4000ACFF" w:usb2="00000001" w:usb3="00000000" w:csb0="2000019F" w:csb1="00000000"/>
  </w:font>
  <w:font w:name="仿宋_GB2312">
    <w:altName w:val="仿宋"/>
    <w:panose1 w:val="02010609030101010101"/>
    <w:charset w:val="86"/>
    <w:family w:val="auto"/>
    <w:pitch w:val="default"/>
    <w:sig w:usb0="00000001" w:usb1="080E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Cambria">
    <w:panose1 w:val="02040503050406030204"/>
    <w:charset w:val="00"/>
    <w:family w:val="auto"/>
    <w:pitch w:val="default"/>
    <w:sig w:usb0="E00002FF" w:usb1="400004FF" w:usb2="00000000" w:usb3="00000000" w:csb0="2000019F" w:csb1="00000000"/>
  </w:font>
  <w:font w:name="方正书宋_GBK">
    <w:altName w:val="Arial Unicode MS"/>
    <w:panose1 w:val="00000000000000000000"/>
    <w:charset w:val="86"/>
    <w:family w:val="auto"/>
    <w:pitch w:val="default"/>
    <w:sig w:usb0="00000000" w:usb1="08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Cambria Math">
    <w:panose1 w:val="02040503050406030204"/>
    <w:charset w:val="00"/>
    <w:family w:val="auto"/>
    <w:pitch w:val="default"/>
    <w:sig w:usb0="E00002FF" w:usb1="420024FF" w:usb2="00000000" w:usb3="00000000" w:csb0="2000019F" w:csb1="00000000"/>
  </w:font>
  <w:font w:name="Times New Roman CE">
    <w:altName w:val="Times New Roman"/>
    <w:panose1 w:val="00000000000000000000"/>
    <w:charset w:val="EE"/>
    <w:family w:val="auto"/>
    <w:pitch w:val="default"/>
    <w:sig w:usb0="00000000" w:usb1="00000000" w:usb2="00000000" w:usb3="00000000" w:csb0="00000002" w:csb1="00000000"/>
  </w:font>
  <w:font w:name="Times New Roman Cyr">
    <w:altName w:val="Times New Roman"/>
    <w:panose1 w:val="00000000000000000000"/>
    <w:charset w:val="CC"/>
    <w:family w:val="auto"/>
    <w:pitch w:val="default"/>
    <w:sig w:usb0="00000000" w:usb1="00000000" w:usb2="00000000" w:usb3="00000000" w:csb0="00000004" w:csb1="00000000"/>
  </w:font>
  <w:font w:name="Times New Roman Greek">
    <w:altName w:val="Times New Roman"/>
    <w:panose1 w:val="00000000000000000000"/>
    <w:charset w:val="A1"/>
    <w:family w:val="auto"/>
    <w:pitch w:val="default"/>
    <w:sig w:usb0="00000000" w:usb1="00000000" w:usb2="00000000" w:usb3="00000000" w:csb0="00000008" w:csb1="00000000"/>
  </w:font>
  <w:font w:name="Times New Roman Tur">
    <w:altName w:val="Times New Roman"/>
    <w:panose1 w:val="00000000000000000000"/>
    <w:charset w:val="A2"/>
    <w:family w:val="auto"/>
    <w:pitch w:val="default"/>
    <w:sig w:usb0="00000000" w:usb1="00000000" w:usb2="00000000" w:usb3="00000000" w:csb0="00000010" w:csb1="00000000"/>
  </w:font>
  <w:font w:name="Times New Roman (Hebrew)">
    <w:altName w:val="Times New Roman"/>
    <w:panose1 w:val="00000000000000000000"/>
    <w:charset w:val="B1"/>
    <w:family w:val="auto"/>
    <w:pitch w:val="default"/>
    <w:sig w:usb0="00000000" w:usb1="00000000" w:usb2="00000000" w:usb3="00000000" w:csb0="00000020" w:csb1="00000000"/>
  </w:font>
  <w:font w:name="Times New Roman (Arabic)">
    <w:altName w:val="Times New Roman"/>
    <w:panose1 w:val="00000000000000000000"/>
    <w:charset w:val="B2"/>
    <w:family w:val="auto"/>
    <w:pitch w:val="default"/>
    <w:sig w:usb0="00000000" w:usb1="00000000" w:usb2="00000000" w:usb3="00000000" w:csb0="00000040" w:csb1="00000000"/>
  </w:font>
  <w:font w:name="Times New Roman Baltic">
    <w:altName w:val="Times New Roman"/>
    <w:panose1 w:val="00000000000000000000"/>
    <w:charset w:val="BA"/>
    <w:family w:val="auto"/>
    <w:pitch w:val="default"/>
    <w:sig w:usb0="00000000" w:usb1="00000000" w:usb2="00000000" w:usb3="00000000" w:csb0="00000080" w:csb1="00000000"/>
  </w:font>
  <w:font w:name="Times New Roman (Vietnamese)">
    <w:altName w:val="Times New Roman"/>
    <w:panose1 w:val="00000000000000000000"/>
    <w:charset w:val="A3"/>
    <w:family w:val="auto"/>
    <w:pitch w:val="default"/>
    <w:sig w:usb0="00000000" w:usb1="00000000" w:usb2="00000000" w:usb3="00000000" w:csb0="00000100" w:csb1="00000000"/>
  </w:font>
  <w:font w:name="SimSun Western">
    <w:altName w:val="宋体"/>
    <w:panose1 w:val="00000000000000000000"/>
    <w:charset w:val="00"/>
    <w:family w:val="auto"/>
    <w:pitch w:val="default"/>
    <w:sig w:usb0="00000000" w:usb1="00000000" w:usb2="00000000" w:usb3="00000000" w:csb0="00000001" w:csb1="00000000"/>
  </w:font>
  <w:font w:name="Cambria Math CE">
    <w:altName w:val="Cambria"/>
    <w:panose1 w:val="00000000000000000000"/>
    <w:charset w:val="EE"/>
    <w:family w:val="auto"/>
    <w:pitch w:val="default"/>
    <w:sig w:usb0="00000000" w:usb1="00000000" w:usb2="00000000" w:usb3="00000000" w:csb0="00000002" w:csb1="00000000"/>
  </w:font>
  <w:font w:name="Cambria Math Cyr">
    <w:altName w:val="Cambria"/>
    <w:panose1 w:val="00000000000000000000"/>
    <w:charset w:val="CC"/>
    <w:family w:val="auto"/>
    <w:pitch w:val="default"/>
    <w:sig w:usb0="00000000" w:usb1="00000000" w:usb2="00000000" w:usb3="00000000" w:csb0="00000004" w:csb1="00000000"/>
  </w:font>
  <w:font w:name="Cambria Math Greek">
    <w:altName w:val="Cambria"/>
    <w:panose1 w:val="00000000000000000000"/>
    <w:charset w:val="A1"/>
    <w:family w:val="auto"/>
    <w:pitch w:val="default"/>
    <w:sig w:usb0="00000000" w:usb1="00000000" w:usb2="00000000" w:usb3="00000000" w:csb0="00000008" w:csb1="00000000"/>
  </w:font>
  <w:font w:name="Cambria Math Tur">
    <w:altName w:val="Cambria"/>
    <w:panose1 w:val="00000000000000000000"/>
    <w:charset w:val="A2"/>
    <w:family w:val="auto"/>
    <w:pitch w:val="default"/>
    <w:sig w:usb0="00000000" w:usb1="00000000" w:usb2="00000000" w:usb3="00000000" w:csb0="00000010" w:csb1="00000000"/>
  </w:font>
  <w:font w:name="Cambria Math Baltic">
    <w:altName w:val="Cambria"/>
    <w:panose1 w:val="00000000000000000000"/>
    <w:charset w:val="BA"/>
    <w:family w:val="auto"/>
    <w:pitch w:val="default"/>
    <w:sig w:usb0="00000000" w:usb1="00000000" w:usb2="00000000" w:usb3="00000000" w:csb0="00000080" w:csb1="00000000"/>
  </w:font>
  <w:font w:name="Cambria Math (Vietnamese)">
    <w:altName w:val="Cambria"/>
    <w:panose1 w:val="00000000000000000000"/>
    <w:charset w:val="A3"/>
    <w:family w:val="auto"/>
    <w:pitch w:val="default"/>
    <w:sig w:usb0="00000000" w:usb1="00000000" w:usb2="00000000" w:usb3="00000000" w:csb0="00000100" w:csb1="00000000"/>
  </w:font>
  <w:font w:name="Calibri CE">
    <w:altName w:val="Calibri"/>
    <w:panose1 w:val="00000000000000000000"/>
    <w:charset w:val="EE"/>
    <w:family w:val="auto"/>
    <w:pitch w:val="default"/>
    <w:sig w:usb0="00000000" w:usb1="00000000" w:usb2="00000000" w:usb3="00000000" w:csb0="00000002" w:csb1="00000000"/>
  </w:font>
  <w:font w:name="Calibri Cyr">
    <w:altName w:val="Calibri"/>
    <w:panose1 w:val="00000000000000000000"/>
    <w:charset w:val="CC"/>
    <w:family w:val="auto"/>
    <w:pitch w:val="default"/>
    <w:sig w:usb0="00000000" w:usb1="00000000" w:usb2="00000000" w:usb3="00000000" w:csb0="00000004" w:csb1="00000000"/>
  </w:font>
  <w:font w:name="Calibri Greek">
    <w:altName w:val="Calibri"/>
    <w:panose1 w:val="00000000000000000000"/>
    <w:charset w:val="A1"/>
    <w:family w:val="auto"/>
    <w:pitch w:val="default"/>
    <w:sig w:usb0="00000000" w:usb1="00000000" w:usb2="00000000" w:usb3="00000000" w:csb0="00000008" w:csb1="00000000"/>
  </w:font>
  <w:font w:name="Calibri Tur">
    <w:altName w:val="Calibri"/>
    <w:panose1 w:val="00000000000000000000"/>
    <w:charset w:val="A2"/>
    <w:family w:val="auto"/>
    <w:pitch w:val="default"/>
    <w:sig w:usb0="00000000" w:usb1="00000000" w:usb2="00000000" w:usb3="00000000" w:csb0="00000010" w:csb1="00000000"/>
  </w:font>
  <w:font w:name="Calibri Baltic">
    <w:altName w:val="Calibri"/>
    <w:panose1 w:val="00000000000000000000"/>
    <w:charset w:val="BA"/>
    <w:family w:val="auto"/>
    <w:pitch w:val="default"/>
    <w:sig w:usb0="00000000" w:usb1="00000000" w:usb2="00000000" w:usb3="00000000" w:csb0="00000080" w:csb1="00000000"/>
  </w:font>
  <w:font w:name="Calibri (Vietnamese)">
    <w:altName w:val="Calibri"/>
    <w:panose1 w:val="00000000000000000000"/>
    <w:charset w:val="A3"/>
    <w:family w:val="auto"/>
    <w:pitch w:val="default"/>
    <w:sig w:usb0="00000000" w:usb1="00000000" w:usb2="00000000" w:usb3="00000000" w:csb0="00000100" w:csb1="00000000"/>
  </w:font>
  <w:font w:name="Cambria CE">
    <w:altName w:val="Cambria"/>
    <w:panose1 w:val="00000000000000000000"/>
    <w:charset w:val="EE"/>
    <w:family w:val="auto"/>
    <w:pitch w:val="default"/>
    <w:sig w:usb0="00000000" w:usb1="00000000" w:usb2="00000000" w:usb3="00000000" w:csb0="00000002" w:csb1="00000000"/>
  </w:font>
  <w:font w:name="Cambria Cyr">
    <w:altName w:val="Cambria"/>
    <w:panose1 w:val="00000000000000000000"/>
    <w:charset w:val="CC"/>
    <w:family w:val="auto"/>
    <w:pitch w:val="default"/>
    <w:sig w:usb0="00000000" w:usb1="00000000" w:usb2="00000000" w:usb3="00000000" w:csb0="00000004" w:csb1="00000000"/>
  </w:font>
  <w:font w:name="Cambria Greek">
    <w:altName w:val="Cambria"/>
    <w:panose1 w:val="00000000000000000000"/>
    <w:charset w:val="A1"/>
    <w:family w:val="auto"/>
    <w:pitch w:val="default"/>
    <w:sig w:usb0="00000000" w:usb1="00000000" w:usb2="00000000" w:usb3="00000000" w:csb0="00000008" w:csb1="00000000"/>
  </w:font>
  <w:font w:name="Cambria Tur">
    <w:altName w:val="Cambria"/>
    <w:panose1 w:val="00000000000000000000"/>
    <w:charset w:val="A2"/>
    <w:family w:val="auto"/>
    <w:pitch w:val="default"/>
    <w:sig w:usb0="00000000" w:usb1="00000000" w:usb2="00000000" w:usb3="00000000" w:csb0="00000010" w:csb1="00000000"/>
  </w:font>
  <w:font w:name="Cambria Baltic">
    <w:altName w:val="Cambria"/>
    <w:panose1 w:val="00000000000000000000"/>
    <w:charset w:val="BA"/>
    <w:family w:val="auto"/>
    <w:pitch w:val="default"/>
    <w:sig w:usb0="00000000" w:usb1="00000000" w:usb2="00000000" w:usb3="00000000" w:csb0="00000080" w:csb1="00000000"/>
  </w:font>
  <w:font w:name="Cambria (Vietnamese)">
    <w:altName w:val="Cambria"/>
    <w:panose1 w:val="00000000000000000000"/>
    <w:charset w:val="A3"/>
    <w:family w:val="auto"/>
    <w:pitch w:val="default"/>
    <w:sig w:usb0="00000000" w:usb1="00000000" w:usb2="00000000" w:usb3="00000000" w:csb0="000001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pPr>
    <w:r>
      <w:rPr>
        <w:rFonts w:ascii="Calibri" w:hAnsi="Calibri" w:eastAsia="宋体" w:cs="黑体"/>
        <w:kern w:val="2"/>
        <w:sz w:val="18"/>
        <w:szCs w:val="22"/>
        <w:lang w:val="en-US" w:eastAsia="zh-CN" w:bidi="ar-SA"/>
      </w:rPr>
      <w:pict>
        <v:shape id="Quad Arrow 3073" o:spid="_x0000_s1025" type="#_x0000_t202" style="position:absolute;left:0;margin-top:0pt;height:144pt;width:144pt;mso-position-horizontal:center;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0">
    <w:nsid w:val="0000000A"/>
    <w:multiLevelType w:val="singleLevel"/>
    <w:tmpl w:val="0000000A"/>
    <w:lvl w:ilvl="0" w:tentative="1">
      <w:start w:val="2"/>
      <w:numFmt w:val="chineseCounting"/>
      <w:suff w:val="nothing"/>
      <w:lvlText w:val="（%1）"/>
      <w:lvlJc w:val="left"/>
      <w:pPr>
        <w:ind w:left="642" w:firstLine="0"/>
      </w:pPr>
      <w:rPr>
        <w:rFonts w:hint="eastAsia"/>
      </w:rPr>
    </w:lvl>
  </w:abstractNum>
  <w:abstractNum w:abstractNumId="11">
    <w:nsid w:val="0000000B"/>
    <w:multiLevelType w:val="singleLevel"/>
    <w:tmpl w:val="0000000B"/>
    <w:lvl w:ilvl="0" w:tentative="1">
      <w:start w:val="1"/>
      <w:numFmt w:val="chineseCounting"/>
      <w:suff w:val="nothing"/>
      <w:lvlText w:val="（%1）"/>
      <w:lvlJc w:val="left"/>
      <w:rPr>
        <w:rFonts w:ascii="楷体" w:hAnsi="楷体" w:eastAsia="楷体"/>
      </w:rPr>
    </w:lvl>
  </w:abstractNum>
  <w:abstractNum w:abstractNumId="12">
    <w:nsid w:val="0000000C"/>
    <w:multiLevelType w:val="singleLevel"/>
    <w:tmpl w:val="0000000C"/>
    <w:lvl w:ilvl="0" w:tentative="1">
      <w:start w:val="6"/>
      <w:numFmt w:val="chineseCounting"/>
      <w:suff w:val="nothing"/>
      <w:lvlText w:val="%1、"/>
      <w:lvlJc w:val="left"/>
    </w:lvl>
  </w:abstractNum>
  <w:num w:numId="1">
    <w:abstractNumId w:val="10"/>
  </w:num>
  <w:num w:numId="2">
    <w:abstractNumId w:val="11"/>
  </w:num>
  <w:num w:numId="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Calibri" w:hAnsi="Calibri" w:eastAsia="宋体" w:cs="黑体"/>
      <w:kern w:val="2"/>
      <w:sz w:val="21"/>
      <w:szCs w:val="22"/>
      <w:lang w:val="en-US" w:eastAsia="zh-CN" w:bidi="ar-SA"/>
    </w:rPr>
  </w:style>
  <w:style w:type="character" w:default="1" w:styleId="4">
    <w:name w:val="Default Paragraph Font"/>
  </w:style>
  <w:style w:type="paragraph" w:styleId="2">
    <w:name w:val="footer"/>
    <w:basedOn w:val="1"/>
    <w:pPr>
      <w:tabs>
        <w:tab w:val="center" w:pos="4153"/>
        <w:tab w:val="right" w:pos="8306"/>
      </w:tabs>
      <w:snapToGrid w:val="0"/>
      <w:jc w:val="left"/>
    </w:pPr>
    <w:rPr>
      <w:sz w:val="18"/>
    </w:rPr>
  </w:style>
  <w:style w:type="paragraph" w:styleId="3">
    <w:name w:val="header"/>
    <w:basedOn w:val="1"/>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5">
    <w:name w:val="Normal (Web)"/>
    <w:basedOn w:val="1"/>
    <w:pPr>
      <w:widowControl/>
      <w:spacing w:before="100" w:beforeAutospacing="1" w:after="100" w:afterAutospacing="1"/>
      <w:jc w:val="left"/>
    </w:pPr>
    <w:rPr>
      <w:rFonts w:ascii="宋体" w:hAnsi="宋体" w:cs="宋体"/>
      <w:kern w:val="0"/>
      <w:sz w:val="24"/>
    </w:rPr>
  </w:style>
  <w:style w:type="paragraph" w:customStyle="1" w:styleId="6">
    <w:name w:val="正文首行缩进 22"/>
    <w:basedOn w:val="1"/>
    <w:pPr>
      <w:widowControl/>
      <w:autoSpaceDE w:val="0"/>
      <w:autoSpaceDN w:val="0"/>
      <w:spacing w:after="120"/>
      <w:ind w:left="420" w:leftChars="200" w:firstLine="420" w:firstLineChars="200"/>
    </w:pPr>
    <w:rPr>
      <w:rFonts w:hint="eastAsia"/>
      <w:kern w:val="0"/>
      <w:szCs w:val="20"/>
    </w:rPr>
  </w:style>
  <w:style w:type="character" w:customStyle="1" w:styleId="7">
    <w:name w:val="font11"/>
    <w:basedOn w:val="4"/>
    <w:rPr>
      <w:rFonts w:ascii="方正书宋_GBK" w:hAnsi="方正书宋_GBK" w:eastAsia="方正书宋_GBK" w:cs="方正书宋_GBK"/>
      <w:color w:val="000000"/>
      <w:sz w:val="20"/>
      <w:szCs w:val="20"/>
      <w:u w:val="none"/>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theme" Target="theme/theme1.xml"/><Relationship Id="rId6" Type="http://schemas.openxmlformats.org/officeDocument/2006/relationships/customXml" Target="../customXml/item1.xml"/><Relationship Id="rId7"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2020-02-07T03:46:00Z</dcterms:created>
  <dc:creator>欣欣大人</dc:creator>
  <cp:lastPrinted>2023-04-17T14:52:18Z</cp:lastPrinted>
  <dcterms:modified xsi:type="dcterms:W3CDTF">2023-04-17T14:56:11Z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