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center"/>
        <w:textAlignment w:val="auto"/>
        <w:outlineLvl w:val="9"/>
        <w:rPr>
          <w:rFonts w:hint="eastAsia" w:ascii="宋体" w:hAnsi="宋体" w:cs="宋体"/>
          <w:b/>
          <w:bCs/>
          <w:color w:val="000000" w:themeColor="text1"/>
          <w:sz w:val="44"/>
          <w:szCs w:val="44"/>
        </w:rPr>
      </w:pPr>
    </w:p>
    <w:p>
      <w:pPr>
        <w:widowControl w:val="0"/>
        <w:wordWrap/>
        <w:spacing w:line="560" w:lineRule="exact"/>
        <w:ind w:left="0" w:leftChars="0" w:right="0"/>
        <w:jc w:val="center"/>
        <w:textAlignment w:val="auto"/>
        <w:outlineLvl w:val="9"/>
        <w:rPr>
          <w:rFonts w:hint="default" w:ascii="宋体" w:hAnsi="宋体" w:eastAsia="宋体" w:cs="宋体"/>
          <w:b/>
          <w:bCs/>
          <w:color w:val="000000" w:themeColor="text1"/>
          <w:sz w:val="44"/>
          <w:szCs w:val="44"/>
          <w:lang w:val="en-US" w:eastAsia="zh-CN"/>
        </w:rPr>
      </w:pPr>
    </w:p>
    <w:p>
      <w:pPr>
        <w:widowControl w:val="0"/>
        <w:wordWrap/>
        <w:spacing w:line="560" w:lineRule="exact"/>
        <w:ind w:left="0" w:leftChars="0" w:right="0"/>
        <w:jc w:val="center"/>
        <w:textAlignment w:val="auto"/>
        <w:outlineLvl w:val="9"/>
        <w:rPr>
          <w:rFonts w:hint="default" w:ascii="宋体" w:hAnsi="宋体" w:eastAsia="宋体" w:cs="宋体"/>
          <w:b/>
          <w:bCs/>
          <w:color w:val="000000" w:themeColor="text1"/>
          <w:sz w:val="44"/>
          <w:szCs w:val="44"/>
          <w:lang w:val="en-US" w:eastAsia="zh-CN"/>
        </w:rPr>
      </w:pPr>
    </w:p>
    <w:p>
      <w:pPr>
        <w:widowControl w:val="0"/>
        <w:wordWrap/>
        <w:spacing w:line="560" w:lineRule="exact"/>
        <w:ind w:left="0" w:leftChars="0" w:right="0"/>
        <w:jc w:val="center"/>
        <w:textAlignment w:val="auto"/>
        <w:outlineLvl w:val="9"/>
        <w:rPr>
          <w:rFonts w:hint="default" w:ascii="宋体" w:hAnsi="宋体" w:eastAsia="宋体" w:cs="宋体"/>
          <w:b/>
          <w:bCs/>
          <w:color w:val="000000" w:themeColor="text1"/>
          <w:sz w:val="44"/>
          <w:szCs w:val="44"/>
          <w:lang w:val="en-US" w:eastAsia="zh-CN"/>
        </w:rPr>
      </w:pPr>
      <w:r>
        <w:rPr>
          <w:rFonts w:hint="default" w:ascii="宋体" w:hAnsi="宋体" w:eastAsia="宋体" w:cs="宋体"/>
          <w:b/>
          <w:bCs/>
          <w:color w:val="000000" w:themeColor="text1"/>
          <w:sz w:val="44"/>
          <w:szCs w:val="44"/>
          <w:lang w:val="en-US" w:eastAsia="zh-CN"/>
        </w:rPr>
        <w:t>中共石家庄市委政法委员会</w:t>
      </w:r>
    </w:p>
    <w:p>
      <w:pPr>
        <w:widowControl w:val="0"/>
        <w:wordWrap/>
        <w:spacing w:line="560" w:lineRule="exact"/>
        <w:ind w:left="0" w:leftChars="0" w:right="0"/>
        <w:jc w:val="center"/>
        <w:textAlignment w:val="auto"/>
        <w:outlineLvl w:val="9"/>
        <w:rPr>
          <w:rFonts w:hint="eastAsia" w:ascii="宋体" w:hAnsi="宋体" w:eastAsia="宋体" w:cs="宋体"/>
          <w:b/>
          <w:bCs/>
          <w:color w:val="000000" w:themeColor="text1"/>
          <w:sz w:val="44"/>
          <w:szCs w:val="44"/>
          <w:lang w:val="en-US" w:eastAsia="zh-CN"/>
        </w:rPr>
      </w:pPr>
      <w:r>
        <w:rPr>
          <w:rFonts w:hint="eastAsia" w:ascii="宋体" w:hAnsi="宋体" w:eastAsia="宋体" w:cs="宋体"/>
          <w:b/>
          <w:bCs/>
          <w:color w:val="000000" w:themeColor="text1"/>
          <w:sz w:val="44"/>
          <w:szCs w:val="44"/>
          <w:lang w:val="en-US" w:eastAsia="zh-CN"/>
        </w:rPr>
        <w:t>2021年度部门整体支出绩效自评报告</w:t>
      </w:r>
    </w:p>
    <w:p>
      <w:pPr>
        <w:widowControl w:val="0"/>
        <w:wordWrap/>
        <w:spacing w:line="560" w:lineRule="exact"/>
        <w:ind w:left="0" w:leftChars="0" w:right="0"/>
        <w:jc w:val="center"/>
        <w:textAlignment w:val="auto"/>
        <w:outlineLvl w:val="9"/>
        <w:rPr>
          <w:rFonts w:ascii="华文楷体" w:eastAsia="华文楷体"/>
          <w:color w:val="000000" w:themeColor="text1"/>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color w:val="000000" w:themeColor="text1"/>
          <w:sz w:val="32"/>
          <w:szCs w:val="32"/>
        </w:rPr>
      </w:pPr>
      <w:r>
        <w:rPr>
          <w:rFonts w:hint="eastAsia" w:ascii="仿宋" w:hAnsi="仿宋" w:eastAsia="仿宋"/>
          <w:color w:val="000000" w:themeColor="text1"/>
          <w:sz w:val="32"/>
          <w:szCs w:val="32"/>
          <w:lang w:eastAsia="zh-CN"/>
        </w:rPr>
        <w:t>为</w:t>
      </w:r>
      <w:r>
        <w:rPr>
          <w:rFonts w:hint="eastAsia" w:ascii="仿宋" w:hAnsi="仿宋" w:eastAsia="仿宋"/>
          <w:color w:val="000000" w:themeColor="text1"/>
          <w:sz w:val="32"/>
          <w:szCs w:val="32"/>
        </w:rPr>
        <w:t>贯彻落实</w:t>
      </w:r>
      <w:r>
        <w:rPr>
          <w:rFonts w:hint="eastAsia" w:ascii="仿宋" w:hAnsi="仿宋" w:eastAsia="仿宋"/>
          <w:color w:val="000000" w:themeColor="text1"/>
          <w:sz w:val="32"/>
          <w:szCs w:val="32"/>
          <w:lang w:eastAsia="zh-CN"/>
        </w:rPr>
        <w:t>市委市政府《关于全面落实预算绩效管理的实施意见》（石发﹝</w:t>
      </w:r>
      <w:r>
        <w:rPr>
          <w:rFonts w:hint="eastAsia" w:ascii="仿宋" w:hAnsi="仿宋" w:eastAsia="仿宋"/>
          <w:color w:val="000000" w:themeColor="text1"/>
          <w:sz w:val="32"/>
          <w:szCs w:val="32"/>
          <w:lang w:val="en-US" w:eastAsia="zh-CN"/>
        </w:rPr>
        <w:t>2019</w:t>
      </w:r>
      <w:r>
        <w:rPr>
          <w:rFonts w:hint="eastAsia" w:ascii="仿宋" w:hAnsi="仿宋" w:eastAsia="仿宋"/>
          <w:color w:val="000000" w:themeColor="text1"/>
          <w:sz w:val="32"/>
          <w:szCs w:val="32"/>
          <w:lang w:eastAsia="zh-CN"/>
        </w:rPr>
        <w:t>﹞</w:t>
      </w:r>
      <w:r>
        <w:rPr>
          <w:rFonts w:hint="eastAsia" w:ascii="仿宋" w:hAnsi="仿宋" w:eastAsia="仿宋"/>
          <w:color w:val="000000" w:themeColor="text1"/>
          <w:sz w:val="32"/>
          <w:szCs w:val="32"/>
          <w:lang w:val="en-US" w:eastAsia="zh-CN"/>
        </w:rPr>
        <w:t>8号</w:t>
      </w:r>
      <w:r>
        <w:rPr>
          <w:rFonts w:hint="eastAsia" w:ascii="仿宋" w:hAnsi="仿宋" w:eastAsia="仿宋"/>
          <w:color w:val="000000" w:themeColor="text1"/>
          <w:sz w:val="32"/>
          <w:szCs w:val="32"/>
          <w:lang w:eastAsia="zh-CN"/>
        </w:rPr>
        <w:t>）</w:t>
      </w:r>
      <w:r>
        <w:rPr>
          <w:rFonts w:hint="eastAsia" w:ascii="仿宋" w:hAnsi="仿宋" w:eastAsia="仿宋"/>
          <w:color w:val="000000" w:themeColor="text1"/>
          <w:sz w:val="32"/>
          <w:szCs w:val="32"/>
        </w:rPr>
        <w:t>文件精神，遵循“科学性、规范性、客观性和公正性”的原则，对</w:t>
      </w:r>
      <w:r>
        <w:rPr>
          <w:rFonts w:hint="eastAsia" w:ascii="仿宋" w:hAnsi="仿宋" w:eastAsia="仿宋"/>
          <w:color w:val="000000" w:themeColor="text1"/>
          <w:sz w:val="32"/>
          <w:szCs w:val="32"/>
          <w:lang w:eastAsia="zh-CN"/>
        </w:rPr>
        <w:t>中共石家庄市委政法委员会</w:t>
      </w:r>
      <w:r>
        <w:rPr>
          <w:rFonts w:hint="eastAsia" w:ascii="仿宋" w:hAnsi="仿宋" w:eastAsia="仿宋"/>
          <w:color w:val="000000" w:themeColor="text1"/>
          <w:sz w:val="32"/>
          <w:szCs w:val="32"/>
          <w:lang w:val="en-US" w:eastAsia="zh-CN"/>
        </w:rPr>
        <w:t>2021年部门</w:t>
      </w:r>
      <w:r>
        <w:rPr>
          <w:rFonts w:hint="eastAsia" w:ascii="仿宋" w:hAnsi="仿宋" w:eastAsia="仿宋"/>
          <w:color w:val="000000" w:themeColor="text1"/>
          <w:sz w:val="32"/>
          <w:szCs w:val="32"/>
          <w:lang w:eastAsia="zh-CN"/>
        </w:rPr>
        <w:t>整体支出情况</w:t>
      </w:r>
      <w:r>
        <w:rPr>
          <w:rFonts w:hint="eastAsia" w:ascii="仿宋" w:hAnsi="仿宋" w:eastAsia="仿宋"/>
          <w:color w:val="000000" w:themeColor="text1"/>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color w:val="000000" w:themeColor="text1"/>
          <w:sz w:val="32"/>
          <w:szCs w:val="36"/>
        </w:rPr>
      </w:pPr>
      <w:r>
        <w:rPr>
          <w:rFonts w:hint="eastAsia" w:ascii="仿宋" w:hAnsi="仿宋" w:eastAsia="仿宋"/>
          <w:color w:val="000000" w:themeColor="text1"/>
          <w:sz w:val="32"/>
          <w:szCs w:val="32"/>
        </w:rPr>
        <w:t xml:space="preserve">    </w:t>
      </w:r>
      <w:r>
        <w:rPr>
          <w:rFonts w:hint="eastAsia" w:ascii="黑体" w:hAnsi="黑体" w:eastAsia="黑体"/>
          <w:color w:val="000000" w:themeColor="text1"/>
          <w:sz w:val="32"/>
          <w:szCs w:val="32"/>
        </w:rPr>
        <w:t>一、</w:t>
      </w:r>
      <w:r>
        <w:rPr>
          <w:rFonts w:hint="eastAsia" w:ascii="黑体" w:hAnsi="黑体" w:eastAsia="黑体"/>
          <w:color w:val="000000" w:themeColor="text1"/>
          <w:sz w:val="32"/>
          <w:szCs w:val="32"/>
          <w:lang w:eastAsia="zh-CN"/>
        </w:rPr>
        <w:t>部门</w:t>
      </w:r>
      <w:r>
        <w:rPr>
          <w:rFonts w:hint="eastAsia" w:ascii="黑体" w:hAnsi="黑体" w:eastAsia="黑体"/>
          <w:color w:val="000000" w:themeColor="text1"/>
          <w:sz w:val="32"/>
          <w:szCs w:val="36"/>
        </w:rPr>
        <w:t>基本情况</w:t>
      </w:r>
    </w:p>
    <w:p>
      <w:pPr>
        <w:widowControl w:val="0"/>
        <w:wordWrap/>
        <w:adjustRightInd w:val="0"/>
        <w:snapToGrid w:val="0"/>
        <w:spacing w:line="560" w:lineRule="exact"/>
        <w:ind w:left="0" w:leftChars="0" w:right="0" w:firstLine="642" w:firstLineChars="200"/>
        <w:textAlignment w:val="auto"/>
        <w:outlineLvl w:val="9"/>
        <w:rPr>
          <w:rFonts w:ascii="仿宋" w:hAnsi="仿宋" w:eastAsia="仿宋" w:cs="楷体_GB2312"/>
          <w:b/>
          <w:bCs/>
          <w:color w:val="000000" w:themeColor="text1"/>
          <w:sz w:val="32"/>
          <w:szCs w:val="32"/>
        </w:rPr>
      </w:pPr>
      <w:r>
        <w:rPr>
          <w:rFonts w:hint="eastAsia" w:ascii="仿宋" w:hAnsi="仿宋" w:eastAsia="仿宋" w:cs="楷体_GB2312"/>
          <w:b/>
          <w:bCs/>
          <w:color w:val="000000" w:themeColor="text1"/>
          <w:sz w:val="32"/>
          <w:szCs w:val="32"/>
        </w:rPr>
        <w:t>（一）</w:t>
      </w:r>
      <w:r>
        <w:rPr>
          <w:rFonts w:hint="eastAsia" w:ascii="仿宋" w:hAnsi="仿宋" w:eastAsia="仿宋" w:cs="楷体_GB2312"/>
          <w:b/>
          <w:bCs/>
          <w:color w:val="000000" w:themeColor="text1"/>
          <w:sz w:val="32"/>
          <w:szCs w:val="32"/>
          <w:lang w:eastAsia="zh-CN"/>
        </w:rPr>
        <w:t>部门</w:t>
      </w:r>
      <w:r>
        <w:rPr>
          <w:rFonts w:hint="eastAsia" w:ascii="仿宋" w:hAnsi="仿宋" w:eastAsia="仿宋" w:cs="楷体_GB2312"/>
          <w:b/>
          <w:bCs/>
          <w:color w:val="000000" w:themeColor="text1"/>
          <w:sz w:val="32"/>
          <w:szCs w:val="32"/>
        </w:rPr>
        <w:t>概况</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 w:hAnsi="仿宋" w:eastAsia="仿宋"/>
          <w:color w:val="000000" w:themeColor="text1"/>
          <w:sz w:val="32"/>
          <w:szCs w:val="32"/>
          <w:lang w:eastAsia="zh-CN"/>
        </w:rPr>
      </w:pPr>
      <w:r>
        <w:rPr>
          <w:rFonts w:hint="eastAsia" w:ascii="仿宋_GB2312" w:hAnsi="仿宋_GB2312" w:eastAsia="仿宋_GB2312" w:cs="仿宋_GB2312"/>
          <w:color w:val="000000" w:themeColor="text1"/>
          <w:sz w:val="32"/>
          <w:szCs w:val="32"/>
          <w:lang w:val="en-US" w:eastAsia="zh-CN"/>
        </w:rPr>
        <w:t>中共石家庄市委政法委员会（简称市委政法委）为市委领导政法工作的职能部门，承担领导和指导全市政法部门维护国家政治安全、确保社会大局稳定、促进社会公平正义、保障人民安居乐业的职责任务，机构规格正处级，现有人员91人。内设执法监督科、综治督导科、信访科、队建指导科、维稳指导科、政治安全科、政法信息网络中心等19个内设机构。市扫黑办设在本委机关，经费由市委政法委代管。</w:t>
      </w:r>
    </w:p>
    <w:p>
      <w:pPr>
        <w:widowControl w:val="0"/>
        <w:numPr>
          <w:ilvl w:val="0"/>
          <w:numId w:val="1"/>
        </w:numPr>
        <w:wordWrap/>
        <w:adjustRightInd w:val="0"/>
        <w:snapToGrid w:val="0"/>
        <w:spacing w:line="560" w:lineRule="exact"/>
        <w:ind w:left="0" w:leftChars="0" w:right="0" w:firstLine="642" w:firstLineChars="200"/>
        <w:textAlignment w:val="auto"/>
        <w:outlineLvl w:val="9"/>
        <w:rPr>
          <w:rFonts w:hint="eastAsia" w:ascii="仿宋" w:hAnsi="仿宋" w:eastAsia="仿宋" w:cs="楷体_GB2312"/>
          <w:b/>
          <w:bCs/>
          <w:color w:val="000000" w:themeColor="text1"/>
          <w:sz w:val="32"/>
          <w:szCs w:val="32"/>
          <w:lang w:eastAsia="zh-CN"/>
        </w:rPr>
      </w:pPr>
      <w:r>
        <w:rPr>
          <w:rFonts w:hint="eastAsia" w:ascii="仿宋" w:hAnsi="仿宋" w:eastAsia="仿宋" w:cs="楷体_GB2312"/>
          <w:b/>
          <w:bCs/>
          <w:color w:val="000000" w:themeColor="text1"/>
          <w:sz w:val="32"/>
          <w:szCs w:val="32"/>
          <w:lang w:eastAsia="zh-CN"/>
        </w:rPr>
        <w:t>部门收支预决算情况</w:t>
      </w:r>
    </w:p>
    <w:p>
      <w:pPr>
        <w:widowControl w:val="0"/>
        <w:numPr>
          <w:ilvl w:val="0"/>
          <w:numId w:val="0"/>
        </w:numPr>
        <w:wordWrap/>
        <w:adjustRightInd w:val="0"/>
        <w:snapToGrid w:val="0"/>
        <w:spacing w:line="560" w:lineRule="exact"/>
        <w:ind w:right="0" w:rightChars="0" w:firstLine="640" w:firstLineChars="200"/>
        <w:textAlignment w:val="auto"/>
        <w:outlineLvl w:val="9"/>
        <w:rPr>
          <w:rFonts w:hint="default"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 xml:space="preserve"> 2021年度一般公共预算财政拨款预算数76640734.61，决算数76639472.66元，决算与预算基本保持一致。</w:t>
      </w:r>
    </w:p>
    <w:p>
      <w:pPr>
        <w:widowControl w:val="0"/>
        <w:numPr>
          <w:ilvl w:val="0"/>
          <w:numId w:val="1"/>
        </w:numPr>
        <w:wordWrap/>
        <w:adjustRightInd w:val="0"/>
        <w:snapToGrid w:val="0"/>
        <w:spacing w:line="560" w:lineRule="exact"/>
        <w:ind w:left="0" w:leftChars="0" w:right="0" w:firstLine="642" w:firstLineChars="200"/>
        <w:textAlignment w:val="auto"/>
        <w:outlineLvl w:val="9"/>
        <w:rPr>
          <w:rFonts w:hint="eastAsia" w:ascii="仿宋" w:hAnsi="仿宋" w:eastAsia="仿宋" w:cs="楷体_GB2312"/>
          <w:b/>
          <w:bCs/>
          <w:color w:val="000000" w:themeColor="text1"/>
          <w:sz w:val="32"/>
          <w:szCs w:val="32"/>
          <w:lang w:eastAsia="zh-CN"/>
        </w:rPr>
      </w:pPr>
      <w:r>
        <w:rPr>
          <w:rFonts w:hint="eastAsia" w:ascii="仿宋" w:hAnsi="仿宋" w:eastAsia="仿宋" w:cs="楷体_GB2312"/>
          <w:b/>
          <w:bCs/>
          <w:color w:val="000000" w:themeColor="text1"/>
          <w:sz w:val="32"/>
          <w:szCs w:val="32"/>
          <w:lang w:eastAsia="zh-CN"/>
        </w:rPr>
        <w:t>部门整体支出绩效目标、指标</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黑体" w:hAnsi="黑体" w:eastAsia="黑体"/>
          <w:color w:val="000000" w:themeColor="text1"/>
          <w:sz w:val="32"/>
          <w:szCs w:val="32"/>
        </w:rPr>
      </w:pPr>
      <w:r>
        <w:rPr>
          <w:rFonts w:hint="eastAsia" w:ascii="仿宋_GB2312" w:hAnsi="仿宋_GB2312" w:eastAsia="仿宋_GB2312" w:cs="仿宋_GB2312"/>
          <w:color w:val="000000" w:themeColor="text1"/>
          <w:sz w:val="32"/>
          <w:szCs w:val="32"/>
          <w:lang w:val="en-US" w:eastAsia="zh-CN"/>
        </w:rPr>
        <w:t>以习近平新时代中国特色社会主义思想和党的十九大精神为指导，持续把防范化解重大风险贯穿2021年工作始终，围绕服务和保障省会高质量发展，着力抓好司法改革、维护稳定、扫黑除恶、司法公正、社会治安综合治理、政法党建等重点工作，不断深化平安省会建设、法治石家庄建设、过硬队伍建设和政法智能化建设，全市城乡网格化管理覆盖率达不低于90%，安保任务完成率不低于80%，大要案破案率、审结率不低于95%，涉法涉诉案件化解率不低于85%，不断提高人民群众的获得感、幸福感、安全感。</w:t>
      </w:r>
    </w:p>
    <w:p>
      <w:pPr>
        <w:widowControl w:val="0"/>
        <w:wordWrap/>
        <w:adjustRightInd w:val="0"/>
        <w:snapToGrid w:val="0"/>
        <w:spacing w:line="560" w:lineRule="exact"/>
        <w:ind w:right="0" w:firstLine="640" w:firstLineChars="200"/>
        <w:textAlignment w:val="auto"/>
        <w:outlineLvl w:val="9"/>
        <w:rPr>
          <w:rFonts w:ascii="黑体" w:hAnsi="黑体" w:eastAsia="黑体"/>
          <w:color w:val="000000" w:themeColor="text1"/>
          <w:sz w:val="32"/>
          <w:szCs w:val="32"/>
        </w:rPr>
      </w:pPr>
      <w:r>
        <w:rPr>
          <w:rFonts w:hint="eastAsia" w:ascii="黑体" w:hAnsi="黑体" w:eastAsia="黑体"/>
          <w:color w:val="000000" w:themeColor="text1"/>
          <w:sz w:val="32"/>
          <w:szCs w:val="32"/>
        </w:rPr>
        <w:t>二、自评工作</w:t>
      </w:r>
      <w:r>
        <w:rPr>
          <w:rFonts w:hint="eastAsia" w:ascii="黑体" w:hAnsi="黑体" w:eastAsia="黑体"/>
          <w:color w:val="000000" w:themeColor="text1"/>
          <w:sz w:val="32"/>
          <w:szCs w:val="32"/>
          <w:lang w:eastAsia="zh-CN"/>
        </w:rPr>
        <w:t>开展</w:t>
      </w:r>
      <w:r>
        <w:rPr>
          <w:rFonts w:hint="eastAsia" w:ascii="黑体" w:hAnsi="黑体" w:eastAsia="黑体"/>
          <w:color w:val="000000" w:themeColor="text1"/>
          <w:sz w:val="32"/>
          <w:szCs w:val="32"/>
        </w:rPr>
        <w:t>情况</w:t>
      </w:r>
    </w:p>
    <w:p>
      <w:pPr>
        <w:widowControl w:val="0"/>
        <w:wordWrap/>
        <w:spacing w:line="560" w:lineRule="exact"/>
        <w:ind w:left="0" w:leftChars="0" w:right="0" w:firstLine="640"/>
        <w:textAlignment w:val="auto"/>
        <w:outlineLvl w:val="9"/>
        <w:rPr>
          <w:rFonts w:hint="eastAsia" w:ascii="仿宋" w:hAnsi="仿宋" w:eastAsia="仿宋" w:cs="楷体_GB2312"/>
          <w:b/>
          <w:bCs/>
          <w:color w:val="000000" w:themeColor="text1"/>
          <w:sz w:val="32"/>
          <w:szCs w:val="32"/>
        </w:rPr>
      </w:pPr>
      <w:r>
        <w:rPr>
          <w:rFonts w:hint="eastAsia" w:ascii="仿宋" w:hAnsi="仿宋" w:eastAsia="仿宋" w:cs="楷体_GB2312"/>
          <w:b/>
          <w:bCs/>
          <w:color w:val="000000" w:themeColor="text1"/>
          <w:sz w:val="32"/>
          <w:szCs w:val="32"/>
        </w:rPr>
        <w:t>（一）自评的组织工作</w:t>
      </w:r>
    </w:p>
    <w:p>
      <w:pPr>
        <w:widowControl w:val="0"/>
        <w:wordWrap/>
        <w:adjustRightInd w:val="0"/>
        <w:snapToGrid w:val="0"/>
        <w:spacing w:line="560" w:lineRule="exact"/>
        <w:ind w:left="0" w:leftChars="0" w:right="0" w:firstLine="640" w:firstLineChars="200"/>
        <w:textAlignment w:val="auto"/>
        <w:outlineLvl w:val="9"/>
        <w:rPr>
          <w:rFonts w:ascii="仿宋" w:hAnsi="仿宋" w:eastAsia="仿宋"/>
          <w:color w:val="000000" w:themeColor="text1"/>
          <w:sz w:val="32"/>
          <w:szCs w:val="32"/>
        </w:rPr>
      </w:pPr>
      <w:r>
        <w:rPr>
          <w:rFonts w:hint="eastAsia" w:ascii="仿宋" w:hAnsi="仿宋" w:eastAsia="仿宋"/>
          <w:color w:val="000000" w:themeColor="text1"/>
          <w:sz w:val="32"/>
          <w:szCs w:val="32"/>
          <w:lang w:val="en-US" w:eastAsia="zh-CN"/>
        </w:rPr>
        <w:t>认真梳理工作任务，科学确定分工安排，各副书记签批明确意见推动工作落实，办公室指定专人负责本委绩效自评工作，并主动与资金主管处室对接，确保绩效自评严谨、全面。</w:t>
      </w:r>
    </w:p>
    <w:p>
      <w:pPr>
        <w:widowControl w:val="0"/>
        <w:numPr>
          <w:ilvl w:val="0"/>
          <w:numId w:val="2"/>
        </w:numPr>
        <w:wordWrap/>
        <w:spacing w:line="560" w:lineRule="exact"/>
        <w:ind w:left="642" w:leftChars="0" w:right="0" w:firstLine="0" w:firstLineChars="0"/>
        <w:textAlignment w:val="auto"/>
        <w:outlineLvl w:val="9"/>
        <w:rPr>
          <w:rFonts w:hint="eastAsia" w:ascii="仿宋" w:hAnsi="仿宋" w:eastAsia="仿宋" w:cs="楷体_GB2312"/>
          <w:b/>
          <w:bCs/>
          <w:color w:val="000000" w:themeColor="text1"/>
          <w:sz w:val="32"/>
          <w:szCs w:val="32"/>
        </w:rPr>
      </w:pPr>
      <w:r>
        <w:rPr>
          <w:rFonts w:hint="eastAsia" w:ascii="仿宋" w:hAnsi="仿宋" w:eastAsia="仿宋" w:cs="楷体_GB2312"/>
          <w:b/>
          <w:bCs/>
          <w:color w:val="000000" w:themeColor="text1"/>
          <w:sz w:val="32"/>
          <w:szCs w:val="32"/>
        </w:rPr>
        <w:t>自评的方法和过程</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楷体_GB2312"/>
          <w:b/>
          <w:bCs/>
          <w:color w:val="000000" w:themeColor="text1"/>
          <w:sz w:val="32"/>
          <w:szCs w:val="32"/>
        </w:rPr>
      </w:pPr>
      <w:r>
        <w:rPr>
          <w:rFonts w:hint="eastAsia" w:ascii="仿宋" w:hAnsi="仿宋" w:eastAsia="仿宋"/>
          <w:color w:val="000000" w:themeColor="text1"/>
          <w:sz w:val="32"/>
          <w:szCs w:val="32"/>
          <w:lang w:val="en-US" w:eastAsia="zh-CN"/>
        </w:rPr>
        <w:t>根据石财监〔202</w:t>
      </w:r>
      <w:r>
        <w:rPr>
          <w:rFonts w:hint="default" w:ascii="仿宋" w:hAnsi="仿宋" w:eastAsia="仿宋"/>
          <w:color w:val="000000" w:themeColor="text1"/>
          <w:sz w:val="32"/>
          <w:szCs w:val="32"/>
          <w:lang w:val="en" w:eastAsia="zh-CN"/>
        </w:rPr>
        <w:t>2</w:t>
      </w:r>
      <w:r>
        <w:rPr>
          <w:rFonts w:hint="eastAsia" w:ascii="仿宋" w:hAnsi="仿宋" w:eastAsia="仿宋"/>
          <w:color w:val="000000" w:themeColor="text1"/>
          <w:sz w:val="32"/>
          <w:szCs w:val="32"/>
          <w:lang w:val="en-US" w:eastAsia="zh-CN"/>
        </w:rPr>
        <w:t>〕1号以及石财绩〔2020〕5号文件精神，各处室将分管资金对照自评表从产出指标、效果指标、满意度指标等方面进行客观评价，真实反映资金使用效益。逐项对照预算项目绩效表各指标进行自评，同时，在实践中进一步梳理各指标设置是否合理，为来年预算编制和绩效自评打下基础。</w:t>
      </w:r>
    </w:p>
    <w:p>
      <w:pPr>
        <w:widowControl w:val="0"/>
        <w:wordWrap/>
        <w:spacing w:line="560" w:lineRule="exact"/>
        <w:ind w:left="0" w:leftChars="0" w:right="0"/>
        <w:textAlignment w:val="auto"/>
        <w:outlineLvl w:val="9"/>
        <w:rPr>
          <w:rFonts w:hint="eastAsia" w:ascii="黑体" w:hAnsi="黑体" w:eastAsia="黑体"/>
          <w:b/>
          <w:bCs/>
          <w:color w:val="000000" w:themeColor="text1"/>
          <w:sz w:val="32"/>
          <w:szCs w:val="32"/>
          <w:lang w:eastAsia="zh-CN"/>
        </w:rPr>
      </w:pPr>
      <w:r>
        <w:rPr>
          <w:rFonts w:hint="eastAsia" w:ascii="仿宋" w:hAnsi="仿宋" w:eastAsia="仿宋" w:cs="楷体_GB2312"/>
          <w:b/>
          <w:bCs/>
          <w:color w:val="000000" w:themeColor="text1"/>
          <w:sz w:val="32"/>
          <w:szCs w:val="32"/>
        </w:rPr>
        <w:t xml:space="preserve">    </w:t>
      </w:r>
      <w:r>
        <w:rPr>
          <w:rFonts w:hint="eastAsia" w:ascii="仿宋" w:hAnsi="仿宋" w:eastAsia="仿宋"/>
          <w:b/>
          <w:bCs/>
          <w:color w:val="000000" w:themeColor="text1"/>
          <w:sz w:val="32"/>
          <w:szCs w:val="32"/>
        </w:rPr>
        <w:t xml:space="preserve"> </w:t>
      </w:r>
      <w:r>
        <w:rPr>
          <w:rFonts w:hint="eastAsia" w:ascii="黑体" w:hAnsi="黑体" w:eastAsia="黑体"/>
          <w:color w:val="000000" w:themeColor="text1"/>
          <w:sz w:val="32"/>
          <w:szCs w:val="32"/>
        </w:rPr>
        <w:t>三、</w:t>
      </w:r>
      <w:r>
        <w:rPr>
          <w:rFonts w:hint="eastAsia" w:ascii="黑体" w:hAnsi="黑体" w:eastAsia="黑体"/>
          <w:color w:val="000000" w:themeColor="text1"/>
          <w:sz w:val="32"/>
          <w:szCs w:val="32"/>
          <w:lang w:eastAsia="zh-CN"/>
        </w:rPr>
        <w:t>部门整体支出</w:t>
      </w:r>
      <w:r>
        <w:rPr>
          <w:rFonts w:hint="eastAsia" w:ascii="黑体" w:hAnsi="黑体" w:eastAsia="黑体"/>
          <w:color w:val="000000" w:themeColor="text1"/>
          <w:sz w:val="32"/>
          <w:szCs w:val="32"/>
        </w:rPr>
        <w:t>绩效</w:t>
      </w:r>
      <w:r>
        <w:rPr>
          <w:rFonts w:hint="eastAsia" w:ascii="黑体" w:hAnsi="黑体" w:eastAsia="黑体"/>
          <w:color w:val="000000" w:themeColor="text1"/>
          <w:sz w:val="32"/>
          <w:szCs w:val="32"/>
          <w:lang w:eastAsia="zh-CN"/>
        </w:rPr>
        <w:t>目标实现情况及指标分析</w:t>
      </w:r>
    </w:p>
    <w:p>
      <w:pPr>
        <w:widowControl w:val="0"/>
        <w:numPr>
          <w:ilvl w:val="0"/>
          <w:numId w:val="3"/>
        </w:numPr>
        <w:wordWrap/>
        <w:spacing w:line="560" w:lineRule="exact"/>
        <w:ind w:left="0" w:leftChars="0" w:right="0" w:firstLine="642" w:firstLineChars="200"/>
        <w:textAlignment w:val="auto"/>
        <w:outlineLvl w:val="9"/>
        <w:rPr>
          <w:rFonts w:ascii="仿宋" w:hAnsi="仿宋" w:eastAsia="仿宋" w:cs="楷体_GB2312"/>
          <w:b/>
          <w:bCs/>
          <w:color w:val="000000" w:themeColor="text1"/>
          <w:sz w:val="32"/>
          <w:szCs w:val="32"/>
        </w:rPr>
      </w:pPr>
      <w:r>
        <w:rPr>
          <w:rFonts w:hint="eastAsia" w:ascii="仿宋" w:hAnsi="仿宋" w:eastAsia="仿宋" w:cs="楷体_GB2312"/>
          <w:b/>
          <w:bCs/>
          <w:color w:val="000000" w:themeColor="text1"/>
          <w:sz w:val="32"/>
          <w:szCs w:val="32"/>
          <w:lang w:eastAsia="zh-CN"/>
        </w:rPr>
        <w:t>总体绩效目标实现情况</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963" w:firstLineChars="3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楷体_GB2312" w:hAnsi="楷体_GB2312" w:eastAsia="楷体_GB2312" w:cs="楷体_GB2312"/>
          <w:b/>
          <w:bCs/>
          <w:color w:val="000000" w:themeColor="text1"/>
          <w:sz w:val="32"/>
          <w:szCs w:val="32"/>
          <w:lang w:val="en-US" w:eastAsia="zh-CN"/>
        </w:rPr>
        <w:t>一是坚持政治引领，党对政法工作的绝对领导得到新加强。</w:t>
      </w:r>
      <w:r>
        <w:rPr>
          <w:rFonts w:hint="eastAsia" w:ascii="仿宋_GB2312" w:hAnsi="仿宋_GB2312" w:eastAsia="仿宋_GB2312" w:cs="仿宋_GB2312"/>
          <w:color w:val="000000" w:themeColor="text1"/>
          <w:sz w:val="32"/>
          <w:szCs w:val="32"/>
          <w:lang w:val="en-US" w:eastAsia="zh-CN"/>
        </w:rPr>
        <w:t>做好新时代政法工作，最根本保证就在于坚持党对政法工作的绝对领导。进一步增强“四个意识”、坚定“四个自信”、做到“两个维护”，继续把党史总结、学习、教育、宣传引向深入。</w:t>
      </w:r>
      <w:r>
        <w:rPr>
          <w:rFonts w:hint="default" w:ascii="仿宋_GB2312" w:hAnsi="仿宋_GB2312" w:eastAsia="仿宋_GB2312" w:cs="仿宋_GB2312"/>
          <w:color w:val="000000" w:themeColor="text1"/>
          <w:sz w:val="32"/>
          <w:szCs w:val="32"/>
          <w:lang w:val="en-US" w:eastAsia="zh-CN"/>
        </w:rPr>
        <w:t>先后提交市委常委会专题研究</w:t>
      </w:r>
      <w:r>
        <w:rPr>
          <w:rFonts w:hint="eastAsia" w:ascii="仿宋_GB2312" w:hAnsi="仿宋_GB2312" w:eastAsia="仿宋_GB2312" w:cs="仿宋_GB2312"/>
          <w:color w:val="000000" w:themeColor="text1"/>
          <w:sz w:val="32"/>
          <w:szCs w:val="32"/>
          <w:lang w:val="en-US" w:eastAsia="zh-CN"/>
        </w:rPr>
        <w:t>平安省会建设、法制建设、</w:t>
      </w:r>
      <w:r>
        <w:rPr>
          <w:rFonts w:hint="default" w:ascii="仿宋_GB2312" w:hAnsi="仿宋_GB2312" w:eastAsia="仿宋_GB2312" w:cs="仿宋_GB2312"/>
          <w:color w:val="000000" w:themeColor="text1"/>
          <w:sz w:val="32"/>
          <w:szCs w:val="32"/>
          <w:lang w:val="en-US" w:eastAsia="zh-CN"/>
        </w:rPr>
        <w:t>综治维稳以及扫黑除恶专项斗争等工作</w:t>
      </w:r>
      <w:r>
        <w:rPr>
          <w:rFonts w:hint="eastAsia" w:ascii="仿宋_GB2312" w:hAnsi="仿宋_GB2312" w:eastAsia="仿宋_GB2312" w:cs="仿宋_GB2312"/>
          <w:color w:val="000000" w:themeColor="text1"/>
          <w:sz w:val="32"/>
          <w:szCs w:val="32"/>
          <w:lang w:val="en-US" w:eastAsia="zh-CN"/>
        </w:rPr>
        <w:t>，</w:t>
      </w:r>
      <w:r>
        <w:rPr>
          <w:rFonts w:hint="default" w:ascii="仿宋_GB2312" w:hAnsi="仿宋_GB2312" w:eastAsia="仿宋_GB2312" w:cs="仿宋_GB2312"/>
          <w:color w:val="000000" w:themeColor="text1"/>
          <w:sz w:val="32"/>
          <w:szCs w:val="32"/>
          <w:lang w:val="en-US" w:eastAsia="zh-CN"/>
        </w:rPr>
        <w:t>组织</w:t>
      </w:r>
      <w:r>
        <w:rPr>
          <w:rFonts w:hint="eastAsia" w:ascii="仿宋_GB2312" w:hAnsi="仿宋_GB2312" w:eastAsia="仿宋_GB2312" w:cs="仿宋_GB2312"/>
          <w:color w:val="000000" w:themeColor="text1"/>
          <w:sz w:val="32"/>
          <w:szCs w:val="32"/>
          <w:lang w:val="en-US" w:eastAsia="zh-CN"/>
        </w:rPr>
        <w:t>召开全市政法工作暨扫黑除恶专项斗争会议、市委</w:t>
      </w:r>
      <w:r>
        <w:rPr>
          <w:rFonts w:hint="default" w:ascii="仿宋_GB2312" w:hAnsi="仿宋_GB2312" w:eastAsia="仿宋_GB2312" w:cs="仿宋_GB2312"/>
          <w:color w:val="000000" w:themeColor="text1"/>
          <w:sz w:val="32"/>
          <w:szCs w:val="32"/>
          <w:lang w:val="en-US" w:eastAsia="zh-CN"/>
        </w:rPr>
        <w:t>政法委员会全体（扩大）会议</w:t>
      </w:r>
      <w:r>
        <w:rPr>
          <w:rFonts w:hint="eastAsia" w:ascii="仿宋_GB2312" w:hAnsi="仿宋_GB2312" w:eastAsia="仿宋_GB2312" w:cs="仿宋_GB2312"/>
          <w:color w:val="000000" w:themeColor="text1"/>
          <w:sz w:val="32"/>
          <w:szCs w:val="32"/>
          <w:lang w:val="en-US" w:eastAsia="zh-CN"/>
        </w:rPr>
        <w:t>以及各类</w:t>
      </w:r>
      <w:r>
        <w:rPr>
          <w:rFonts w:hint="default" w:ascii="仿宋_GB2312" w:hAnsi="仿宋_GB2312" w:eastAsia="仿宋_GB2312" w:cs="仿宋_GB2312"/>
          <w:color w:val="000000" w:themeColor="text1"/>
          <w:sz w:val="32"/>
          <w:szCs w:val="32"/>
          <w:lang w:val="en-US" w:eastAsia="zh-CN"/>
        </w:rPr>
        <w:t>专项工作调度推进会议</w:t>
      </w:r>
      <w:r>
        <w:rPr>
          <w:rFonts w:hint="eastAsia" w:ascii="仿宋_GB2312" w:hAnsi="仿宋_GB2312" w:eastAsia="仿宋_GB2312" w:cs="仿宋_GB2312"/>
          <w:color w:val="000000" w:themeColor="text1"/>
          <w:sz w:val="32"/>
          <w:szCs w:val="32"/>
          <w:lang w:val="en-US" w:eastAsia="zh-CN"/>
        </w:rPr>
        <w:t>（含视频调度会）</w:t>
      </w:r>
      <w:r>
        <w:rPr>
          <w:rFonts w:hint="default" w:ascii="仿宋_GB2312" w:hAnsi="仿宋_GB2312" w:eastAsia="仿宋_GB2312" w:cs="仿宋_GB2312"/>
          <w:color w:val="000000" w:themeColor="text1"/>
          <w:sz w:val="32"/>
          <w:szCs w:val="32"/>
          <w:lang w:val="en-US" w:eastAsia="zh-CN"/>
        </w:rPr>
        <w:t>，</w:t>
      </w:r>
      <w:r>
        <w:rPr>
          <w:rFonts w:hint="eastAsia" w:ascii="仿宋_GB2312" w:hAnsi="仿宋_GB2312" w:eastAsia="仿宋_GB2312" w:cs="仿宋_GB2312"/>
          <w:color w:val="000000" w:themeColor="text1"/>
          <w:sz w:val="32"/>
          <w:szCs w:val="32"/>
          <w:lang w:val="en-US" w:eastAsia="zh-CN"/>
        </w:rPr>
        <w:t>认真贯彻落实《中国共产党政法工作条例》，探索党对政法工作的绝对领导的实现形式。</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2"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楷体_GB2312" w:hAnsi="楷体_GB2312" w:eastAsia="楷体_GB2312" w:cs="楷体_GB2312"/>
          <w:b/>
          <w:bCs/>
          <w:color w:val="000000" w:themeColor="text1"/>
          <w:sz w:val="32"/>
          <w:szCs w:val="32"/>
          <w:lang w:val="en-US" w:eastAsia="zh-CN"/>
        </w:rPr>
        <w:t>二是坚持大局为重，服务“六稳”、“六保”彰显新作为。</w:t>
      </w:r>
      <w:r>
        <w:rPr>
          <w:rFonts w:hint="eastAsia" w:ascii="仿宋_GB2312" w:hAnsi="仿宋_GB2312" w:eastAsia="仿宋_GB2312" w:cs="仿宋_GB2312"/>
          <w:color w:val="000000" w:themeColor="text1"/>
          <w:sz w:val="32"/>
          <w:szCs w:val="32"/>
          <w:lang w:val="en-US" w:eastAsia="zh-CN"/>
        </w:rPr>
        <w:t>依法严厉打击涉疫情违法犯罪，妥善化解涉疫情矛盾纠纷，强化受困企业司法保护，为统筹疫情防控和经济社会发展营造了安全稳定的社会环境。在完成疫情防控任务的同时，扎实做好政法系统内部防控，实现了政法机关、监管场所“零输入”“零感染”。</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2"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楷体_GB2312" w:hAnsi="楷体_GB2312" w:eastAsia="楷体_GB2312" w:cs="楷体_GB2312"/>
          <w:b/>
          <w:bCs/>
          <w:color w:val="000000" w:themeColor="text1"/>
          <w:sz w:val="32"/>
          <w:szCs w:val="32"/>
          <w:lang w:val="en-US" w:eastAsia="zh-CN"/>
        </w:rPr>
        <w:t>三是坚持安全至上，维护政治安全和社会稳定能力实现新提升。</w:t>
      </w:r>
      <w:r>
        <w:rPr>
          <w:rFonts w:hint="eastAsia" w:ascii="仿宋_GB2312" w:hAnsi="仿宋_GB2312" w:eastAsia="仿宋_GB2312" w:cs="仿宋_GB2312"/>
          <w:color w:val="000000" w:themeColor="text1"/>
          <w:sz w:val="32"/>
          <w:szCs w:val="32"/>
          <w:lang w:val="en-US" w:eastAsia="zh-CN"/>
        </w:rPr>
        <w:t>认真贯彻落实总体国家安全观，持续深化反渗透、反间谍、反恐怖、反邪教斗争，圆满完成教育转化去存量攻坚目标，全市继续保持政治安全大好局面。以扫黑除恶专项斗争常态化为龙头，扎实开展“金盾风暴”专项行动。坚持维稳与维权结合、化解矛盾与依法治访并重，创新前期预警与分级响应、现场处置与分流稳控等工作机制，强化联防联控联动，统筹推进涉众、涉房、涉军等利益诉求群体维稳，超前化解利益诉求群体进京赴省聚集事件，圆满完成重大政治活动、重要敏感节点维稳安保任务，维稳了省会稳定，拱卫了首都安全。（详细信息涉密，略）</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2"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楷体_GB2312" w:hAnsi="楷体_GB2312" w:eastAsia="楷体_GB2312" w:cs="楷体_GB2312"/>
          <w:b/>
          <w:bCs/>
          <w:color w:val="000000" w:themeColor="text1"/>
          <w:sz w:val="32"/>
          <w:szCs w:val="32"/>
          <w:lang w:val="en-US" w:eastAsia="zh-CN"/>
        </w:rPr>
        <w:t>四是坚持深挖根治，扫黑除恶专项斗争取得战果。</w:t>
      </w:r>
      <w:r>
        <w:rPr>
          <w:rFonts w:hint="eastAsia" w:ascii="仿宋_GB2312" w:hAnsi="仿宋_GB2312" w:eastAsia="仿宋_GB2312" w:cs="仿宋_GB2312"/>
          <w:color w:val="000000" w:themeColor="text1"/>
          <w:sz w:val="32"/>
          <w:szCs w:val="32"/>
          <w:lang w:val="en-US" w:eastAsia="zh-CN"/>
        </w:rPr>
        <w:t>聚焦“无黑”省会、平安石家庄目标，扎实推进“六清”工作，专项斗争圆满收官，灭了黑恶势力嚣张气焰，长了人民群众士气底气，全市社会治安秩序明显改善，基层政治、社会、经济生态好转。群众安全感达到98.02%，较2020年提升7.26个百分点，群众对扫黑除恶斗争满意度达到92.68%，较2020年提升6.77个百分点。（具体信息涉密，略）</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2" w:firstLineChars="200"/>
        <w:jc w:val="both"/>
        <w:textAlignment w:val="auto"/>
        <w:outlineLvl w:val="9"/>
        <w:rPr>
          <w:rFonts w:hint="eastAsia" w:ascii="仿宋_GB2312" w:hAnsi="仿宋_GB2312" w:eastAsia="仿宋_GB2312" w:cs="仿宋_GB2312"/>
          <w:b w:val="0"/>
          <w:bCs w:val="0"/>
          <w:color w:val="000000" w:themeColor="text1"/>
          <w:sz w:val="32"/>
          <w:szCs w:val="32"/>
          <w:lang w:val="en-US" w:eastAsia="zh-CN"/>
        </w:rPr>
      </w:pPr>
      <w:r>
        <w:rPr>
          <w:rFonts w:hint="eastAsia" w:ascii="楷体_GB2312" w:hAnsi="楷体_GB2312" w:eastAsia="楷体_GB2312" w:cs="楷体_GB2312"/>
          <w:b/>
          <w:bCs/>
          <w:color w:val="000000" w:themeColor="text1"/>
          <w:sz w:val="32"/>
          <w:szCs w:val="32"/>
          <w:lang w:val="en-US" w:eastAsia="zh-CN"/>
        </w:rPr>
        <w:t>五是坚持创新驱动，市域社会治理现代化工作成效显著。</w:t>
      </w:r>
      <w:r>
        <w:rPr>
          <w:rFonts w:hint="eastAsia" w:ascii="仿宋_GB2312" w:hAnsi="仿宋_GB2312" w:eastAsia="仿宋_GB2312" w:cs="仿宋_GB2312"/>
          <w:b w:val="0"/>
          <w:bCs w:val="0"/>
          <w:color w:val="000000" w:themeColor="text1"/>
          <w:sz w:val="32"/>
          <w:szCs w:val="32"/>
          <w:lang w:val="en-US" w:eastAsia="zh-CN"/>
        </w:rPr>
        <w:t>以共建共治共享为导向，着力完善“五个体制”，构建社会治理“同心圆”。完善“八个一”督导机制、建立“三个八”项目体系，积极推广“百姓说事网”“群众说事点”等做法；以预测预警预防为重点，建立健全“五个体系”，织密风险防控“安全网”。市县两级全部建立诉调对接中心，县乡两级全部建立“三调联动”指挥中心；以有力有序有效为标准，充分发挥“五个作用”，点燃基层治理“新引擎”。推行“基层党建+”工作模式、开展“法律九进”活动、健全“五个一”标准，打造了一批以正定塔元庄为代表的民主法治示范村。以“七无”和“三无三百”为目标，全面推进“平安社区”、“平安村”创建，有效打通服务群众最后一公里；以调和化解和解为举措，变社会矛盾纠纷“中转站”为问题“终点站”。在建设县级社会矛盾纠纷多元化解中心的同时，依托乡、村级综治中心，高质量抓好乡级矛盾纠纷多元化解工作站和村级社会矛盾纠纷调解室建设，真正实现小事不出村、大事不出乡、矛盾不上交。</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2" w:firstLineChars="200"/>
        <w:jc w:val="both"/>
        <w:textAlignment w:val="auto"/>
        <w:outlineLvl w:val="9"/>
        <w:rPr>
          <w:rFonts w:hint="eastAsia" w:ascii="仿宋_GB2312" w:hAnsi="仿宋_GB2312" w:eastAsia="仿宋_GB2312" w:cs="仿宋_GB2312"/>
          <w:b w:val="0"/>
          <w:bCs w:val="0"/>
          <w:color w:val="000000" w:themeColor="text1"/>
          <w:sz w:val="32"/>
          <w:szCs w:val="32"/>
          <w:lang w:val="en-US" w:eastAsia="zh-CN"/>
        </w:rPr>
      </w:pPr>
      <w:r>
        <w:rPr>
          <w:rFonts w:hint="eastAsia" w:ascii="楷体_GB2312" w:hAnsi="楷体_GB2312" w:eastAsia="楷体_GB2312" w:cs="楷体_GB2312"/>
          <w:b/>
          <w:bCs/>
          <w:color w:val="000000" w:themeColor="text1"/>
          <w:sz w:val="32"/>
          <w:szCs w:val="32"/>
          <w:lang w:val="en-US" w:eastAsia="zh-CN"/>
        </w:rPr>
        <w:t>六是坚持科技赋能，智慧政法建设迈上新台阶。</w:t>
      </w:r>
      <w:r>
        <w:rPr>
          <w:rFonts w:hint="eastAsia" w:ascii="仿宋_GB2312" w:hAnsi="仿宋_GB2312" w:eastAsia="仿宋_GB2312" w:cs="仿宋_GB2312"/>
          <w:b w:val="0"/>
          <w:bCs w:val="0"/>
          <w:color w:val="000000" w:themeColor="text1"/>
          <w:sz w:val="32"/>
          <w:szCs w:val="32"/>
          <w:lang w:val="en-US" w:eastAsia="zh-CN"/>
        </w:rPr>
        <w:t>坚持深化改革与科技应用深度融合，智慧政法建设纵深发展。推进政法机关跨部门大数据办案平台、政法信息化三维实战平台建设，市县乡三级综治中心全部联通，实现风险区域、治安隐患、重点人群的实时动态监测研判，提升了预测预警预防水平和应急处置能力。</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2" w:firstLineChars="200"/>
        <w:jc w:val="both"/>
        <w:textAlignment w:val="auto"/>
        <w:outlineLvl w:val="9"/>
        <w:rPr>
          <w:rFonts w:ascii="仿宋" w:hAnsi="仿宋" w:eastAsia="仿宋" w:cs="楷体_GB2312"/>
          <w:b/>
          <w:bCs/>
          <w:color w:val="000000" w:themeColor="text1"/>
          <w:sz w:val="32"/>
          <w:szCs w:val="32"/>
        </w:rPr>
      </w:pPr>
      <w:r>
        <w:rPr>
          <w:rFonts w:hint="eastAsia" w:ascii="楷体_GB2312" w:hAnsi="楷体_GB2312" w:eastAsia="楷体_GB2312" w:cs="楷体_GB2312"/>
          <w:b/>
          <w:bCs/>
          <w:color w:val="000000" w:themeColor="text1"/>
          <w:sz w:val="32"/>
          <w:szCs w:val="32"/>
          <w:lang w:val="en-US" w:eastAsia="zh-CN"/>
        </w:rPr>
        <w:t>七是坚持铸魂强基，过硬政法队伍建设呈现新局面。</w:t>
      </w:r>
      <w:r>
        <w:rPr>
          <w:rFonts w:hint="eastAsia" w:ascii="仿宋_GB2312" w:hAnsi="仿宋_GB2312" w:eastAsia="仿宋_GB2312" w:cs="仿宋_GB2312"/>
          <w:color w:val="000000" w:themeColor="text1"/>
          <w:sz w:val="32"/>
          <w:szCs w:val="32"/>
          <w:lang w:val="en-US" w:eastAsia="zh-CN"/>
        </w:rPr>
        <w:t>通过开展政法队伍教育整顿，扎实推进“牢政治忠诚、清除害群之马、整治顽瘴痼疾、弘扬英模精神”四项任务，确保习近平新时代中国特色社会主义思想和习近平法治思想入心入脑，广大政法干警忠诚、纯洁、可靠。深入推进“最美政法干警（政法委员）”推选展示活动，弘扬主旋律，</w:t>
      </w:r>
      <w:bookmarkStart w:id="0" w:name="_GoBack"/>
      <w:bookmarkEnd w:id="0"/>
      <w:r>
        <w:rPr>
          <w:rFonts w:hint="eastAsia" w:ascii="仿宋_GB2312" w:hAnsi="仿宋_GB2312" w:eastAsia="仿宋_GB2312" w:cs="仿宋_GB2312"/>
          <w:color w:val="000000" w:themeColor="text1"/>
          <w:sz w:val="32"/>
          <w:szCs w:val="32"/>
          <w:lang w:val="en-US" w:eastAsia="zh-CN"/>
        </w:rPr>
        <w:t>凝聚正能量。坚持严管和厚爱相结合，积极落实从优待警政策，对牺牲特困伤残干警进行资助，政法干警荣誉感、归属感、获得感大幅提升。</w:t>
      </w:r>
    </w:p>
    <w:p>
      <w:pPr>
        <w:widowControl w:val="0"/>
        <w:numPr>
          <w:ilvl w:val="0"/>
          <w:numId w:val="0"/>
        </w:numPr>
        <w:wordWrap/>
        <w:spacing w:line="560" w:lineRule="exact"/>
        <w:ind w:right="0" w:rightChars="0" w:firstLine="321" w:firstLineChars="100"/>
        <w:textAlignment w:val="auto"/>
        <w:outlineLvl w:val="9"/>
        <w:rPr>
          <w:rFonts w:hint="eastAsia" w:ascii="仿宋" w:hAnsi="仿宋" w:eastAsia="仿宋" w:cs="楷体_GB2312"/>
          <w:b/>
          <w:bCs/>
          <w:color w:val="000000" w:themeColor="text1"/>
          <w:sz w:val="32"/>
          <w:szCs w:val="32"/>
          <w:lang w:eastAsia="zh-CN"/>
        </w:rPr>
      </w:pPr>
      <w:r>
        <w:rPr>
          <w:rFonts w:hint="eastAsia" w:ascii="仿宋" w:hAnsi="仿宋" w:eastAsia="仿宋" w:cs="楷体_GB2312"/>
          <w:b/>
          <w:bCs/>
          <w:color w:val="000000" w:themeColor="text1"/>
          <w:sz w:val="32"/>
          <w:szCs w:val="32"/>
          <w:lang w:eastAsia="zh-CN"/>
        </w:rPr>
        <w:t>（二）分项绩效目标实现情况及指标分析</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扫黑除恶专项经费，主要用于了支持市直公检法部门和各县市区扫黑除恶斗争，保障了案件办理需要，确保了我市扫黑除恶专项斗争顺利开展，切实扫除黑恶势力，人民群众安全感、满意度明显提升，人民安居乐业，社会安定有序。市扫黑工作成效显著，贡献突出。项目绩效目标全部完成，项目自评100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扫黑除恶专项斗争经费（追加），主要用于严厉打击涉黑涉恶犯罪组织，不断优化社会治安环境，维护社会和谐稳定。项目绩效目标全部完成，项目自评100分。</w:t>
      </w:r>
    </w:p>
    <w:p>
      <w:pPr>
        <w:keepNext w:val="0"/>
        <w:keepLines w:val="0"/>
        <w:pageBreakBefore w:val="0"/>
        <w:widowControl w:val="0"/>
        <w:kinsoku/>
        <w:wordWrap/>
        <w:overflowPunct/>
        <w:topLinePunct w:val="0"/>
        <w:autoSpaceDE/>
        <w:autoSpaceDN/>
        <w:bidi w:val="0"/>
        <w:adjustRightInd/>
        <w:snapToGrid/>
        <w:spacing w:line="570" w:lineRule="exact"/>
        <w:ind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大要案准备金，主要用于统筹保障全市大要案办理需要，以及贫困地区政法部门的各项办案任务，全年各级各项任务顺利完成，有效打击了各种犯罪活动，维护了正常的社会秩序、经济秩序和国家安全。项目绩效目标全部完成，项目自评100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涉法涉诉专项经费，主要通过开展案件评查、执法检查、督导考核、责任追究等制度措施，使涉法涉诉非正常访案件明显下降，确保中央和省、市挂账督办案件及时得到化解，政法干警办案水平不断提高，涉法涉诉案件办理机制不断完善，进京、赴省访明显减少，有效维护了社会和谐稳定。项目绩效目标全部完成，项目自评100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国家司法救助金，主要用于对收集到的全市各级政法部门提出的拟救助案件进行审核，报经石家庄市司法救助领导小组会议研究，确定具体救助方案，最终对受到侵害伤害而无法获得有效赔偿的案件当事人进行救助，帮助其摆脱生活困境。体现党的关心关怀和社会公平正义，促进了社会和谐稳定。项目绩效目标全部完成，项目自评100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牺牲伤残特困干警资助资金，用于依据《石家庄市政法系统因公牺牲伤残特困干警资助资金管理办法》，对符合资助条件的1名因公牺牲，2名因公伤残，151名特殊困难干警进行了资助，使干警或家属家庭生活得到改善，解决干警后顾之忧，从而激发了广大政法干警履职尽责、干事创业，更好维护社会和谐稳定的主动性、积极性。项目绩效目标全部完成，项目自评96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政法队伍教育整顿专项经费，主要用于着力整治群众反映强烈、影响严格执法、公正司法的顽瘴痼疾，扎实推进“筑牢政治忠诚、清除害群之马、整治顽瘴痼疾、弘扬英模”四项任务，确保习近平新时代中国特色社会主义思想和习近平法治思想入心入脑，广大政法干警忠诚、纯洁、可靠。项目绩效目标全部完成，项目自评100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采购疫情隔离点公共区域违规行为筛查系统经费，主要用于疫情防控工作，对集中隔离医学观察期内被隔离人员进出隔离房间、互相串门聊天、扎堆聚餐、探望亲属等违反有关隔离管理规定的监控数据进行视频捕捉和分析，确保解除隔离人员安全健康，严防导致社会交叉感染。项目绩效目标全部完成，项目自评100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政法三级网光纤租赁经费，主要用于向广电公司支付政法三级网的传输光网络租赁费用，以保证政法三级网节点间联通畅通，传输网络安全稳定运行。项目绩效目标全部完成，项目自评分别为100分。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政法信息化三维实战平台，是为提升我市社会治理现代化能力和水平，推进我市政法工作与信息化、智能化深度融合而立项的信息化项目，对</w:t>
      </w:r>
      <w:r>
        <w:rPr>
          <w:rFonts w:hint="eastAsia" w:ascii="仿宋_GB2312" w:hAnsi="仿宋_GB2312" w:eastAsia="仿宋_GB2312" w:cs="仿宋_GB2312"/>
          <w:b w:val="0"/>
          <w:bCs w:val="0"/>
          <w:color w:val="000000" w:themeColor="text1"/>
          <w:sz w:val="32"/>
          <w:szCs w:val="32"/>
          <w:lang w:val="en-US" w:eastAsia="zh-CN"/>
        </w:rPr>
        <w:t>风险区域、治安隐患、重点人群进行实时动态监测研判，有限提升预测预警预防水平和应急处置能力，目前</w:t>
      </w:r>
      <w:r>
        <w:rPr>
          <w:rFonts w:hint="eastAsia" w:ascii="仿宋_GB2312" w:hAnsi="仿宋_GB2312" w:eastAsia="仿宋_GB2312" w:cs="仿宋_GB2312"/>
          <w:color w:val="000000" w:themeColor="text1"/>
          <w:sz w:val="32"/>
          <w:szCs w:val="32"/>
          <w:lang w:val="en-US" w:eastAsia="zh-CN"/>
        </w:rPr>
        <w:t>项目绩效目标全部完成，项目自评100分。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社会治安综合治理专项经费，主要用于提升平安建设水平，维护社会稳定；夯实综治工作基础，培树工作典型；提升综治维稳工作能力，增强人民群众获得感、幸福感、安全感；完成重大活动和敏感时间节点安保任务；预防减少不稳定因素的发生，有效化解不稳定隐患和群体性事件提升平安建设水平、市域社会综合治理能力，包括基层综治能力建设、典型宣传表彰、人员配备培训、信息化管控手段探索、维稳安保防控等，以不断巩固完善多元共治的社会治理格局。项目绩效目标全部完成，项目自评100分。</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仿宋" w:hAnsi="仿宋" w:eastAsia="仿宋" w:cs="楷体_GB2312"/>
          <w:b/>
          <w:bCs/>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综治中心人员经费，是用于向市级综治中心劳务派遣人员支付薪酬，保障市级综治中心正常运转，全面提升综治中心实战应用水平。项目绩效目标全部完成，项目自评100分。</w:t>
      </w:r>
    </w:p>
    <w:p>
      <w:pPr>
        <w:widowControl w:val="0"/>
        <w:wordWrap/>
        <w:spacing w:line="560" w:lineRule="exact"/>
        <w:ind w:left="0" w:leftChars="0" w:right="0" w:firstLine="640" w:firstLineChars="200"/>
        <w:textAlignment w:val="auto"/>
        <w:outlineLvl w:val="9"/>
        <w:rPr>
          <w:rFonts w:ascii="黑体" w:hAnsi="黑体" w:eastAsia="黑体"/>
          <w:color w:val="000000" w:themeColor="text1"/>
          <w:sz w:val="32"/>
          <w:szCs w:val="32"/>
        </w:rPr>
      </w:pPr>
      <w:r>
        <w:rPr>
          <w:rFonts w:hint="eastAsia" w:ascii="黑体" w:hAnsi="黑体" w:eastAsia="黑体"/>
          <w:color w:val="000000" w:themeColor="text1"/>
          <w:sz w:val="32"/>
          <w:szCs w:val="32"/>
        </w:rPr>
        <w:t>四、评价结论和评价等级</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一年来，本委秉承科学、务实、严格的管理理念，坚持专款专用，加强计划管理和过程监控，年初本委设定总体绩效目标和分项绩效目标全部完成，自评优秀。</w:t>
      </w:r>
    </w:p>
    <w:p>
      <w:pPr>
        <w:widowControl w:val="0"/>
        <w:wordWrap/>
        <w:spacing w:line="560" w:lineRule="exact"/>
        <w:ind w:left="0" w:leftChars="0" w:right="0" w:firstLine="640" w:firstLineChars="200"/>
        <w:textAlignment w:val="auto"/>
        <w:outlineLvl w:val="9"/>
        <w:rPr>
          <w:rFonts w:ascii="黑体" w:hAnsi="黑体" w:eastAsia="黑体"/>
          <w:color w:val="000000" w:themeColor="text1"/>
          <w:sz w:val="32"/>
          <w:szCs w:val="32"/>
        </w:rPr>
      </w:pPr>
      <w:r>
        <w:rPr>
          <w:rFonts w:hint="eastAsia" w:ascii="黑体" w:hAnsi="黑体" w:eastAsia="黑体"/>
          <w:color w:val="000000" w:themeColor="text1"/>
          <w:sz w:val="32"/>
          <w:szCs w:val="32"/>
        </w:rPr>
        <w:t>五、存在的问题及改进措施</w:t>
      </w:r>
    </w:p>
    <w:p>
      <w:pPr>
        <w:widowControl w:val="0"/>
        <w:wordWrap/>
        <w:spacing w:line="560" w:lineRule="exact"/>
        <w:ind w:left="0" w:leftChars="0" w:right="0" w:firstLine="642" w:firstLineChars="200"/>
        <w:textAlignment w:val="auto"/>
        <w:outlineLvl w:val="9"/>
        <w:rPr>
          <w:rFonts w:hint="eastAsia" w:ascii="仿宋" w:hAnsi="仿宋" w:eastAsia="仿宋"/>
          <w:b/>
          <w:bCs/>
          <w:color w:val="000000" w:themeColor="text1"/>
          <w:sz w:val="32"/>
          <w:szCs w:val="32"/>
        </w:rPr>
      </w:pPr>
      <w:r>
        <w:rPr>
          <w:rFonts w:hint="eastAsia" w:ascii="仿宋" w:hAnsi="仿宋" w:eastAsia="仿宋"/>
          <w:b/>
          <w:bCs/>
          <w:color w:val="000000" w:themeColor="text1"/>
          <w:sz w:val="32"/>
          <w:szCs w:val="32"/>
        </w:rPr>
        <w:t>（一）存在的主要问题</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 w:hAnsi="仿宋" w:eastAsia="仿宋"/>
          <w:b/>
          <w:bCs/>
          <w:color w:val="000000" w:themeColor="text1"/>
          <w:sz w:val="32"/>
          <w:szCs w:val="32"/>
        </w:rPr>
      </w:pPr>
      <w:r>
        <w:rPr>
          <w:rFonts w:hint="eastAsia" w:ascii="仿宋_GB2312" w:hAnsi="仿宋_GB2312" w:eastAsia="仿宋_GB2312" w:cs="仿宋_GB2312"/>
          <w:color w:val="000000" w:themeColor="text1"/>
          <w:sz w:val="32"/>
          <w:szCs w:val="32"/>
          <w:lang w:val="en-US" w:eastAsia="zh-CN"/>
        </w:rPr>
        <w:t>通过本次绩效自评的实践检验，各项目绩效指标选取科学合理，涵盖全面完整，自评操作性强。但工作人员受思想认知局限和政法工作突发性强、不确定因素多等突出特点影响，部分项目指标设置还存在定性评价多定量评价少、指标设置定量评价难、对细节把握不够精准等问题。</w:t>
      </w:r>
    </w:p>
    <w:p>
      <w:pPr>
        <w:widowControl w:val="0"/>
        <w:numPr>
          <w:ilvl w:val="0"/>
          <w:numId w:val="3"/>
        </w:numPr>
        <w:wordWrap/>
        <w:spacing w:line="560" w:lineRule="exact"/>
        <w:ind w:left="0" w:leftChars="0" w:right="0" w:firstLine="642" w:firstLineChars="200"/>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 w:hAnsi="仿宋" w:eastAsia="仿宋"/>
          <w:b/>
          <w:bCs/>
          <w:color w:val="000000" w:themeColor="text1"/>
          <w:sz w:val="32"/>
          <w:szCs w:val="32"/>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right="0" w:rightChars="0" w:firstLine="481" w:firstLineChars="150"/>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 w:hAnsi="仿宋" w:eastAsia="仿宋"/>
          <w:b/>
          <w:bCs/>
          <w:color w:val="000000" w:themeColor="text1"/>
          <w:sz w:val="32"/>
          <w:szCs w:val="32"/>
          <w:lang w:val="en-US" w:eastAsia="zh-CN"/>
        </w:rPr>
        <w:t xml:space="preserve"> </w:t>
      </w:r>
      <w:r>
        <w:rPr>
          <w:rFonts w:hint="eastAsia" w:ascii="仿宋_GB2312" w:hAnsi="仿宋_GB2312" w:eastAsia="仿宋_GB2312" w:cs="仿宋_GB2312"/>
          <w:color w:val="000000" w:themeColor="text1"/>
          <w:sz w:val="32"/>
          <w:szCs w:val="32"/>
          <w:lang w:val="en-US" w:eastAsia="zh-CN"/>
        </w:rPr>
        <w:t>针对这些问题，我们将在今后工作中总结旧经验，梳理新情况，融入新思想，不断完善和优化绩效评价指标和标准，提升绩效评价的全面性、科学性和严肃性，进而规范和加强经费的绩效管理，达到深化绩效理念，强化责任约束，优化资源配置，实现闭环管理的目标，使有限的资金发挥更大的作用，推动政法事业的科学健康发展。</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1、继续加强制度建设。进一步修订《市委政法委机关财务管理办法》，补充完善绩效管理、绩效评价相应要求，将绩效理念融入项目经费（资金）管理全过程，通过明确责任分工，理顺管理和评价机制，进一步加强财务与业务工作的衔接，形成齐抓共管、多方联动的工作格局。</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2、不断提高能力素质。组织相关人员，积极参加市财政统一组织的各类绩效管理相关培训，增强绩效管理的理论水平和操作能力。边干边学，学用相促，在实践中探索增强绩效管理实效的方法，总结提炼适宜的指标和标准，健全评价结果反馈改善机制，提高相关人员能力素质。</w:t>
      </w:r>
    </w:p>
    <w:p>
      <w:pPr>
        <w:keepNext w:val="0"/>
        <w:keepLines w:val="0"/>
        <w:pageBreakBefore w:val="0"/>
        <w:widowControl w:val="0"/>
        <w:kinsoku/>
        <w:wordWrap/>
        <w:overflowPunct/>
        <w:topLinePunct w:val="0"/>
        <w:autoSpaceDE/>
        <w:autoSpaceDN/>
        <w:bidi w:val="0"/>
        <w:adjustRightInd/>
        <w:snapToGrid/>
        <w:spacing w:line="570" w:lineRule="exact"/>
        <w:ind w:left="0" w:leftChars="0" w:right="0" w:rightChars="0" w:firstLine="640" w:firstLineChars="200"/>
        <w:jc w:val="both"/>
        <w:textAlignment w:val="auto"/>
        <w:outlineLvl w:val="9"/>
        <w:rPr>
          <w:rFonts w:hint="default" w:ascii="仿宋" w:hAnsi="仿宋" w:eastAsia="仿宋"/>
          <w:b/>
          <w:bCs/>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3、持续深化宣传教育。充分利用预算编报、绩效自评、日常管理等环节，不断宣传预算绩效管理理念，推广更加务实高效的“绩效”文化，为更进一步深化预算项目绩效管理，创造良好的认知环境、舆论氛围和群众基础。</w:t>
      </w:r>
    </w:p>
    <w:p>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color w:val="000000" w:themeColor="text1"/>
          <w:sz w:val="32"/>
          <w:szCs w:val="32"/>
          <w:lang w:val="en-US" w:eastAsia="zh-CN"/>
        </w:rPr>
      </w:pPr>
      <w:r>
        <w:rPr>
          <w:rFonts w:hint="eastAsia" w:ascii="黑体" w:hAnsi="黑体" w:eastAsia="黑体" w:cs="黑体"/>
          <w:color w:val="000000" w:themeColor="text1"/>
          <w:sz w:val="32"/>
          <w:szCs w:val="32"/>
          <w:lang w:val="en-US" w:eastAsia="zh-CN"/>
        </w:rPr>
        <w:t xml:space="preserve">                         </w:t>
      </w:r>
    </w:p>
    <w:p>
      <w:pPr>
        <w:widowControl w:val="0"/>
        <w:wordWrap/>
        <w:adjustRightInd w:val="0"/>
        <w:snapToGrid w:val="0"/>
        <w:spacing w:line="560" w:lineRule="exact"/>
        <w:ind w:left="0" w:leftChars="0" w:right="0" w:firstLine="4320" w:firstLineChars="1350"/>
        <w:textAlignment w:val="auto"/>
        <w:outlineLvl w:val="9"/>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lang w:val="en-US" w:eastAsia="zh-CN"/>
        </w:rPr>
        <w:t xml:space="preserve"> 中共石家庄市委政法委员会</w:t>
      </w:r>
    </w:p>
    <w:p>
      <w:pPr>
        <w:widowControl w:val="0"/>
        <w:wordWrap/>
        <w:adjustRightInd w:val="0"/>
        <w:snapToGrid w:val="0"/>
        <w:spacing w:line="560" w:lineRule="exact"/>
        <w:ind w:left="0" w:leftChars="0" w:right="0" w:firstLine="640" w:firstLineChars="200"/>
        <w:textAlignment w:val="auto"/>
        <w:outlineLvl w:val="9"/>
        <w:rPr>
          <w:rFonts w:hint="default" w:ascii="仿宋" w:hAnsi="仿宋" w:eastAsia="仿宋"/>
          <w:color w:val="000000" w:themeColor="text1"/>
          <w:lang w:val="en-US" w:eastAsia="zh-CN"/>
        </w:rPr>
      </w:pPr>
      <w:r>
        <w:rPr>
          <w:rFonts w:hint="eastAsia" w:ascii="仿宋_GB2312" w:hAnsi="仿宋_GB2312" w:eastAsia="仿宋_GB2312" w:cs="仿宋_GB2312"/>
          <w:color w:val="000000" w:themeColor="text1"/>
          <w:sz w:val="32"/>
          <w:szCs w:val="32"/>
          <w:lang w:val="en-US" w:eastAsia="zh-CN"/>
        </w:rPr>
        <w:t xml:space="preserve">                              2022年3月17日</w:t>
      </w: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7A"/>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楷体">
    <w:panose1 w:val="02010609060101010101"/>
    <w:charset w:val="86"/>
    <w:family w:val="auto"/>
    <w:pitch w:val="default"/>
    <w:sig w:usb0="800002BF" w:usb1="38CF7CFA" w:usb2="00000016" w:usb3="00000000" w:csb0="00040001" w:csb1="00000000"/>
  </w:font>
  <w:font w:name="Nimbus Roman No9 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黑体"/>
        <w:kern w:val="2"/>
        <w:sz w:val="18"/>
        <w:szCs w:val="22"/>
        <w:lang w:val="en-US" w:eastAsia="zh-CN" w:bidi="ar-SA"/>
      </w:rPr>
      <w:pict>
        <v:shape id="Quad Arrow 3073" o:spid="_x0000_s4097" o:spt="202" type="#_x0000_t202" style="position:absolute;left:0pt;margin-top:0pt;height:144pt;width:144pt;mso-position-horizontal:center;mso-position-horizontal-relative:margin;mso-wrap-style:none;z-index:25165824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FC2C96"/>
    <w:multiLevelType w:val="singleLevel"/>
    <w:tmpl w:val="9FFC2C96"/>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7E6C1F"/>
    <w:rsid w:val="00AF566A"/>
    <w:rsid w:val="00B6553A"/>
    <w:rsid w:val="01B104CA"/>
    <w:rsid w:val="02106AB0"/>
    <w:rsid w:val="02B43A28"/>
    <w:rsid w:val="046F331E"/>
    <w:rsid w:val="07956271"/>
    <w:rsid w:val="09721397"/>
    <w:rsid w:val="0BB63BED"/>
    <w:rsid w:val="0EB97A43"/>
    <w:rsid w:val="0EBD2122"/>
    <w:rsid w:val="0F214EAE"/>
    <w:rsid w:val="113C1759"/>
    <w:rsid w:val="11B71E6A"/>
    <w:rsid w:val="13FF5C8D"/>
    <w:rsid w:val="15DB2023"/>
    <w:rsid w:val="17F1E2C3"/>
    <w:rsid w:val="17F8CBD7"/>
    <w:rsid w:val="18F09969"/>
    <w:rsid w:val="1AAF0063"/>
    <w:rsid w:val="1BE140DE"/>
    <w:rsid w:val="1CD75CE9"/>
    <w:rsid w:val="1EBE73E2"/>
    <w:rsid w:val="1F7E6D74"/>
    <w:rsid w:val="1FD7ADB3"/>
    <w:rsid w:val="1FF8B6DB"/>
    <w:rsid w:val="248C197D"/>
    <w:rsid w:val="252959AF"/>
    <w:rsid w:val="277A6671"/>
    <w:rsid w:val="27F30610"/>
    <w:rsid w:val="292D35B7"/>
    <w:rsid w:val="2B2F3EC2"/>
    <w:rsid w:val="2F6FAC3D"/>
    <w:rsid w:val="2FDABD1C"/>
    <w:rsid w:val="2FFF2EC1"/>
    <w:rsid w:val="33EB6CFF"/>
    <w:rsid w:val="35A12947"/>
    <w:rsid w:val="369B4BDA"/>
    <w:rsid w:val="37387040"/>
    <w:rsid w:val="37D2ADE7"/>
    <w:rsid w:val="37DF7550"/>
    <w:rsid w:val="37FBF558"/>
    <w:rsid w:val="39EF07E3"/>
    <w:rsid w:val="3AF706EC"/>
    <w:rsid w:val="3B625C0A"/>
    <w:rsid w:val="3B8322BC"/>
    <w:rsid w:val="3BBF7FA5"/>
    <w:rsid w:val="3BBFD148"/>
    <w:rsid w:val="3BBFF94A"/>
    <w:rsid w:val="3BDF61A0"/>
    <w:rsid w:val="3BE0DED2"/>
    <w:rsid w:val="3BEF5A73"/>
    <w:rsid w:val="3BF70076"/>
    <w:rsid w:val="3BFDC009"/>
    <w:rsid w:val="3CEE1963"/>
    <w:rsid w:val="3CFF932C"/>
    <w:rsid w:val="3D7F4257"/>
    <w:rsid w:val="3DED84EC"/>
    <w:rsid w:val="3DEFC4BE"/>
    <w:rsid w:val="3DFE5F66"/>
    <w:rsid w:val="3DFF73E1"/>
    <w:rsid w:val="3E1E4491"/>
    <w:rsid w:val="3E5FA681"/>
    <w:rsid w:val="3EFE9371"/>
    <w:rsid w:val="3FAFD71E"/>
    <w:rsid w:val="3FCABC58"/>
    <w:rsid w:val="3FECEAA1"/>
    <w:rsid w:val="3FF76AE0"/>
    <w:rsid w:val="3FFBD770"/>
    <w:rsid w:val="3FFFE642"/>
    <w:rsid w:val="414BAAB5"/>
    <w:rsid w:val="43B7D500"/>
    <w:rsid w:val="46FE1028"/>
    <w:rsid w:val="47EE1225"/>
    <w:rsid w:val="4BFF369C"/>
    <w:rsid w:val="4C9C27FE"/>
    <w:rsid w:val="4CED828D"/>
    <w:rsid w:val="4DFF607B"/>
    <w:rsid w:val="4F3C6E14"/>
    <w:rsid w:val="512260B4"/>
    <w:rsid w:val="52BD6ACB"/>
    <w:rsid w:val="55537534"/>
    <w:rsid w:val="561A74F1"/>
    <w:rsid w:val="579A18FA"/>
    <w:rsid w:val="57FB70E2"/>
    <w:rsid w:val="597244E8"/>
    <w:rsid w:val="59DF6A12"/>
    <w:rsid w:val="5AEFE9F9"/>
    <w:rsid w:val="5B7E49B2"/>
    <w:rsid w:val="5B8900D2"/>
    <w:rsid w:val="5BB92E82"/>
    <w:rsid w:val="5C3AC909"/>
    <w:rsid w:val="5DB78379"/>
    <w:rsid w:val="5DED3EBC"/>
    <w:rsid w:val="5DFBFDC0"/>
    <w:rsid w:val="5EB71C30"/>
    <w:rsid w:val="5EDF78D5"/>
    <w:rsid w:val="5EE96988"/>
    <w:rsid w:val="5EFEA45F"/>
    <w:rsid w:val="5F5F930B"/>
    <w:rsid w:val="5F7F3818"/>
    <w:rsid w:val="5FBFDF2D"/>
    <w:rsid w:val="5FDD22CA"/>
    <w:rsid w:val="5FF74FC6"/>
    <w:rsid w:val="5FF7642E"/>
    <w:rsid w:val="5FFA7B30"/>
    <w:rsid w:val="5FFFC6D7"/>
    <w:rsid w:val="61F23DDB"/>
    <w:rsid w:val="61F70FF3"/>
    <w:rsid w:val="63FFE1A6"/>
    <w:rsid w:val="657A9E7F"/>
    <w:rsid w:val="66AF0CE5"/>
    <w:rsid w:val="66FBCAF7"/>
    <w:rsid w:val="677732AD"/>
    <w:rsid w:val="67AF96BD"/>
    <w:rsid w:val="68BF2C92"/>
    <w:rsid w:val="6AC537CF"/>
    <w:rsid w:val="6D9A9339"/>
    <w:rsid w:val="6E5B14A6"/>
    <w:rsid w:val="6F653FFF"/>
    <w:rsid w:val="6F77F143"/>
    <w:rsid w:val="6FD9E999"/>
    <w:rsid w:val="6FF3725F"/>
    <w:rsid w:val="6FFE2A46"/>
    <w:rsid w:val="7075BFB5"/>
    <w:rsid w:val="711B255E"/>
    <w:rsid w:val="71E95BF0"/>
    <w:rsid w:val="72FBFACF"/>
    <w:rsid w:val="737FA0D1"/>
    <w:rsid w:val="73EB3A3B"/>
    <w:rsid w:val="745F3C28"/>
    <w:rsid w:val="75FF227C"/>
    <w:rsid w:val="76D7D908"/>
    <w:rsid w:val="76DF5D48"/>
    <w:rsid w:val="772E77EF"/>
    <w:rsid w:val="77376275"/>
    <w:rsid w:val="774B24D6"/>
    <w:rsid w:val="7777FA2E"/>
    <w:rsid w:val="77BB9825"/>
    <w:rsid w:val="77EF29CB"/>
    <w:rsid w:val="77EF8041"/>
    <w:rsid w:val="797B993C"/>
    <w:rsid w:val="79BFBE31"/>
    <w:rsid w:val="79C73416"/>
    <w:rsid w:val="79F93A0A"/>
    <w:rsid w:val="79FEECBE"/>
    <w:rsid w:val="7A4FA9D2"/>
    <w:rsid w:val="7A5EF699"/>
    <w:rsid w:val="7A7D13EB"/>
    <w:rsid w:val="7AD64FBC"/>
    <w:rsid w:val="7AF7A137"/>
    <w:rsid w:val="7AFBB775"/>
    <w:rsid w:val="7B4B6106"/>
    <w:rsid w:val="7B6F51B8"/>
    <w:rsid w:val="7B7B3E13"/>
    <w:rsid w:val="7BB51E06"/>
    <w:rsid w:val="7BE77902"/>
    <w:rsid w:val="7BEDD64C"/>
    <w:rsid w:val="7BFB22D9"/>
    <w:rsid w:val="7C387F7C"/>
    <w:rsid w:val="7C6F25CB"/>
    <w:rsid w:val="7CC71B2F"/>
    <w:rsid w:val="7CDFB499"/>
    <w:rsid w:val="7CF40DB8"/>
    <w:rsid w:val="7D1F9C52"/>
    <w:rsid w:val="7D3CE151"/>
    <w:rsid w:val="7DEB3594"/>
    <w:rsid w:val="7DFA1F9A"/>
    <w:rsid w:val="7DFC79D6"/>
    <w:rsid w:val="7DFF9141"/>
    <w:rsid w:val="7E2BDEB5"/>
    <w:rsid w:val="7ED72456"/>
    <w:rsid w:val="7EFD0B70"/>
    <w:rsid w:val="7F09AF82"/>
    <w:rsid w:val="7F1F7B56"/>
    <w:rsid w:val="7F2FDDC0"/>
    <w:rsid w:val="7F4A105A"/>
    <w:rsid w:val="7F6ECB63"/>
    <w:rsid w:val="7F7D1CCC"/>
    <w:rsid w:val="7F9D22A8"/>
    <w:rsid w:val="7F9EDC90"/>
    <w:rsid w:val="7FAF2EA3"/>
    <w:rsid w:val="7FB94D12"/>
    <w:rsid w:val="7FBC3118"/>
    <w:rsid w:val="7FBF8C78"/>
    <w:rsid w:val="7FBFBA0D"/>
    <w:rsid w:val="7FBFCBA0"/>
    <w:rsid w:val="7FDB159C"/>
    <w:rsid w:val="7FDEDCAA"/>
    <w:rsid w:val="7FDF545E"/>
    <w:rsid w:val="7FE50671"/>
    <w:rsid w:val="7FE83423"/>
    <w:rsid w:val="7FED2D0C"/>
    <w:rsid w:val="7FF1F4D2"/>
    <w:rsid w:val="7FF649D3"/>
    <w:rsid w:val="7FF66E4B"/>
    <w:rsid w:val="7FF93471"/>
    <w:rsid w:val="7FFE19D5"/>
    <w:rsid w:val="89FFF77B"/>
    <w:rsid w:val="8BFA1F45"/>
    <w:rsid w:val="8BFF56FB"/>
    <w:rsid w:val="96FBC51F"/>
    <w:rsid w:val="96FE77D6"/>
    <w:rsid w:val="97EA822C"/>
    <w:rsid w:val="991F005A"/>
    <w:rsid w:val="9BF911CB"/>
    <w:rsid w:val="9CB64391"/>
    <w:rsid w:val="9CFD9F98"/>
    <w:rsid w:val="9CFF43AB"/>
    <w:rsid w:val="9FDBAE37"/>
    <w:rsid w:val="9FEC4C6E"/>
    <w:rsid w:val="A0F823A5"/>
    <w:rsid w:val="ABBA6CE0"/>
    <w:rsid w:val="AFFFACEF"/>
    <w:rsid w:val="B2EDF8AC"/>
    <w:rsid w:val="B5F991A3"/>
    <w:rsid w:val="B768600F"/>
    <w:rsid w:val="B7878D98"/>
    <w:rsid w:val="B7EEA353"/>
    <w:rsid w:val="B7FFF9C2"/>
    <w:rsid w:val="BA7FEC2E"/>
    <w:rsid w:val="BAE587D3"/>
    <w:rsid w:val="BBBF1C2D"/>
    <w:rsid w:val="BBEDAC98"/>
    <w:rsid w:val="BCEF551E"/>
    <w:rsid w:val="BDECE128"/>
    <w:rsid w:val="BDEF34D6"/>
    <w:rsid w:val="BDF3E78D"/>
    <w:rsid w:val="BDFFDA1C"/>
    <w:rsid w:val="BEFCA716"/>
    <w:rsid w:val="BF7F640A"/>
    <w:rsid w:val="BF7F79B6"/>
    <w:rsid w:val="BFCED7E7"/>
    <w:rsid w:val="BFCFACC8"/>
    <w:rsid w:val="BFEF1914"/>
    <w:rsid w:val="BFF7F33E"/>
    <w:rsid w:val="BFFB18A1"/>
    <w:rsid w:val="BFFD8CA2"/>
    <w:rsid w:val="BFFDD9AB"/>
    <w:rsid w:val="BFFF0FC3"/>
    <w:rsid w:val="C3EFFB8A"/>
    <w:rsid w:val="C5FE6939"/>
    <w:rsid w:val="C6FE37F4"/>
    <w:rsid w:val="CCBF5439"/>
    <w:rsid w:val="CD57AF3D"/>
    <w:rsid w:val="CE6783BC"/>
    <w:rsid w:val="D039DE1F"/>
    <w:rsid w:val="D6BEB021"/>
    <w:rsid w:val="D77D7952"/>
    <w:rsid w:val="D7BD7EB8"/>
    <w:rsid w:val="D7BFF88E"/>
    <w:rsid w:val="D7E7C594"/>
    <w:rsid w:val="D8FB5EF3"/>
    <w:rsid w:val="D9DFDC51"/>
    <w:rsid w:val="DBF127E3"/>
    <w:rsid w:val="DBF47D0F"/>
    <w:rsid w:val="DBFBD1E3"/>
    <w:rsid w:val="DC1E9AB5"/>
    <w:rsid w:val="DCFF5FD0"/>
    <w:rsid w:val="DD3AF6B0"/>
    <w:rsid w:val="DD477193"/>
    <w:rsid w:val="DD6D51A7"/>
    <w:rsid w:val="DD6F9F78"/>
    <w:rsid w:val="DDC7B028"/>
    <w:rsid w:val="DDF79BC4"/>
    <w:rsid w:val="DDFD274E"/>
    <w:rsid w:val="DDFD5E05"/>
    <w:rsid w:val="DEAB23DF"/>
    <w:rsid w:val="DF5F5B46"/>
    <w:rsid w:val="DF77FE02"/>
    <w:rsid w:val="DF7F409A"/>
    <w:rsid w:val="DFBF645B"/>
    <w:rsid w:val="DFDD5CB4"/>
    <w:rsid w:val="DFF3D929"/>
    <w:rsid w:val="DFFD43D4"/>
    <w:rsid w:val="E5A3A02D"/>
    <w:rsid w:val="E5FFB76D"/>
    <w:rsid w:val="E6EFB76A"/>
    <w:rsid w:val="E6FF86F5"/>
    <w:rsid w:val="E7FF297F"/>
    <w:rsid w:val="E9CF0ED6"/>
    <w:rsid w:val="EABAA895"/>
    <w:rsid w:val="ED7F43F2"/>
    <w:rsid w:val="EDB7F0F8"/>
    <w:rsid w:val="EDBDA906"/>
    <w:rsid w:val="EDFE425D"/>
    <w:rsid w:val="EE657A38"/>
    <w:rsid w:val="EEAF701C"/>
    <w:rsid w:val="EF3A65D0"/>
    <w:rsid w:val="EF6F192F"/>
    <w:rsid w:val="EF73EEC0"/>
    <w:rsid w:val="EF9FEB6C"/>
    <w:rsid w:val="EFBF932D"/>
    <w:rsid w:val="EFF13716"/>
    <w:rsid w:val="F1768205"/>
    <w:rsid w:val="F2AB6DDE"/>
    <w:rsid w:val="F3BF181E"/>
    <w:rsid w:val="F3FBE8AE"/>
    <w:rsid w:val="F65FC7E6"/>
    <w:rsid w:val="F6A79CAC"/>
    <w:rsid w:val="F6DF1378"/>
    <w:rsid w:val="F6FAA569"/>
    <w:rsid w:val="F73EFBD9"/>
    <w:rsid w:val="F73F4CC8"/>
    <w:rsid w:val="F7BD5EDF"/>
    <w:rsid w:val="F7BF5530"/>
    <w:rsid w:val="F7BF553B"/>
    <w:rsid w:val="F7ED904B"/>
    <w:rsid w:val="F7EF15D5"/>
    <w:rsid w:val="F7F73DA6"/>
    <w:rsid w:val="F7F7DCFC"/>
    <w:rsid w:val="F7FE2B65"/>
    <w:rsid w:val="F9772128"/>
    <w:rsid w:val="F9EF84E2"/>
    <w:rsid w:val="FA517CCE"/>
    <w:rsid w:val="FA72C7CB"/>
    <w:rsid w:val="FB4F932B"/>
    <w:rsid w:val="FBB98462"/>
    <w:rsid w:val="FBBA0BC4"/>
    <w:rsid w:val="FBF3084A"/>
    <w:rsid w:val="FC1F5DC0"/>
    <w:rsid w:val="FC3ECDA3"/>
    <w:rsid w:val="FCDF4022"/>
    <w:rsid w:val="FCF7EFD8"/>
    <w:rsid w:val="FCFD1D49"/>
    <w:rsid w:val="FCFF4477"/>
    <w:rsid w:val="FD69030B"/>
    <w:rsid w:val="FD7B11AC"/>
    <w:rsid w:val="FDBF475B"/>
    <w:rsid w:val="FDFE90E0"/>
    <w:rsid w:val="FE7A384F"/>
    <w:rsid w:val="FE7F5E48"/>
    <w:rsid w:val="FEB50E34"/>
    <w:rsid w:val="FEBB81DB"/>
    <w:rsid w:val="FEBE7AF0"/>
    <w:rsid w:val="FEDD419A"/>
    <w:rsid w:val="FEEB3902"/>
    <w:rsid w:val="FEEE04F9"/>
    <w:rsid w:val="FEEFFF5E"/>
    <w:rsid w:val="FEFFA08D"/>
    <w:rsid w:val="FF2B7DD9"/>
    <w:rsid w:val="FF4F5EEA"/>
    <w:rsid w:val="FF5DD43D"/>
    <w:rsid w:val="FF6F800E"/>
    <w:rsid w:val="FF776C87"/>
    <w:rsid w:val="FF792A4C"/>
    <w:rsid w:val="FF871F97"/>
    <w:rsid w:val="FF9F5216"/>
    <w:rsid w:val="FFBBB38E"/>
    <w:rsid w:val="FFBC6DC8"/>
    <w:rsid w:val="FFBF417D"/>
    <w:rsid w:val="FFD92065"/>
    <w:rsid w:val="FFDB93D7"/>
    <w:rsid w:val="FFE713BA"/>
    <w:rsid w:val="FFE98B06"/>
    <w:rsid w:val="FFEBCC4B"/>
    <w:rsid w:val="FFF7A558"/>
    <w:rsid w:val="FFFB4377"/>
    <w:rsid w:val="FFFF724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8</TotalTime>
  <ScaleCrop>false</ScaleCrop>
  <LinksUpToDate>false</LinksUpToDate>
  <CharactersWithSpaces>0</CharactersWithSpaces>
  <Application>WPS Office_11.8.2.10251_F1E327BC-269C-435d-A152-05C5408002CA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2020-02-06T03:46:00Z</dcterms:created>
  <dc:creator>欣欣大人</dc:creator>
  <cp:lastModifiedBy>greatwall</cp:lastModifiedBy>
  <cp:lastPrinted>2022-01-21T07:24:00Z</cp:lastPrinted>
  <dcterms:modified xsi:type="dcterms:W3CDTF">2023-05-04T11:23:58Z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2052-11.8.2.10251</vt:lpwstr>
  </property>
</Properties>
</file>