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0" w:lineRule="exact"/>
        <w:ind w:right="0"/>
        <w:jc w:val="center"/>
        <w:textAlignment w:val="auto"/>
        <w:outlineLvl w:val="9"/>
        <w:rPr>
          <w:rFonts w:hint="eastAsia" w:asciiTheme="majorEastAsia" w:hAnsiTheme="majorEastAsia" w:eastAsiaTheme="majorEastAsia" w:cstheme="majorEastAsia"/>
          <w:b/>
          <w:bCs/>
          <w:color w:val="auto"/>
          <w:sz w:val="44"/>
          <w:szCs w:val="44"/>
          <w:lang w:val="en-US" w:eastAsia="zh-CN"/>
        </w:rPr>
      </w:pPr>
    </w:p>
    <w:p>
      <w:pPr>
        <w:keepNext w:val="0"/>
        <w:keepLines w:val="0"/>
        <w:pageBreakBefore w:val="0"/>
        <w:widowControl w:val="0"/>
        <w:kinsoku/>
        <w:wordWrap/>
        <w:overflowPunct/>
        <w:topLinePunct w:val="0"/>
        <w:autoSpaceDE/>
        <w:autoSpaceDN/>
        <w:bidi w:val="0"/>
        <w:spacing w:line="580" w:lineRule="exact"/>
        <w:ind w:right="0"/>
        <w:jc w:val="center"/>
        <w:textAlignment w:val="auto"/>
        <w:outlineLvl w:val="9"/>
        <w:rPr>
          <w:rFonts w:hint="eastAsia" w:asciiTheme="majorEastAsia" w:hAnsiTheme="majorEastAsia" w:eastAsiaTheme="majorEastAsia" w:cstheme="majorEastAsia"/>
          <w:b/>
          <w:bCs/>
          <w:color w:val="auto"/>
          <w:sz w:val="44"/>
          <w:szCs w:val="44"/>
          <w:lang w:val="en-US" w:eastAsia="zh-CN"/>
        </w:rPr>
      </w:pPr>
      <w:r>
        <w:rPr>
          <w:rFonts w:hint="eastAsia" w:asciiTheme="majorEastAsia" w:hAnsiTheme="majorEastAsia" w:eastAsiaTheme="majorEastAsia" w:cstheme="majorEastAsia"/>
          <w:b/>
          <w:bCs/>
          <w:color w:val="auto"/>
          <w:sz w:val="44"/>
          <w:szCs w:val="44"/>
          <w:lang w:val="en-US" w:eastAsia="zh-CN"/>
        </w:rPr>
        <w:t>石家庄市轨道交通建设办公室</w:t>
      </w:r>
    </w:p>
    <w:p>
      <w:pPr>
        <w:keepNext w:val="0"/>
        <w:keepLines w:val="0"/>
        <w:pageBreakBefore w:val="0"/>
        <w:widowControl w:val="0"/>
        <w:kinsoku/>
        <w:wordWrap/>
        <w:overflowPunct/>
        <w:topLinePunct w:val="0"/>
        <w:autoSpaceDE/>
        <w:autoSpaceDN/>
        <w:bidi w:val="0"/>
        <w:spacing w:line="580" w:lineRule="exact"/>
        <w:ind w:right="0"/>
        <w:jc w:val="center"/>
        <w:textAlignment w:val="auto"/>
        <w:outlineLvl w:val="9"/>
        <w:rPr>
          <w:rFonts w:hint="eastAsia" w:asciiTheme="majorEastAsia" w:hAnsiTheme="majorEastAsia" w:eastAsiaTheme="majorEastAsia" w:cstheme="majorEastAsia"/>
          <w:b/>
          <w:bCs/>
          <w:color w:val="auto"/>
          <w:sz w:val="44"/>
          <w:szCs w:val="44"/>
        </w:rPr>
      </w:pPr>
      <w:r>
        <w:rPr>
          <w:rFonts w:hint="eastAsia" w:asciiTheme="majorEastAsia" w:hAnsiTheme="majorEastAsia" w:eastAsiaTheme="majorEastAsia" w:cstheme="majorEastAsia"/>
          <w:b/>
          <w:bCs/>
          <w:color w:val="auto"/>
          <w:sz w:val="44"/>
          <w:szCs w:val="44"/>
          <w:lang w:val="en-US" w:eastAsia="zh-CN"/>
        </w:rPr>
        <w:t>2021年度整体支出绩效</w:t>
      </w:r>
      <w:r>
        <w:rPr>
          <w:rFonts w:hint="eastAsia" w:asciiTheme="majorEastAsia" w:hAnsiTheme="majorEastAsia" w:eastAsiaTheme="majorEastAsia" w:cstheme="majorEastAsia"/>
          <w:b/>
          <w:bCs/>
          <w:color w:val="auto"/>
          <w:sz w:val="44"/>
          <w:szCs w:val="44"/>
        </w:rPr>
        <w:t>自评报告</w:t>
      </w:r>
    </w:p>
    <w:p>
      <w:pPr>
        <w:keepNext w:val="0"/>
        <w:keepLines w:val="0"/>
        <w:pageBreakBefore w:val="0"/>
        <w:widowControl w:val="0"/>
        <w:kinsoku/>
        <w:wordWrap/>
        <w:overflowPunct/>
        <w:topLinePunct w:val="0"/>
        <w:autoSpaceDE/>
        <w:autoSpaceDN/>
        <w:bidi w:val="0"/>
        <w:spacing w:line="580" w:lineRule="exact"/>
        <w:ind w:left="0" w:leftChars="0" w:right="0" w:firstLine="640" w:firstLineChars="200"/>
        <w:jc w:val="center"/>
        <w:textAlignment w:val="auto"/>
        <w:outlineLvl w:val="9"/>
        <w:rPr>
          <w:rFonts w:hint="default" w:ascii="Times New Roman" w:hAnsi="Times New Roman" w:cs="Times New Roman" w:eastAsiaTheme="majorEastAsia"/>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90" w:lineRule="exact"/>
        <w:ind w:left="0" w:leftChars="0" w:right="0" w:firstLine="640" w:firstLineChars="200"/>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贯彻落实</w:t>
      </w:r>
      <w:r>
        <w:rPr>
          <w:rFonts w:hint="default" w:ascii="Times New Roman" w:hAnsi="Times New Roman" w:eastAsia="仿宋_GB2312" w:cs="Times New Roman"/>
          <w:color w:val="auto"/>
          <w:sz w:val="32"/>
          <w:szCs w:val="32"/>
          <w:lang w:eastAsia="zh-CN"/>
        </w:rPr>
        <w:t>市委市政府《关于全面落实预算绩效管理的实施意见》（石发﹝</w:t>
      </w:r>
      <w:r>
        <w:rPr>
          <w:rFonts w:hint="default" w:ascii="Times New Roman" w:hAnsi="Times New Roman" w:eastAsia="仿宋_GB2312" w:cs="Times New Roman"/>
          <w:color w:val="auto"/>
          <w:sz w:val="32"/>
          <w:szCs w:val="32"/>
          <w:lang w:val="en-US" w:eastAsia="zh-CN"/>
        </w:rPr>
        <w:t>2019</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8号</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文件精神，遵循</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科学性、规范性、客观性和公正性</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的原则，对</w:t>
      </w:r>
      <w:r>
        <w:rPr>
          <w:rFonts w:hint="default" w:ascii="Times New Roman" w:hAnsi="Times New Roman" w:eastAsia="仿宋_GB2312" w:cs="Times New Roman"/>
          <w:color w:val="auto"/>
          <w:sz w:val="32"/>
          <w:szCs w:val="32"/>
          <w:lang w:val="en-US" w:eastAsia="zh-CN"/>
        </w:rPr>
        <w:t>市轨道办2021年度</w:t>
      </w:r>
      <w:r>
        <w:rPr>
          <w:rFonts w:hint="default" w:ascii="Times New Roman" w:hAnsi="Times New Roman" w:eastAsia="仿宋_GB2312" w:cs="Times New Roman"/>
          <w:color w:val="auto"/>
          <w:sz w:val="32"/>
          <w:szCs w:val="32"/>
          <w:lang w:eastAsia="zh-CN"/>
        </w:rPr>
        <w:t>整体支出情况</w:t>
      </w:r>
      <w:r>
        <w:rPr>
          <w:rFonts w:hint="default" w:ascii="Times New Roman" w:hAnsi="Times New Roman" w:eastAsia="仿宋_GB2312" w:cs="Times New Roman"/>
          <w:color w:val="auto"/>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90" w:lineRule="exact"/>
        <w:ind w:right="0" w:firstLine="640" w:firstLineChars="200"/>
        <w:textAlignment w:val="auto"/>
        <w:outlineLvl w:val="9"/>
        <w:rPr>
          <w:rFonts w:hint="default" w:ascii="Times New Roman" w:hAnsi="Times New Roman" w:eastAsia="黑体" w:cs="Times New Roman"/>
          <w:b/>
          <w:bCs/>
          <w:color w:val="auto"/>
          <w:sz w:val="32"/>
          <w:szCs w:val="36"/>
        </w:rPr>
      </w:pPr>
      <w:r>
        <w:rPr>
          <w:rFonts w:hint="default" w:ascii="Times New Roman" w:hAnsi="Times New Roman" w:eastAsia="黑体" w:cs="Times New Roman"/>
          <w:color w:val="auto"/>
          <w:sz w:val="32"/>
          <w:szCs w:val="32"/>
        </w:rPr>
        <w:t>一、</w:t>
      </w:r>
      <w:r>
        <w:rPr>
          <w:rFonts w:hint="default" w:ascii="Times New Roman" w:hAnsi="Times New Roman" w:eastAsia="黑体" w:cs="Times New Roman"/>
          <w:color w:val="auto"/>
          <w:sz w:val="32"/>
          <w:szCs w:val="32"/>
          <w:lang w:eastAsia="zh-CN"/>
        </w:rPr>
        <w:t>部门</w:t>
      </w:r>
      <w:r>
        <w:rPr>
          <w:rFonts w:hint="default" w:ascii="Times New Roman" w:hAnsi="Times New Roman" w:eastAsia="黑体" w:cs="Times New Roman"/>
          <w:color w:val="auto"/>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90" w:lineRule="exact"/>
        <w:ind w:left="0" w:leftChars="0" w:right="0" w:firstLine="643" w:firstLineChars="200"/>
        <w:textAlignment w:val="auto"/>
        <w:outlineLvl w:val="9"/>
        <w:rPr>
          <w:rFonts w:hint="default" w:ascii="Times New Roman" w:hAnsi="Times New Roman" w:eastAsia="楷体_GB2312" w:cs="Times New Roman"/>
          <w:b/>
          <w:bCs/>
          <w:color w:val="auto"/>
          <w:sz w:val="32"/>
          <w:szCs w:val="32"/>
        </w:rPr>
      </w:pPr>
      <w:r>
        <w:rPr>
          <w:rFonts w:hint="default" w:ascii="Times New Roman" w:hAnsi="Times New Roman" w:eastAsia="楷体_GB2312" w:cs="Times New Roman"/>
          <w:b/>
          <w:bCs/>
          <w:color w:val="auto"/>
          <w:sz w:val="32"/>
          <w:szCs w:val="32"/>
        </w:rPr>
        <w:t>（一）</w:t>
      </w:r>
      <w:r>
        <w:rPr>
          <w:rFonts w:hint="default" w:ascii="Times New Roman" w:hAnsi="Times New Roman" w:eastAsia="楷体_GB2312" w:cs="Times New Roman"/>
          <w:b/>
          <w:bCs/>
          <w:color w:val="auto"/>
          <w:sz w:val="32"/>
          <w:szCs w:val="32"/>
          <w:lang w:eastAsia="zh-CN"/>
        </w:rPr>
        <w:t>部门</w:t>
      </w:r>
      <w:r>
        <w:rPr>
          <w:rFonts w:hint="default" w:ascii="Times New Roman" w:hAnsi="Times New Roman" w:eastAsia="楷体_GB2312" w:cs="Times New Roman"/>
          <w:b/>
          <w:bCs/>
          <w:color w:val="auto"/>
          <w:sz w:val="32"/>
          <w:szCs w:val="32"/>
        </w:rPr>
        <w:t>概况</w:t>
      </w:r>
    </w:p>
    <w:p>
      <w:pPr>
        <w:keepNext w:val="0"/>
        <w:keepLines w:val="0"/>
        <w:pageBreakBefore w:val="0"/>
        <w:kinsoku/>
        <w:wordWrap/>
        <w:overflowPunct/>
        <w:topLinePunct w:val="0"/>
        <w:autoSpaceDE/>
        <w:autoSpaceDN/>
        <w:bidi w:val="0"/>
        <w:adjustRightInd/>
        <w:snapToGrid w:val="0"/>
        <w:spacing w:line="590" w:lineRule="exact"/>
        <w:ind w:left="0" w:leftChars="0" w:firstLine="643" w:firstLineChars="200"/>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1</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b/>
          <w:bCs/>
          <w:color w:val="auto"/>
          <w:sz w:val="32"/>
          <w:szCs w:val="32"/>
          <w:lang w:val="en-US" w:eastAsia="zh-CN"/>
        </w:rPr>
        <w:t>部门职能</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（1）贯彻执行国家、省、市有关城市轨道交通的方针、政策和法律法规，研究拟订全市轨道交通发展战略。</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（2）负责轨道交通线网规划和建设规划的编制工作。</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（3）代表市政府下达轨道交通建设任务，行使协调、监督和检查职责，推动市直各部门、各县（市、区）和各轨道交通建设单位共同抓好轨道交通建设。</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（4）负责审定我市轨道交通建设模式。</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（5）负责监管轨道交通运营工作。</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（6）承担轨道交通建设指挥部交办的服务保障性工作。</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（7）完成市委、市政府交办的其它工作。</w:t>
      </w:r>
    </w:p>
    <w:p>
      <w:pPr>
        <w:keepNext w:val="0"/>
        <w:keepLines w:val="0"/>
        <w:pageBreakBefore w:val="0"/>
        <w:numPr>
          <w:ilvl w:val="0"/>
          <w:numId w:val="0"/>
        </w:numPr>
        <w:kinsoku/>
        <w:wordWrap/>
        <w:overflowPunct/>
        <w:topLinePunct w:val="0"/>
        <w:autoSpaceDE/>
        <w:autoSpaceDN/>
        <w:bidi w:val="0"/>
        <w:adjustRightInd/>
        <w:spacing w:line="590" w:lineRule="exact"/>
        <w:ind w:left="0" w:leftChars="0" w:firstLine="643" w:firstLineChars="200"/>
        <w:jc w:val="left"/>
        <w:textAlignment w:val="auto"/>
        <w:rPr>
          <w:rFonts w:hint="default" w:ascii="Times New Roman" w:hAnsi="Times New Roman" w:eastAsia="仿宋_GB2312" w:cs="Times New Roman"/>
          <w:b/>
          <w:bCs/>
          <w:color w:val="auto"/>
          <w:sz w:val="32"/>
          <w:szCs w:val="32"/>
          <w:lang w:eastAsia="zh-CN"/>
        </w:rPr>
      </w:pPr>
      <w:r>
        <w:rPr>
          <w:rFonts w:hint="default" w:ascii="Times New Roman" w:hAnsi="Times New Roman" w:eastAsia="仿宋_GB2312" w:cs="Times New Roman"/>
          <w:b/>
          <w:bCs/>
          <w:color w:val="auto"/>
          <w:sz w:val="32"/>
          <w:szCs w:val="32"/>
          <w:lang w:val="en-US" w:eastAsia="zh-CN"/>
        </w:rPr>
        <w:t>2</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b/>
          <w:bCs/>
          <w:color w:val="auto"/>
          <w:sz w:val="32"/>
          <w:szCs w:val="32"/>
          <w:lang w:val="en-US" w:eastAsia="zh-CN"/>
        </w:rPr>
        <w:t>组织机构情况</w:t>
      </w:r>
    </w:p>
    <w:p>
      <w:pPr>
        <w:keepNext w:val="0"/>
        <w:keepLines w:val="0"/>
        <w:pageBreakBefore w:val="0"/>
        <w:numPr>
          <w:ilvl w:val="0"/>
          <w:numId w:val="0"/>
        </w:numPr>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内设机构</w:t>
      </w:r>
      <w:r>
        <w:rPr>
          <w:rFonts w:hint="default" w:ascii="Times New Roman" w:hAnsi="Times New Roman" w:eastAsia="仿宋_GB2312" w:cs="Times New Roman"/>
          <w:color w:val="auto"/>
          <w:sz w:val="32"/>
          <w:szCs w:val="32"/>
        </w:rPr>
        <w:t>9个</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即：</w:t>
      </w:r>
      <w:r>
        <w:rPr>
          <w:rFonts w:hint="default" w:ascii="Times New Roman" w:hAnsi="Times New Roman" w:eastAsia="仿宋_GB2312" w:cs="Times New Roman"/>
          <w:color w:val="auto"/>
          <w:sz w:val="32"/>
          <w:szCs w:val="32"/>
        </w:rPr>
        <w:t>综合办公室</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机关党委（机关纪委）</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审计科、规划发展科、工程</w:t>
      </w:r>
      <w:r>
        <w:rPr>
          <w:rFonts w:hint="default" w:ascii="Times New Roman" w:hAnsi="Times New Roman" w:eastAsia="仿宋_GB2312" w:cs="Times New Roman"/>
          <w:color w:val="auto"/>
          <w:sz w:val="32"/>
          <w:szCs w:val="32"/>
          <w:lang w:eastAsia="zh-CN"/>
        </w:rPr>
        <w:t>与</w:t>
      </w:r>
      <w:r>
        <w:rPr>
          <w:rFonts w:hint="default" w:ascii="Times New Roman" w:hAnsi="Times New Roman" w:eastAsia="仿宋_GB2312" w:cs="Times New Roman"/>
          <w:color w:val="auto"/>
          <w:sz w:val="32"/>
          <w:szCs w:val="32"/>
        </w:rPr>
        <w:t>安全管理科、</w:t>
      </w:r>
      <w:r>
        <w:rPr>
          <w:rFonts w:hint="default" w:ascii="Times New Roman" w:hAnsi="Times New Roman" w:eastAsia="仿宋_GB2312" w:cs="Times New Roman"/>
          <w:color w:val="auto"/>
          <w:sz w:val="32"/>
          <w:szCs w:val="32"/>
          <w:lang w:eastAsia="zh-CN"/>
        </w:rPr>
        <w:t>运营管理</w:t>
      </w:r>
      <w:r>
        <w:rPr>
          <w:rFonts w:hint="default" w:ascii="Times New Roman" w:hAnsi="Times New Roman" w:eastAsia="仿宋_GB2312" w:cs="Times New Roman"/>
          <w:color w:val="auto"/>
          <w:sz w:val="32"/>
          <w:szCs w:val="32"/>
        </w:rPr>
        <w:t>科、</w:t>
      </w:r>
      <w:r>
        <w:rPr>
          <w:rFonts w:hint="default" w:ascii="Times New Roman" w:hAnsi="Times New Roman" w:eastAsia="仿宋_GB2312" w:cs="Times New Roman"/>
          <w:color w:val="auto"/>
          <w:sz w:val="32"/>
          <w:szCs w:val="32"/>
          <w:lang w:eastAsia="zh-CN"/>
        </w:rPr>
        <w:t>资产管理</w:t>
      </w:r>
      <w:r>
        <w:rPr>
          <w:rFonts w:hint="default" w:ascii="Times New Roman" w:hAnsi="Times New Roman" w:eastAsia="仿宋_GB2312" w:cs="Times New Roman"/>
          <w:color w:val="auto"/>
          <w:sz w:val="32"/>
          <w:szCs w:val="32"/>
        </w:rPr>
        <w:t>科、</w:t>
      </w:r>
      <w:r>
        <w:rPr>
          <w:rFonts w:hint="default" w:ascii="Times New Roman" w:hAnsi="Times New Roman" w:eastAsia="仿宋_GB2312" w:cs="Times New Roman"/>
          <w:color w:val="auto"/>
          <w:sz w:val="32"/>
          <w:szCs w:val="32"/>
          <w:lang w:eastAsia="zh-CN"/>
        </w:rPr>
        <w:t>资源开发管理科、人事科</w:t>
      </w:r>
      <w:r>
        <w:rPr>
          <w:rFonts w:hint="default" w:ascii="Times New Roman" w:hAnsi="Times New Roman" w:eastAsia="仿宋_GB2312" w:cs="Times New Roman"/>
          <w:color w:val="auto"/>
          <w:sz w:val="32"/>
          <w:szCs w:val="32"/>
        </w:rPr>
        <w:t>。中层职数9正</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副。</w:t>
      </w:r>
    </w:p>
    <w:p>
      <w:pPr>
        <w:keepNext w:val="0"/>
        <w:keepLines w:val="0"/>
        <w:pageBreakBefore w:val="0"/>
        <w:numPr>
          <w:ilvl w:val="0"/>
          <w:numId w:val="0"/>
        </w:numPr>
        <w:kinsoku/>
        <w:wordWrap/>
        <w:overflowPunct/>
        <w:topLinePunct w:val="0"/>
        <w:autoSpaceDE/>
        <w:autoSpaceDN/>
        <w:bidi w:val="0"/>
        <w:adjustRightInd/>
        <w:snapToGrid w:val="0"/>
        <w:spacing w:line="590" w:lineRule="exact"/>
        <w:ind w:left="0" w:leftChars="0" w:firstLine="643" w:firstLineChars="200"/>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lang w:val="en-US" w:eastAsia="zh-CN"/>
        </w:rPr>
        <w:t>3</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b/>
          <w:bCs/>
          <w:color w:val="auto"/>
          <w:sz w:val="32"/>
          <w:szCs w:val="32"/>
        </w:rPr>
        <w:t>人员情况</w:t>
      </w:r>
    </w:p>
    <w:p>
      <w:pPr>
        <w:keepNext w:val="0"/>
        <w:keepLines w:val="0"/>
        <w:pageBreakBefore w:val="0"/>
        <w:numPr>
          <w:ilvl w:val="-1"/>
          <w:numId w:val="0"/>
        </w:numPr>
        <w:kinsoku/>
        <w:wordWrap/>
        <w:overflowPunct/>
        <w:topLinePunct w:val="0"/>
        <w:autoSpaceDE/>
        <w:autoSpaceDN/>
        <w:bidi w:val="0"/>
        <w:adjustRightInd/>
        <w:snapToGrid w:val="0"/>
        <w:spacing w:line="590" w:lineRule="exact"/>
        <w:ind w:left="0" w:leftChars="0"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本年年初实有人数29人，年末实有人数33人。增人4人，变动原因为名校英才入石招聘2人、事业单位公开招聘2人。</w:t>
      </w:r>
    </w:p>
    <w:p>
      <w:pPr>
        <w:keepNext w:val="0"/>
        <w:keepLines w:val="0"/>
        <w:pageBreakBefore w:val="0"/>
        <w:kinsoku/>
        <w:wordWrap/>
        <w:overflowPunct/>
        <w:topLinePunct w:val="0"/>
        <w:autoSpaceDE/>
        <w:autoSpaceDN/>
        <w:bidi w:val="0"/>
        <w:adjustRightInd/>
        <w:snapToGrid w:val="0"/>
        <w:spacing w:line="590" w:lineRule="exact"/>
        <w:ind w:left="0" w:leftChars="0" w:firstLine="643" w:firstLineChars="200"/>
        <w:textAlignment w:val="auto"/>
        <w:rPr>
          <w:rFonts w:hint="default" w:ascii="Times New Roman" w:hAnsi="Times New Roman" w:eastAsia="仿宋_GB2312" w:cs="Times New Roman"/>
          <w:b/>
          <w:color w:val="auto"/>
          <w:sz w:val="32"/>
          <w:szCs w:val="32"/>
        </w:rPr>
      </w:pPr>
      <w:r>
        <w:rPr>
          <w:rFonts w:hint="default" w:ascii="Times New Roman" w:hAnsi="Times New Roman" w:eastAsia="仿宋_GB2312" w:cs="Times New Roman"/>
          <w:b/>
          <w:color w:val="auto"/>
          <w:sz w:val="32"/>
          <w:szCs w:val="32"/>
          <w:lang w:val="en-US" w:eastAsia="zh-CN"/>
        </w:rPr>
        <w:t>4</w:t>
      </w:r>
      <w:r>
        <w:rPr>
          <w:rFonts w:hint="eastAsia" w:ascii="Times New Roman" w:hAnsi="Times New Roman" w:eastAsia="仿宋_GB2312" w:cs="Times New Roman"/>
          <w:b/>
          <w:color w:val="auto"/>
          <w:sz w:val="32"/>
          <w:szCs w:val="32"/>
          <w:lang w:val="en-US" w:eastAsia="zh-CN"/>
        </w:rPr>
        <w:t>.</w:t>
      </w:r>
      <w:r>
        <w:rPr>
          <w:rFonts w:hint="default" w:ascii="Times New Roman" w:hAnsi="Times New Roman" w:eastAsia="仿宋_GB2312" w:cs="Times New Roman"/>
          <w:b/>
          <w:color w:val="auto"/>
          <w:sz w:val="32"/>
          <w:szCs w:val="32"/>
        </w:rPr>
        <w:t>资产</w:t>
      </w:r>
      <w:r>
        <w:rPr>
          <w:rFonts w:hint="default" w:ascii="Times New Roman" w:hAnsi="Times New Roman" w:eastAsia="仿宋_GB2312" w:cs="Times New Roman"/>
          <w:b/>
          <w:color w:val="auto"/>
          <w:sz w:val="32"/>
          <w:szCs w:val="32"/>
          <w:lang w:val="en-US" w:eastAsia="zh-CN"/>
        </w:rPr>
        <w:t>信息</w:t>
      </w:r>
      <w:r>
        <w:rPr>
          <w:rFonts w:hint="default" w:ascii="Times New Roman" w:hAnsi="Times New Roman" w:eastAsia="仿宋_GB2312" w:cs="Times New Roman"/>
          <w:b/>
          <w:color w:val="auto"/>
          <w:sz w:val="32"/>
          <w:szCs w:val="32"/>
        </w:rPr>
        <w:t>情况</w:t>
      </w:r>
    </w:p>
    <w:p>
      <w:pPr>
        <w:pStyle w:val="2"/>
        <w:keepNext w:val="0"/>
        <w:keepLines w:val="0"/>
        <w:pageBreakBefore w:val="0"/>
        <w:kinsoku/>
        <w:wordWrap/>
        <w:overflowPunct/>
        <w:topLinePunct w:val="0"/>
        <w:autoSpaceDE/>
        <w:autoSpaceDN/>
        <w:bidi w:val="0"/>
        <w:spacing w:line="590" w:lineRule="exact"/>
        <w:ind w:left="0" w:leftChars="0"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年末</w:t>
      </w:r>
      <w:r>
        <w:rPr>
          <w:rFonts w:hint="default" w:ascii="Times New Roman" w:hAnsi="Times New Roman" w:eastAsia="仿宋_GB2312" w:cs="Times New Roman"/>
          <w:color w:val="auto"/>
          <w:sz w:val="32"/>
          <w:szCs w:val="32"/>
          <w:lang w:eastAsia="zh-CN"/>
        </w:rPr>
        <w:t>本单位</w:t>
      </w:r>
      <w:r>
        <w:rPr>
          <w:rFonts w:hint="default" w:ascii="Times New Roman" w:hAnsi="Times New Roman" w:eastAsia="仿宋_GB2312" w:cs="Times New Roman"/>
          <w:color w:val="auto"/>
          <w:sz w:val="32"/>
          <w:szCs w:val="32"/>
        </w:rPr>
        <w:t>资产</w:t>
      </w:r>
      <w:r>
        <w:rPr>
          <w:rFonts w:hint="default" w:ascii="Times New Roman" w:hAnsi="Times New Roman" w:eastAsia="仿宋_GB2312" w:cs="Times New Roman"/>
          <w:color w:val="auto"/>
          <w:sz w:val="32"/>
          <w:szCs w:val="32"/>
          <w:lang w:eastAsia="zh-CN"/>
        </w:rPr>
        <w:t>总计</w:t>
      </w:r>
      <w:r>
        <w:rPr>
          <w:rFonts w:hint="default" w:ascii="Times New Roman" w:hAnsi="Times New Roman" w:eastAsia="仿宋_GB2312" w:cs="Times New Roman"/>
          <w:color w:val="auto"/>
          <w:sz w:val="32"/>
          <w:szCs w:val="32"/>
          <w:lang w:val="en-US" w:eastAsia="zh-CN"/>
        </w:rPr>
        <w:t>105.35万元，其中：货币资金89.52万元，固定资产净值15.04万元。与上年相比，资产增加91.31万元。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90" w:lineRule="exact"/>
        <w:ind w:left="0" w:leftChars="0" w:right="0" w:firstLine="643" w:firstLineChars="200"/>
        <w:textAlignment w:val="auto"/>
        <w:outlineLvl w:val="9"/>
        <w:rPr>
          <w:rFonts w:hint="default" w:ascii="Times New Roman" w:hAnsi="Times New Roman" w:eastAsia="楷体_GB2312" w:cs="Times New Roman"/>
          <w:b/>
          <w:bCs/>
          <w:color w:val="auto"/>
          <w:sz w:val="32"/>
          <w:szCs w:val="32"/>
          <w:lang w:eastAsia="zh-CN"/>
        </w:rPr>
      </w:pPr>
      <w:r>
        <w:rPr>
          <w:rFonts w:hint="default" w:ascii="Times New Roman" w:hAnsi="Times New Roman" w:eastAsia="楷体_GB2312" w:cs="Times New Roman"/>
          <w:b/>
          <w:bCs/>
          <w:color w:val="auto"/>
          <w:sz w:val="32"/>
          <w:szCs w:val="32"/>
          <w:lang w:eastAsia="zh-CN"/>
        </w:rPr>
        <w:t>部门收支预决算情况</w:t>
      </w:r>
    </w:p>
    <w:p>
      <w:pPr>
        <w:keepNext w:val="0"/>
        <w:keepLines w:val="0"/>
        <w:pageBreakBefore w:val="0"/>
        <w:kinsoku/>
        <w:wordWrap/>
        <w:overflowPunct/>
        <w:topLinePunct w:val="0"/>
        <w:autoSpaceDE/>
        <w:autoSpaceDN/>
        <w:bidi w:val="0"/>
        <w:adjustRightInd/>
        <w:snapToGrid w:val="0"/>
        <w:spacing w:line="590" w:lineRule="exact"/>
        <w:ind w:left="0" w:leftChars="0" w:firstLine="643" w:firstLineChars="200"/>
        <w:textAlignment w:val="auto"/>
        <w:rPr>
          <w:rFonts w:hint="default" w:ascii="Times New Roman" w:hAnsi="Times New Roman" w:eastAsia="仿宋" w:cs="Times New Roman"/>
          <w:b/>
          <w:color w:val="auto"/>
          <w:sz w:val="32"/>
          <w:szCs w:val="32"/>
        </w:rPr>
      </w:pPr>
      <w:r>
        <w:rPr>
          <w:rFonts w:hint="default" w:ascii="Times New Roman" w:hAnsi="Times New Roman" w:eastAsia="仿宋" w:cs="Times New Roman"/>
          <w:b/>
          <w:color w:val="auto"/>
          <w:sz w:val="32"/>
          <w:szCs w:val="32"/>
          <w:lang w:val="en-US" w:eastAsia="zh-CN"/>
        </w:rPr>
        <w:t>1</w:t>
      </w:r>
      <w:r>
        <w:rPr>
          <w:rFonts w:hint="eastAsia" w:ascii="Times New Roman" w:hAnsi="Times New Roman" w:eastAsia="仿宋" w:cs="Times New Roman"/>
          <w:b/>
          <w:color w:val="auto"/>
          <w:sz w:val="32"/>
          <w:szCs w:val="32"/>
          <w:lang w:val="en-US" w:eastAsia="zh-CN"/>
        </w:rPr>
        <w:t>.</w:t>
      </w:r>
      <w:r>
        <w:rPr>
          <w:rFonts w:hint="default" w:ascii="Times New Roman" w:hAnsi="Times New Roman" w:eastAsia="仿宋" w:cs="Times New Roman"/>
          <w:b/>
          <w:color w:val="auto"/>
          <w:sz w:val="32"/>
          <w:szCs w:val="32"/>
        </w:rPr>
        <w:t>收入支出预算安排情况</w:t>
      </w:r>
    </w:p>
    <w:p>
      <w:pPr>
        <w:pStyle w:val="2"/>
        <w:keepNext w:val="0"/>
        <w:keepLines w:val="0"/>
        <w:pageBreakBefore w:val="0"/>
        <w:kinsoku/>
        <w:wordWrap/>
        <w:overflowPunct/>
        <w:topLinePunct w:val="0"/>
        <w:autoSpaceDE/>
        <w:autoSpaceDN/>
        <w:bidi w:val="0"/>
        <w:adjustRightInd/>
        <w:spacing w:line="590" w:lineRule="exact"/>
        <w:ind w:left="0" w:leftChars="0" w:firstLine="640" w:firstLineChars="200"/>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202</w:t>
      </w:r>
      <w:r>
        <w:rPr>
          <w:rFonts w:hint="default" w:ascii="Times New Roman" w:hAnsi="Times New Roman"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en-US" w:eastAsia="zh-CN" w:bidi="ar-SA"/>
        </w:rPr>
        <w:t>年部门预算收入总计4545.40万元，较2020年减少1205.78万元，其中：基本支出增加19.96万元，主要为人员经费增加20.80万元，公用经费减少0.84万元；项目支出减少1225.74万元，主要是减少地下管廊（塔北路段）项目可行性缺口补助费1352万元</w:t>
      </w:r>
      <w:r>
        <w:rPr>
          <w:rFonts w:hint="default" w:ascii="Times New Roman" w:hAnsi="Times New Roman" w:cs="Times New Roman"/>
          <w:color w:val="auto"/>
          <w:kern w:val="2"/>
          <w:sz w:val="32"/>
          <w:szCs w:val="32"/>
          <w:lang w:val="en-US" w:eastAsia="zh-CN" w:bidi="ar-SA"/>
        </w:rPr>
        <w:t>等</w:t>
      </w:r>
      <w:r>
        <w:rPr>
          <w:rFonts w:hint="default" w:ascii="Times New Roman" w:hAnsi="Times New Roman" w:eastAsia="仿宋_GB2312" w:cs="Times New Roman"/>
          <w:color w:val="auto"/>
          <w:kern w:val="2"/>
          <w:sz w:val="32"/>
          <w:szCs w:val="32"/>
          <w:lang w:val="en-US" w:eastAsia="zh-CN" w:bidi="ar-SA"/>
        </w:rPr>
        <w:t>。</w:t>
      </w:r>
    </w:p>
    <w:p>
      <w:pPr>
        <w:pStyle w:val="2"/>
        <w:keepNext w:val="0"/>
        <w:keepLines w:val="0"/>
        <w:pageBreakBefore w:val="0"/>
        <w:kinsoku/>
        <w:wordWrap/>
        <w:overflowPunct/>
        <w:topLinePunct w:val="0"/>
        <w:autoSpaceDE/>
        <w:autoSpaceDN/>
        <w:bidi w:val="0"/>
        <w:adjustRightInd/>
        <w:spacing w:line="590" w:lineRule="exact"/>
        <w:ind w:left="0" w:leftChars="0" w:firstLine="640" w:firstLineChars="200"/>
        <w:jc w:val="both"/>
        <w:textAlignment w:val="auto"/>
        <w:rPr>
          <w:rFonts w:hint="default" w:ascii="Times New Roman" w:hAnsi="Times New Roman" w:cs="Times New Roman"/>
          <w:b w:val="0"/>
          <w:bCs/>
          <w:color w:val="auto"/>
          <w:sz w:val="32"/>
          <w:szCs w:val="32"/>
          <w:lang w:val="en-US" w:eastAsia="zh-CN"/>
        </w:rPr>
      </w:pPr>
      <w:r>
        <w:rPr>
          <w:rFonts w:hint="default" w:ascii="Times New Roman" w:hAnsi="Times New Roman" w:eastAsia="仿宋_GB2312" w:cs="Times New Roman"/>
          <w:b w:val="0"/>
          <w:i w:val="0"/>
          <w:color w:val="auto"/>
          <w:sz w:val="32"/>
          <w:szCs w:val="32"/>
        </w:rPr>
        <w:t>2</w:t>
      </w:r>
      <w:r>
        <w:rPr>
          <w:rFonts w:hint="default" w:ascii="Times New Roman" w:hAnsi="Times New Roman" w:eastAsia="仿宋_GB2312" w:cs="Times New Roman"/>
          <w:color w:val="auto"/>
          <w:kern w:val="2"/>
          <w:sz w:val="32"/>
          <w:szCs w:val="32"/>
          <w:lang w:val="en-US" w:eastAsia="zh-CN" w:bidi="ar-SA"/>
        </w:rPr>
        <w:t>021年部门支出预算为4545.40万元，其中基本支出514.69万元，包括人员经费468.68万元和日常公用经费46.01万元；项目支出4030.71万元，为办公设备购置专项公用费7.37万元、党组织活动经费专项公用费0.94万元、城市轨道交通初期运营前安全评估费77.6万元、地下管廊（塔北路段）工程竣工决算审计费用14.8万元、地下管廊（塔北路段）项目绩效考核服务费30万元和地下管廊（塔北路段）项目可行性缺口补助费3900万元</w:t>
      </w:r>
      <w:r>
        <w:rPr>
          <w:rFonts w:hint="default" w:ascii="Times New Roman" w:hAnsi="Times New Roman" w:cs="Times New Roman"/>
          <w:color w:val="auto"/>
          <w:kern w:val="2"/>
          <w:sz w:val="32"/>
          <w:szCs w:val="32"/>
          <w:lang w:val="en-US" w:eastAsia="zh-CN" w:bidi="ar-SA"/>
        </w:rPr>
        <w:t>等。</w:t>
      </w:r>
    </w:p>
    <w:p>
      <w:pPr>
        <w:pStyle w:val="2"/>
        <w:keepNext w:val="0"/>
        <w:keepLines w:val="0"/>
        <w:pageBreakBefore w:val="0"/>
        <w:kinsoku/>
        <w:wordWrap/>
        <w:overflowPunct/>
        <w:topLinePunct w:val="0"/>
        <w:autoSpaceDE/>
        <w:autoSpaceDN/>
        <w:bidi w:val="0"/>
        <w:adjustRightInd/>
        <w:spacing w:line="590" w:lineRule="exact"/>
        <w:ind w:left="0" w:leftChars="0" w:firstLine="643" w:firstLineChars="200"/>
        <w:textAlignment w:val="auto"/>
        <w:rPr>
          <w:rFonts w:hint="default" w:ascii="Times New Roman" w:hAnsi="Times New Roman" w:eastAsia="仿宋" w:cs="Times New Roman"/>
          <w:b/>
          <w:color w:val="auto"/>
          <w:sz w:val="32"/>
          <w:szCs w:val="32"/>
        </w:rPr>
      </w:pPr>
      <w:r>
        <w:rPr>
          <w:rFonts w:hint="default" w:ascii="Times New Roman" w:hAnsi="Times New Roman" w:eastAsia="仿宋" w:cs="Times New Roman"/>
          <w:b/>
          <w:color w:val="auto"/>
          <w:sz w:val="32"/>
          <w:szCs w:val="32"/>
          <w:lang w:val="en-US" w:eastAsia="zh-CN"/>
        </w:rPr>
        <w:t>2</w:t>
      </w:r>
      <w:r>
        <w:rPr>
          <w:rFonts w:hint="eastAsia" w:ascii="Times New Roman" w:hAnsi="Times New Roman" w:eastAsia="仿宋" w:cs="Times New Roman"/>
          <w:b/>
          <w:color w:val="auto"/>
          <w:sz w:val="32"/>
          <w:szCs w:val="32"/>
          <w:lang w:val="en-US" w:eastAsia="zh-CN"/>
        </w:rPr>
        <w:t>.</w:t>
      </w:r>
      <w:r>
        <w:rPr>
          <w:rFonts w:hint="default" w:ascii="Times New Roman" w:hAnsi="Times New Roman" w:eastAsia="仿宋" w:cs="Times New Roman"/>
          <w:b/>
          <w:color w:val="auto"/>
          <w:sz w:val="32"/>
          <w:szCs w:val="32"/>
        </w:rPr>
        <w:t>收入支出预算执行情况</w:t>
      </w:r>
    </w:p>
    <w:p>
      <w:pPr>
        <w:pStyle w:val="2"/>
        <w:keepNext w:val="0"/>
        <w:keepLines w:val="0"/>
        <w:pageBreakBefore w:val="0"/>
        <w:kinsoku/>
        <w:wordWrap/>
        <w:overflowPunct/>
        <w:topLinePunct w:val="0"/>
        <w:autoSpaceDE/>
        <w:autoSpaceDN/>
        <w:bidi w:val="0"/>
        <w:adjustRightInd/>
        <w:spacing w:line="590" w:lineRule="exact"/>
        <w:ind w:left="0" w:leftChars="0" w:firstLine="640" w:firstLineChars="200"/>
        <w:textAlignment w:val="auto"/>
        <w:rPr>
          <w:rFonts w:hint="default" w:ascii="Times New Roman" w:hAnsi="Times New Roman" w:cs="Times New Roman"/>
          <w:color w:val="auto"/>
          <w:lang w:val="en-US" w:eastAsia="zh-CN"/>
        </w:rPr>
      </w:pPr>
      <w:r>
        <w:rPr>
          <w:rFonts w:hint="default" w:ascii="Times New Roman" w:hAnsi="Times New Roman" w:eastAsia="仿宋_GB2312" w:cs="Times New Roman"/>
          <w:color w:val="auto"/>
          <w:sz w:val="32"/>
          <w:szCs w:val="32"/>
          <w:lang w:val="en-US" w:eastAsia="zh-CN"/>
        </w:rPr>
        <w:t>202</w:t>
      </w:r>
      <w:r>
        <w:rPr>
          <w:rFonts w:hint="default" w:ascii="Times New Roman" w:hAnsi="Times New Roman"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年年初预算收入</w:t>
      </w:r>
      <w:r>
        <w:rPr>
          <w:rFonts w:hint="default" w:ascii="Times New Roman" w:hAnsi="Times New Roman" w:cs="Times New Roman"/>
          <w:color w:val="auto"/>
          <w:sz w:val="32"/>
          <w:szCs w:val="32"/>
          <w:lang w:val="en-US" w:eastAsia="zh-CN"/>
        </w:rPr>
        <w:t>4545.40</w:t>
      </w:r>
      <w:r>
        <w:rPr>
          <w:rFonts w:hint="default" w:ascii="Times New Roman" w:hAnsi="Times New Roman" w:eastAsia="仿宋_GB2312" w:cs="Times New Roman"/>
          <w:color w:val="auto"/>
          <w:sz w:val="32"/>
          <w:szCs w:val="32"/>
          <w:lang w:val="en-US" w:eastAsia="zh-CN"/>
        </w:rPr>
        <w:t>万元，决算收入</w:t>
      </w:r>
      <w:r>
        <w:rPr>
          <w:rFonts w:hint="default" w:ascii="Times New Roman" w:hAnsi="Times New Roman" w:eastAsia="仿宋_GB2312" w:cs="Times New Roman"/>
          <w:i w:val="0"/>
          <w:color w:val="auto"/>
          <w:kern w:val="0"/>
          <w:sz w:val="32"/>
          <w:szCs w:val="32"/>
          <w:u w:val="none"/>
          <w:lang w:val="en-US" w:eastAsia="zh-CN" w:bidi="ar"/>
        </w:rPr>
        <w:t>4567.18</w:t>
      </w:r>
      <w:r>
        <w:rPr>
          <w:rFonts w:hint="default" w:ascii="Times New Roman" w:hAnsi="Times New Roman" w:eastAsia="仿宋_GB2312" w:cs="Times New Roman"/>
          <w:color w:val="auto"/>
          <w:sz w:val="32"/>
          <w:szCs w:val="32"/>
          <w:lang w:val="en-US" w:eastAsia="zh-CN"/>
        </w:rPr>
        <w:t>万元，差异</w:t>
      </w:r>
      <w:r>
        <w:rPr>
          <w:rFonts w:hint="default" w:ascii="Times New Roman" w:hAnsi="Times New Roman" w:cs="Times New Roman"/>
          <w:color w:val="auto"/>
          <w:sz w:val="32"/>
          <w:szCs w:val="32"/>
          <w:lang w:val="en-US" w:eastAsia="zh-CN"/>
        </w:rPr>
        <w:t>21.78</w:t>
      </w:r>
      <w:r>
        <w:rPr>
          <w:rFonts w:hint="default" w:ascii="Times New Roman" w:hAnsi="Times New Roman" w:eastAsia="仿宋_GB2312" w:cs="Times New Roman"/>
          <w:color w:val="auto"/>
          <w:sz w:val="32"/>
          <w:szCs w:val="32"/>
          <w:lang w:val="en-US" w:eastAsia="zh-CN"/>
        </w:rPr>
        <w:t>万元；年初预算支出</w:t>
      </w:r>
      <w:r>
        <w:rPr>
          <w:rFonts w:hint="default" w:ascii="Times New Roman" w:hAnsi="Times New Roman" w:cs="Times New Roman"/>
          <w:color w:val="auto"/>
          <w:sz w:val="32"/>
          <w:szCs w:val="32"/>
          <w:lang w:val="en-US" w:eastAsia="zh-CN"/>
        </w:rPr>
        <w:t>4545.40</w:t>
      </w:r>
      <w:r>
        <w:rPr>
          <w:rFonts w:hint="default" w:ascii="Times New Roman" w:hAnsi="Times New Roman" w:eastAsia="仿宋_GB2312" w:cs="Times New Roman"/>
          <w:color w:val="auto"/>
          <w:sz w:val="32"/>
          <w:szCs w:val="32"/>
          <w:lang w:val="en-US" w:eastAsia="zh-CN"/>
        </w:rPr>
        <w:t>万元，决算支出</w:t>
      </w:r>
      <w:r>
        <w:rPr>
          <w:rFonts w:hint="default" w:ascii="Times New Roman" w:hAnsi="Times New Roman" w:cs="Times New Roman"/>
          <w:i w:val="0"/>
          <w:color w:val="auto"/>
          <w:kern w:val="0"/>
          <w:sz w:val="32"/>
          <w:szCs w:val="32"/>
          <w:u w:val="none"/>
          <w:lang w:val="en-US" w:eastAsia="zh-CN" w:bidi="ar"/>
        </w:rPr>
        <w:t>4479.24</w:t>
      </w:r>
      <w:r>
        <w:rPr>
          <w:rFonts w:hint="default" w:ascii="Times New Roman" w:hAnsi="Times New Roman" w:eastAsia="仿宋_GB2312" w:cs="Times New Roman"/>
          <w:color w:val="auto"/>
          <w:sz w:val="32"/>
          <w:szCs w:val="32"/>
          <w:lang w:val="en-US" w:eastAsia="zh-CN"/>
        </w:rPr>
        <w:t>万元；上年度决算收入</w:t>
      </w:r>
      <w:r>
        <w:rPr>
          <w:rFonts w:hint="default" w:ascii="Times New Roman" w:hAnsi="Times New Roman" w:eastAsia="仿宋_GB2312" w:cs="Times New Roman"/>
          <w:b w:val="0"/>
          <w:bCs/>
          <w:i w:val="0"/>
          <w:color w:val="auto"/>
          <w:kern w:val="0"/>
          <w:sz w:val="32"/>
          <w:szCs w:val="32"/>
          <w:u w:val="none"/>
          <w:lang w:val="en-US" w:eastAsia="zh-CN" w:bidi="ar"/>
        </w:rPr>
        <w:t>2614.52</w:t>
      </w:r>
      <w:r>
        <w:rPr>
          <w:rFonts w:hint="default" w:ascii="Times New Roman" w:hAnsi="Times New Roman" w:eastAsia="仿宋_GB2312" w:cs="Times New Roman"/>
          <w:color w:val="auto"/>
          <w:sz w:val="32"/>
          <w:szCs w:val="32"/>
          <w:lang w:val="en-US" w:eastAsia="zh-CN"/>
        </w:rPr>
        <w:t>万元，本年决算收入比上年度决算收入</w:t>
      </w:r>
      <w:r>
        <w:rPr>
          <w:rFonts w:hint="default" w:ascii="Times New Roman" w:hAnsi="Times New Roman" w:cs="Times New Roman"/>
          <w:color w:val="auto"/>
          <w:sz w:val="32"/>
          <w:szCs w:val="32"/>
          <w:lang w:val="en-US" w:eastAsia="zh-CN"/>
        </w:rPr>
        <w:t>增加1952.66</w:t>
      </w:r>
      <w:r>
        <w:rPr>
          <w:rFonts w:hint="default" w:ascii="Times New Roman" w:hAnsi="Times New Roman" w:eastAsia="仿宋_GB2312" w:cs="Times New Roman"/>
          <w:color w:val="auto"/>
          <w:sz w:val="32"/>
          <w:szCs w:val="32"/>
          <w:lang w:val="en-US" w:eastAsia="zh-CN"/>
        </w:rPr>
        <w:t>万元，主要</w:t>
      </w:r>
      <w:r>
        <w:rPr>
          <w:rFonts w:hint="default" w:ascii="Times New Roman" w:hAnsi="Times New Roman" w:cs="Times New Roman"/>
          <w:color w:val="auto"/>
          <w:sz w:val="32"/>
          <w:szCs w:val="32"/>
          <w:lang w:val="en-US" w:eastAsia="zh-CN"/>
        </w:rPr>
        <w:t>增加</w:t>
      </w:r>
      <w:r>
        <w:rPr>
          <w:rFonts w:hint="default" w:ascii="Times New Roman" w:hAnsi="Times New Roman" w:eastAsia="仿宋_GB2312" w:cs="Times New Roman"/>
          <w:color w:val="auto"/>
          <w:kern w:val="2"/>
          <w:sz w:val="32"/>
          <w:szCs w:val="32"/>
          <w:lang w:val="en-US" w:eastAsia="zh-CN" w:bidi="ar-SA"/>
        </w:rPr>
        <w:t>地下管廊（塔北路段）项目可行性缺口补助费</w:t>
      </w:r>
      <w:r>
        <w:rPr>
          <w:rFonts w:hint="default" w:ascii="Times New Roman" w:hAnsi="Times New Roman" w:cs="Times New Roman"/>
          <w:color w:val="auto"/>
          <w:sz w:val="32"/>
          <w:szCs w:val="32"/>
          <w:lang w:val="en-US" w:eastAsia="zh-CN"/>
        </w:rPr>
        <w:t>增加1799.20万元、</w:t>
      </w:r>
      <w:r>
        <w:rPr>
          <w:rFonts w:hint="default" w:ascii="Times New Roman" w:hAnsi="Times New Roman" w:eastAsia="仿宋_GB2312" w:cs="Times New Roman"/>
          <w:color w:val="auto"/>
          <w:kern w:val="2"/>
          <w:sz w:val="32"/>
          <w:szCs w:val="32"/>
          <w:lang w:val="en-US" w:eastAsia="zh-CN" w:bidi="ar-SA"/>
        </w:rPr>
        <w:t>地下管廊（塔北路段）项目绩效考核服务费</w:t>
      </w:r>
      <w:r>
        <w:rPr>
          <w:rFonts w:hint="default" w:ascii="Times New Roman" w:hAnsi="Times New Roman" w:cs="Times New Roman"/>
          <w:color w:val="auto"/>
          <w:sz w:val="32"/>
          <w:szCs w:val="32"/>
          <w:lang w:val="en-US" w:eastAsia="zh-CN"/>
        </w:rPr>
        <w:t>15.00万元、</w:t>
      </w:r>
      <w:r>
        <w:rPr>
          <w:rFonts w:hint="default" w:ascii="Times New Roman" w:hAnsi="Times New Roman" w:eastAsia="仿宋_GB2312" w:cs="Times New Roman"/>
          <w:color w:val="auto"/>
          <w:kern w:val="2"/>
          <w:sz w:val="32"/>
          <w:szCs w:val="32"/>
          <w:lang w:val="en-US" w:eastAsia="zh-CN" w:bidi="ar-SA"/>
        </w:rPr>
        <w:t>城市轨道交通初期运营前安全评估费</w:t>
      </w:r>
      <w:r>
        <w:rPr>
          <w:rFonts w:hint="default" w:ascii="Times New Roman" w:hAnsi="Times New Roman" w:cs="Times New Roman"/>
          <w:color w:val="auto"/>
          <w:kern w:val="2"/>
          <w:sz w:val="32"/>
          <w:szCs w:val="32"/>
          <w:lang w:val="en-US" w:eastAsia="zh-CN" w:bidi="ar-SA"/>
        </w:rPr>
        <w:t>增加</w:t>
      </w:r>
      <w:r>
        <w:rPr>
          <w:rFonts w:hint="default" w:ascii="Times New Roman" w:hAnsi="Times New Roman" w:cs="Times New Roman"/>
          <w:color w:val="auto"/>
          <w:sz w:val="32"/>
          <w:szCs w:val="32"/>
          <w:lang w:val="en-US" w:eastAsia="zh-CN"/>
        </w:rPr>
        <w:t>77.60万元、</w:t>
      </w:r>
      <w:r>
        <w:rPr>
          <w:rFonts w:hint="default" w:ascii="Times New Roman" w:hAnsi="Times New Roman" w:eastAsia="仿宋_GB2312" w:cs="Times New Roman"/>
          <w:color w:val="auto"/>
          <w:kern w:val="2"/>
          <w:sz w:val="32"/>
          <w:szCs w:val="32"/>
          <w:lang w:val="en-US" w:eastAsia="zh-CN" w:bidi="ar-SA"/>
        </w:rPr>
        <w:t>地下管廊（塔北路段）工程竣工决算审计费用</w:t>
      </w:r>
      <w:r>
        <w:rPr>
          <w:rFonts w:hint="default" w:ascii="Times New Roman" w:hAnsi="Times New Roman" w:cs="Times New Roman"/>
          <w:color w:val="auto"/>
          <w:kern w:val="2"/>
          <w:sz w:val="32"/>
          <w:szCs w:val="32"/>
          <w:lang w:val="en-US" w:eastAsia="zh-CN" w:bidi="ar-SA"/>
        </w:rPr>
        <w:t>增加</w:t>
      </w:r>
      <w:r>
        <w:rPr>
          <w:rFonts w:hint="default" w:ascii="Times New Roman" w:hAnsi="Times New Roman" w:cs="Times New Roman"/>
          <w:color w:val="auto"/>
          <w:sz w:val="32"/>
          <w:szCs w:val="32"/>
          <w:lang w:val="en-US" w:eastAsia="zh-CN"/>
        </w:rPr>
        <w:t>14.80万元等。</w:t>
      </w:r>
    </w:p>
    <w:p>
      <w:pPr>
        <w:keepNext w:val="0"/>
        <w:keepLines w:val="0"/>
        <w:pageBreakBefore w:val="0"/>
        <w:widowControl w:val="0"/>
        <w:kinsoku/>
        <w:wordWrap/>
        <w:overflowPunct/>
        <w:topLinePunct w:val="0"/>
        <w:autoSpaceDE/>
        <w:autoSpaceDN/>
        <w:bidi w:val="0"/>
        <w:adjustRightInd w:val="0"/>
        <w:snapToGrid w:val="0"/>
        <w:spacing w:line="590" w:lineRule="exact"/>
        <w:ind w:left="0" w:leftChars="0" w:right="0" w:firstLine="643" w:firstLineChars="200"/>
        <w:textAlignment w:val="auto"/>
        <w:outlineLvl w:val="9"/>
        <w:rPr>
          <w:rFonts w:hint="default" w:ascii="Times New Roman" w:hAnsi="Times New Roman" w:eastAsia="楷体" w:cs="Times New Roman"/>
          <w:b/>
          <w:bCs/>
          <w:color w:val="auto"/>
          <w:sz w:val="32"/>
          <w:szCs w:val="32"/>
          <w:lang w:eastAsia="zh-CN"/>
        </w:rPr>
      </w:pPr>
      <w:r>
        <w:rPr>
          <w:rFonts w:hint="default" w:ascii="Times New Roman" w:hAnsi="Times New Roman" w:eastAsia="楷体" w:cs="Times New Roman"/>
          <w:b/>
          <w:bCs/>
          <w:color w:val="auto"/>
          <w:sz w:val="32"/>
          <w:szCs w:val="32"/>
          <w:lang w:eastAsia="zh-CN"/>
        </w:rPr>
        <w:t>（三）部门整体支出绩效目标、指标</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rPr>
      </w:pPr>
      <w:r>
        <w:rPr>
          <w:rFonts w:hint="default" w:ascii="Times New Roman" w:hAnsi="Times New Roman" w:eastAsia="仿宋" w:cs="Times New Roman"/>
          <w:b/>
          <w:bCs/>
          <w:color w:val="auto"/>
          <w:sz w:val="32"/>
          <w:szCs w:val="32"/>
          <w:lang w:val="en-US" w:eastAsia="zh-CN"/>
        </w:rPr>
        <w:t>1</w:t>
      </w:r>
      <w:r>
        <w:rPr>
          <w:rFonts w:hint="eastAsia" w:ascii="Times New Roman" w:hAnsi="Times New Roman" w:eastAsia="仿宋" w:cs="Times New Roman"/>
          <w:b/>
          <w:bCs/>
          <w:color w:val="auto"/>
          <w:sz w:val="32"/>
          <w:szCs w:val="32"/>
          <w:lang w:val="en-US" w:eastAsia="zh-CN"/>
        </w:rPr>
        <w:t>.</w:t>
      </w:r>
      <w:r>
        <w:rPr>
          <w:rFonts w:hint="default" w:ascii="Times New Roman" w:hAnsi="Times New Roman" w:eastAsia="仿宋" w:cs="Times New Roman"/>
          <w:b/>
          <w:bCs/>
          <w:color w:val="auto"/>
          <w:sz w:val="32"/>
          <w:szCs w:val="32"/>
        </w:rPr>
        <w:t>总体绩效目标</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市轨道办2021年将紧紧围绕市委市政府关于轨道交通的决策部署，全力加快在建工程建设，实现3号线一期东段工程（石家庄站（不含）至三教堂）和3号线二期工程2021年上半年通车；结合市域（郊）铁路完善线网规划，并积极推进沿线土地资源综合开发工作，确保轨道交通事业健康有序发展，编制2035年400公里轨道交通线网及远景1000公里轨道交通线网的规划方案，谋划通往新三区的市域（郊）快速轨道交通项目；完成第三方安全评估机构对3号线一期东段工程（石家庄站（不含）至三教堂）和3号线二期工程的初期运营前安全评估工作；完成地下综合管廊（塔北路段）工程PPP项目竣工决算审计工作；确保地下综合管廊（塔北路段）全年安全科学运营，并完成地下综合管廊（塔北路段）运营维护绩效考核工作。</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rPr>
      </w:pPr>
      <w:r>
        <w:rPr>
          <w:rFonts w:hint="default" w:ascii="Times New Roman" w:hAnsi="Times New Roman" w:eastAsia="仿宋" w:cs="Times New Roman"/>
          <w:b/>
          <w:bCs/>
          <w:color w:val="auto"/>
          <w:sz w:val="32"/>
          <w:szCs w:val="32"/>
          <w:lang w:val="en-US" w:eastAsia="zh-CN"/>
        </w:rPr>
        <w:t>2</w:t>
      </w:r>
      <w:r>
        <w:rPr>
          <w:rFonts w:hint="eastAsia" w:ascii="Times New Roman" w:hAnsi="Times New Roman" w:eastAsia="仿宋" w:cs="Times New Roman"/>
          <w:b/>
          <w:bCs/>
          <w:color w:val="auto"/>
          <w:sz w:val="32"/>
          <w:szCs w:val="32"/>
          <w:lang w:val="en-US" w:eastAsia="zh-CN"/>
        </w:rPr>
        <w:t>.</w:t>
      </w:r>
      <w:r>
        <w:rPr>
          <w:rFonts w:hint="default" w:ascii="Times New Roman" w:hAnsi="Times New Roman" w:eastAsia="仿宋" w:cs="Times New Roman"/>
          <w:b/>
          <w:bCs/>
          <w:color w:val="auto"/>
          <w:sz w:val="32"/>
          <w:szCs w:val="32"/>
        </w:rPr>
        <w:t>分项绩效目标</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（1）保障轨道交通建设的稳步推进</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绩效目标：确保3号线一期东段工程（石家庄站（不含）至三教堂）和3号线二期工程2021年上半年通车。</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指标：3号线一期工程东段（石家庄站（不含）至三教堂）共设车站7站，线路总长约7.5km，完成土建、装修、设备等全部工程；3号线二期工程共设车站5座，线路总长约7.3km，完成土建、装修、设备等全部工程；实现3号线一期东段工程（石家庄站（不含）至三教堂）和3号线二期工程2021年上半年通车初期运营。</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（2）完成城市轨道交通初期运营前的安全评估</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绩效目标：组织完成第三方安全评估机构对3号线一期东段工程（石家庄站（不含）至三教堂）和3号线二期工程的初期运营前安全评估工作。</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指标：完成第三方安全评估机构招标工作，对3号线一期东段工程（石家庄站（不含）至三教堂）和3号线二期工程，组织2次初期运营前的安全评估会（预检查会和正式评估会）。通过听取关于轨道交通建设和运营准备综合报告，查看工程建设的各类许可文件、市直部门出具的各类验收文件、甩项工程、保护区以及运营准备情况的证明材料等；组织专家实地检查各线路土建及装修工程、轨道工程、机电设备、车站设备等工程建设和设备系统功能是否满足运营安全和乘客基本服务的要求，形成专家意见，并出具正式评估报告和A类问题整改确认报告各6份。</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（3）配合国土总规，编制轨道线网规划</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绩效目标：结合石家庄市2035版国土空间总体规划编制，同步编制完成轨道交通线网规划方案。</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指标：按照2035版国土空间规划确定的用地范围、人口规模，围绕新三区、中央商务区、京雄石城际、正定机场等重点建设区域、重点项目，组织编制2035年400公里轨道交通线网及远景1000公里轨道交通线网的规划方案，纳入2035版国土空间总体规划。</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（4）谋划市域（郊）快速轨道交通项目</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绩效目标：编制完成国家发改委要求的报批材料，向国家发改委申报。</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指标：加快谋划覆盖整个市域的500公里市域（郊）铁路网规划，实现市域范围内1小时交通圈。根据国家发改委的建议和要求，选取通往藁城的市域（郊）铁路项目在工程技术、资金筹措、土地综合开发等方面深入研究，条件成熟后，向国家发改委申报，争取获批。</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（5）完成塔北路管廊竣工决算审计工作</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 w:cs="Times New Roman"/>
          <w:color w:val="auto"/>
          <w:sz w:val="32"/>
          <w:szCs w:val="32"/>
          <w:lang w:val="en-US" w:eastAsia="zh-CN"/>
        </w:rPr>
        <w:t>绩效目标：通过招标确定的第三方审计机构，对地下综合管廊（塔北路段）工程PPP项目</w:t>
      </w:r>
      <w:r>
        <w:rPr>
          <w:rFonts w:hint="default" w:ascii="Times New Roman" w:hAnsi="Times New Roman" w:eastAsia="仿宋" w:cs="Times New Roman"/>
          <w:color w:val="auto"/>
          <w:sz w:val="32"/>
          <w:szCs w:val="32"/>
          <w:highlight w:val="none"/>
          <w:lang w:val="en-US" w:eastAsia="zh-CN"/>
        </w:rPr>
        <w:t>完成审计工作。</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highlight w:val="none"/>
          <w:lang w:val="en-US" w:eastAsia="zh-CN"/>
        </w:rPr>
        <w:t>绩效指标：第三方审计单位于2021年6月底之前，按照招投标审计合同内容及要求，完成各项审计工作，并出具符合财政</w:t>
      </w:r>
      <w:r>
        <w:rPr>
          <w:rFonts w:hint="default" w:ascii="Times New Roman" w:hAnsi="Times New Roman" w:eastAsia="仿宋" w:cs="Times New Roman"/>
          <w:color w:val="auto"/>
          <w:sz w:val="32"/>
          <w:szCs w:val="32"/>
          <w:lang w:val="en-US" w:eastAsia="zh-CN"/>
        </w:rPr>
        <w:t>部门要求的竣工决算审计报告20份，同时，出具竣工决算审计有关联的相关审计报告20份。轨道办将14.8万审计费用100%支付给第三方审计机构。</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（6）推动塔北路管廊运营工作顺利进行</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绩效目标：确保地下综合管廊（塔北路段）科学运营，实现全年安全运营，无安全事故，绩效考核达标。</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指标：2021年3月底前，考核达标完成第一季度管廊运营期的缺口性补助的发放；2021年9月底前考核达标完成第二、三季度管廊运营期缺口性补助的发放；细化监管流程，强化监管力度，每次考核分数不低于80分，全年考核均分不低于90分。入廊单位满意度达到90%以上。</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 w:cs="Times New Roman"/>
          <w:b/>
          <w:bCs/>
          <w:color w:val="auto"/>
          <w:sz w:val="32"/>
          <w:szCs w:val="32"/>
          <w:lang w:val="en-US" w:eastAsia="zh-CN"/>
        </w:rPr>
        <w:t>（7）完成塔北路管廊运营维护绩效考核</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绩效目标：对地下综合管廊（塔北路段）项目进行绩效考核，并出具考核报告。</w:t>
      </w:r>
    </w:p>
    <w:p>
      <w:pPr>
        <w:keepNext w:val="0"/>
        <w:keepLines w:val="0"/>
        <w:pageBreakBefore w:val="0"/>
        <w:kinsoku/>
        <w:wordWrap/>
        <w:overflowPunct/>
        <w:topLinePunct w:val="0"/>
        <w:autoSpaceDE/>
        <w:autoSpaceDN/>
        <w:bidi w:val="0"/>
        <w:spacing w:line="590" w:lineRule="exact"/>
        <w:ind w:left="0" w:leftChars="0" w:firstLine="640" w:firstLineChars="200"/>
        <w:jc w:val="left"/>
        <w:textAlignment w:val="auto"/>
        <w:rPr>
          <w:rFonts w:hint="default" w:ascii="Times New Roman" w:hAnsi="Times New Roman" w:eastAsia="仿宋" w:cs="Times New Roman"/>
          <w:color w:val="auto"/>
          <w:sz w:val="32"/>
          <w:szCs w:val="32"/>
        </w:rPr>
      </w:pPr>
      <w:r>
        <w:rPr>
          <w:rFonts w:hint="default" w:ascii="Times New Roman" w:hAnsi="Times New Roman" w:eastAsia="仿宋" w:cs="Times New Roman"/>
          <w:color w:val="auto"/>
          <w:sz w:val="32"/>
          <w:szCs w:val="32"/>
          <w:lang w:val="en-US" w:eastAsia="zh-CN"/>
        </w:rPr>
        <w:t>绩效指标：按照合同约定每季度进行1次绩效考核，并出具报告，全年完成4次定期绩效考核和至少1次不定期绩效考核抽查，发现问题及时整改，并出具年度考核报告1份。</w:t>
      </w:r>
    </w:p>
    <w:p>
      <w:pPr>
        <w:keepNext w:val="0"/>
        <w:keepLines w:val="0"/>
        <w:pageBreakBefore w:val="0"/>
        <w:widowControl w:val="0"/>
        <w:kinsoku/>
        <w:wordWrap/>
        <w:overflowPunct/>
        <w:topLinePunct w:val="0"/>
        <w:autoSpaceDE/>
        <w:autoSpaceDN/>
        <w:bidi w:val="0"/>
        <w:adjustRightInd w:val="0"/>
        <w:snapToGrid w:val="0"/>
        <w:spacing w:line="590" w:lineRule="exact"/>
        <w:ind w:left="0" w:leftChars="0" w:right="0" w:firstLine="640" w:firstLineChars="200"/>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二、自评工作</w:t>
      </w:r>
      <w:r>
        <w:rPr>
          <w:rFonts w:hint="default" w:ascii="Times New Roman" w:hAnsi="Times New Roman" w:eastAsia="黑体" w:cs="Times New Roman"/>
          <w:color w:val="auto"/>
          <w:sz w:val="32"/>
          <w:szCs w:val="32"/>
          <w:lang w:eastAsia="zh-CN"/>
        </w:rPr>
        <w:t>开展</w:t>
      </w:r>
      <w:r>
        <w:rPr>
          <w:rFonts w:hint="default" w:ascii="Times New Roman" w:hAnsi="Times New Roman" w:eastAsia="黑体" w:cs="Times New Roman"/>
          <w:color w:val="auto"/>
          <w:sz w:val="32"/>
          <w:szCs w:val="32"/>
        </w:rPr>
        <w:t>情况</w:t>
      </w:r>
    </w:p>
    <w:p>
      <w:pPr>
        <w:keepNext w:val="0"/>
        <w:keepLines w:val="0"/>
        <w:pageBreakBefore w:val="0"/>
        <w:widowControl w:val="0"/>
        <w:kinsoku/>
        <w:wordWrap/>
        <w:overflowPunct/>
        <w:topLinePunct w:val="0"/>
        <w:autoSpaceDE/>
        <w:autoSpaceDN/>
        <w:bidi w:val="0"/>
        <w:spacing w:line="590" w:lineRule="exact"/>
        <w:ind w:right="0" w:firstLine="643" w:firstLineChars="200"/>
        <w:textAlignment w:val="auto"/>
        <w:outlineLvl w:val="9"/>
        <w:rPr>
          <w:rFonts w:hint="default" w:ascii="Times New Roman" w:hAnsi="Times New Roman" w:eastAsia="仿宋" w:cs="Times New Roman"/>
          <w:strike w:val="0"/>
          <w:dstrike w:val="0"/>
          <w:color w:val="auto"/>
          <w:sz w:val="32"/>
          <w:szCs w:val="32"/>
          <w:highlight w:val="lightGray"/>
        </w:rPr>
      </w:pPr>
      <w:r>
        <w:rPr>
          <w:rFonts w:hint="default" w:ascii="Times New Roman" w:hAnsi="Times New Roman" w:eastAsia="楷体" w:cs="Times New Roman"/>
          <w:b/>
          <w:bCs/>
          <w:color w:val="auto"/>
          <w:sz w:val="32"/>
          <w:szCs w:val="32"/>
        </w:rPr>
        <w:t>（一）自评的组织工作</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90" w:lineRule="exact"/>
        <w:ind w:left="0" w:leftChars="0" w:right="0" w:firstLine="640" w:firstLineChars="200"/>
        <w:jc w:val="left"/>
        <w:textAlignment w:val="auto"/>
        <w:rPr>
          <w:rFonts w:hint="default" w:ascii="Times New Roman" w:hAnsi="Times New Roman" w:eastAsia="仿宋_GB2312" w:cs="Times New Roman"/>
          <w:color w:val="auto"/>
          <w:kern w:val="0"/>
          <w:sz w:val="32"/>
          <w:szCs w:val="32"/>
          <w:highlight w:val="none"/>
          <w:shd w:val="clear" w:fill="FFFFFF"/>
          <w:lang w:val="en-US" w:eastAsia="zh-CN" w:bidi="ar"/>
        </w:rPr>
      </w:pPr>
      <w:r>
        <w:rPr>
          <w:rFonts w:hint="default" w:ascii="Times New Roman" w:hAnsi="Times New Roman" w:eastAsia="仿宋_GB2312" w:cs="Times New Roman"/>
          <w:color w:val="auto"/>
          <w:kern w:val="0"/>
          <w:sz w:val="32"/>
          <w:szCs w:val="32"/>
          <w:highlight w:val="none"/>
          <w:shd w:val="clear" w:fill="FFFFFF"/>
          <w:lang w:val="en-US" w:eastAsia="zh-CN" w:bidi="ar"/>
        </w:rPr>
        <w:t>我办按照</w:t>
      </w:r>
      <w:r>
        <w:rPr>
          <w:rFonts w:hint="default" w:ascii="Times New Roman" w:hAnsi="Times New Roman" w:eastAsia="仿宋_GB2312" w:cs="Times New Roman"/>
          <w:color w:val="auto"/>
          <w:sz w:val="32"/>
          <w:szCs w:val="32"/>
          <w:lang w:val="en-US" w:eastAsia="zh-CN"/>
        </w:rPr>
        <w:t>石家庄市财政局《关于开展2022年绩效自评工作的通知》</w:t>
      </w:r>
      <w:r>
        <w:rPr>
          <w:rFonts w:hint="default" w:ascii="Times New Roman" w:hAnsi="Times New Roman" w:eastAsia="仿宋_GB2312" w:cs="Times New Roman"/>
          <w:color w:val="auto"/>
          <w:sz w:val="32"/>
          <w:szCs w:val="40"/>
          <w:lang w:eastAsia="zh-CN"/>
        </w:rPr>
        <w:t>（石财监</w:t>
      </w:r>
      <w:r>
        <w:rPr>
          <w:rFonts w:hint="default" w:ascii="Times New Roman" w:hAnsi="Times New Roman" w:eastAsia="仿宋_GB2312" w:cs="Times New Roman"/>
          <w:color w:val="auto"/>
          <w:sz w:val="32"/>
          <w:szCs w:val="40"/>
        </w:rPr>
        <w:t>〔20</w:t>
      </w:r>
      <w:r>
        <w:rPr>
          <w:rFonts w:hint="default" w:ascii="Times New Roman" w:hAnsi="Times New Roman" w:eastAsia="仿宋_GB2312" w:cs="Times New Roman"/>
          <w:color w:val="auto"/>
          <w:sz w:val="32"/>
          <w:szCs w:val="40"/>
          <w:lang w:val="en-US" w:eastAsia="zh-CN"/>
        </w:rPr>
        <w:t>22</w:t>
      </w:r>
      <w:r>
        <w:rPr>
          <w:rFonts w:hint="default" w:ascii="Times New Roman" w:hAnsi="Times New Roman" w:eastAsia="仿宋_GB2312" w:cs="Times New Roman"/>
          <w:color w:val="auto"/>
          <w:sz w:val="32"/>
          <w:szCs w:val="40"/>
        </w:rPr>
        <w:t>〕</w:t>
      </w:r>
      <w:r>
        <w:rPr>
          <w:rFonts w:hint="default" w:ascii="Times New Roman" w:hAnsi="Times New Roman" w:eastAsia="仿宋_GB2312" w:cs="Times New Roman"/>
          <w:color w:val="auto"/>
          <w:sz w:val="32"/>
          <w:szCs w:val="40"/>
          <w:lang w:val="en-US" w:eastAsia="zh-CN"/>
        </w:rPr>
        <w:t>1号</w:t>
      </w:r>
      <w:r>
        <w:rPr>
          <w:rFonts w:hint="default" w:ascii="Times New Roman" w:hAnsi="Times New Roman" w:eastAsia="仿宋_GB2312" w:cs="Times New Roman"/>
          <w:color w:val="auto"/>
          <w:sz w:val="32"/>
          <w:szCs w:val="40"/>
          <w:lang w:eastAsia="zh-CN"/>
        </w:rPr>
        <w:t>）</w:t>
      </w:r>
      <w:r>
        <w:rPr>
          <w:rFonts w:hint="default" w:ascii="Times New Roman" w:hAnsi="Times New Roman" w:eastAsia="仿宋_GB2312" w:cs="Times New Roman"/>
          <w:color w:val="auto"/>
          <w:kern w:val="0"/>
          <w:sz w:val="32"/>
          <w:szCs w:val="32"/>
          <w:highlight w:val="none"/>
          <w:shd w:val="clear" w:fill="FFFFFF"/>
          <w:lang w:val="en-US" w:eastAsia="zh-CN" w:bidi="ar"/>
        </w:rPr>
        <w:t>的文件要求，认真落实本次部门整体支出绩效自评工作，要求各相关科室充分认识到开展绩效自评工作的重要性和必要性，力求科学、客观、公正地开展好整体支出绩效自评工作，切实提升财政资金的使用效益。一是成立绩效自评工作组，负责整个评价工作的管理组织工作，运用科学、合理的绩效评价指标、评价标准和评价方法，对本部门2021年度部门整体支出的绩效情况进行客观、公正的评价。二是制定绩效评价工作方案，收集查阅与项目有关的政策，了解项目实施具体情况，确定评价依据和评价方法，明确时间安排。三是评价资料收集，对收集来的原始资料进行质量上的评价和核实，对材料进行筛选、取舍，确定评价所需要的材料。四是通过实施评价、综合评价、撰写报告三个部分完成本次整体支出绩效自评工作。</w:t>
      </w:r>
    </w:p>
    <w:p>
      <w:pPr>
        <w:keepNext w:val="0"/>
        <w:keepLines w:val="0"/>
        <w:pageBreakBefore w:val="0"/>
        <w:widowControl w:val="0"/>
        <w:numPr>
          <w:ilvl w:val="0"/>
          <w:numId w:val="2"/>
        </w:numPr>
        <w:kinsoku/>
        <w:wordWrap/>
        <w:overflowPunct/>
        <w:topLinePunct w:val="0"/>
        <w:autoSpaceDE/>
        <w:autoSpaceDN/>
        <w:bidi w:val="0"/>
        <w:spacing w:line="590" w:lineRule="exact"/>
        <w:ind w:left="0" w:leftChars="0" w:right="0" w:firstLine="643" w:firstLineChars="200"/>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rPr>
        <w:t>自评的方法和过程</w:t>
      </w:r>
    </w:p>
    <w:p>
      <w:pPr>
        <w:keepNext w:val="0"/>
        <w:keepLines w:val="0"/>
        <w:pageBreakBefore w:val="0"/>
        <w:widowControl w:val="0"/>
        <w:kinsoku/>
        <w:wordWrap/>
        <w:overflowPunct/>
        <w:topLinePunct w:val="0"/>
        <w:autoSpaceDE/>
        <w:autoSpaceDN/>
        <w:bidi w:val="0"/>
        <w:adjustRightInd/>
        <w:snapToGrid/>
        <w:spacing w:line="590" w:lineRule="exact"/>
        <w:ind w:left="0" w:leftChars="0" w:right="0" w:firstLine="640" w:firstLineChars="200"/>
        <w:textAlignment w:val="auto"/>
        <w:outlineLvl w:val="9"/>
        <w:rPr>
          <w:rFonts w:hint="default" w:ascii="Times New Roman" w:hAnsi="Times New Roman" w:eastAsia="仿宋" w:cs="Times New Roman"/>
          <w:strike w:val="0"/>
          <w:color w:val="auto"/>
          <w:sz w:val="32"/>
          <w:szCs w:val="32"/>
          <w:lang w:val="en-US" w:eastAsia="zh-CN"/>
        </w:rPr>
      </w:pPr>
      <w:r>
        <w:rPr>
          <w:rFonts w:hint="default" w:ascii="Times New Roman" w:hAnsi="Times New Roman" w:eastAsia="仿宋" w:cs="Times New Roman"/>
          <w:strike w:val="0"/>
          <w:dstrike w:val="0"/>
          <w:color w:val="auto"/>
          <w:sz w:val="32"/>
          <w:szCs w:val="32"/>
        </w:rPr>
        <w:t>根据</w:t>
      </w:r>
      <w:r>
        <w:rPr>
          <w:rFonts w:hint="default" w:ascii="Times New Roman" w:hAnsi="Times New Roman" w:eastAsia="仿宋" w:cs="Times New Roman"/>
          <w:strike w:val="0"/>
          <w:dstrike w:val="0"/>
          <w:color w:val="auto"/>
          <w:sz w:val="32"/>
          <w:szCs w:val="32"/>
          <w:lang w:eastAsia="zh-CN"/>
        </w:rPr>
        <w:t>部门职责定位和各项工作履职情况进行综合评价</w:t>
      </w:r>
      <w:r>
        <w:rPr>
          <w:rFonts w:hint="default" w:ascii="Times New Roman" w:hAnsi="Times New Roman" w:eastAsia="仿宋" w:cs="Times New Roman"/>
          <w:strike w:val="0"/>
          <w:dstrike w:val="0"/>
          <w:color w:val="auto"/>
          <w:sz w:val="32"/>
          <w:szCs w:val="32"/>
        </w:rPr>
        <w:t>，给出总得分，得出</w:t>
      </w:r>
      <w:r>
        <w:rPr>
          <w:rFonts w:hint="default" w:ascii="Times New Roman" w:hAnsi="Times New Roman" w:eastAsia="仿宋" w:cs="Times New Roman"/>
          <w:strike w:val="0"/>
          <w:dstrike w:val="0"/>
          <w:color w:val="auto"/>
          <w:sz w:val="32"/>
          <w:szCs w:val="32"/>
          <w:lang w:eastAsia="zh-CN"/>
        </w:rPr>
        <w:t>部门整体支出</w:t>
      </w:r>
      <w:r>
        <w:rPr>
          <w:rFonts w:hint="default" w:ascii="Times New Roman" w:hAnsi="Times New Roman" w:eastAsia="仿宋" w:cs="Times New Roman"/>
          <w:strike w:val="0"/>
          <w:dstrike w:val="0"/>
          <w:color w:val="auto"/>
          <w:sz w:val="32"/>
          <w:szCs w:val="32"/>
        </w:rPr>
        <w:t>综合绩效评价等级。</w:t>
      </w:r>
      <w:r>
        <w:rPr>
          <w:rFonts w:hint="default" w:ascii="Times New Roman" w:hAnsi="Times New Roman" w:eastAsia="仿宋" w:cs="Times New Roman"/>
          <w:strike w:val="0"/>
          <w:dstrike w:val="0"/>
          <w:color w:val="auto"/>
          <w:sz w:val="32"/>
          <w:szCs w:val="32"/>
          <w:lang w:val="en-US" w:eastAsia="zh-CN"/>
        </w:rPr>
        <w:t>具体自评过程如下：</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right="0" w:rightChars="0" w:firstLine="640" w:firstLineChars="200"/>
        <w:jc w:val="left"/>
        <w:textAlignment w:val="auto"/>
        <w:outlineLvl w:val="9"/>
        <w:rPr>
          <w:rFonts w:hint="default" w:ascii="Times New Roman" w:hAnsi="Times New Roman" w:eastAsia="仿宋_GB2312" w:cs="Times New Roman"/>
          <w:color w:val="auto"/>
          <w:kern w:val="0"/>
          <w:sz w:val="32"/>
          <w:szCs w:val="32"/>
          <w:highlight w:val="none"/>
          <w:shd w:val="clear" w:fill="FFFFFF"/>
          <w:lang w:val="en-US" w:eastAsia="zh-CN" w:bidi="ar"/>
        </w:rPr>
      </w:pPr>
      <w:r>
        <w:rPr>
          <w:rFonts w:hint="eastAsia" w:ascii="Times New Roman" w:hAnsi="Times New Roman" w:eastAsia="仿宋_GB2312" w:cs="Times New Roman"/>
          <w:color w:val="auto"/>
          <w:kern w:val="0"/>
          <w:sz w:val="32"/>
          <w:szCs w:val="32"/>
          <w:highlight w:val="none"/>
          <w:shd w:val="clear" w:fill="FFFFFF"/>
          <w:lang w:val="en-US" w:eastAsia="zh-CN" w:bidi="ar"/>
        </w:rPr>
        <w:t>1.</w:t>
      </w:r>
      <w:r>
        <w:rPr>
          <w:rFonts w:hint="default" w:ascii="Times New Roman" w:hAnsi="Times New Roman" w:eastAsia="仿宋_GB2312" w:cs="Times New Roman"/>
          <w:color w:val="auto"/>
          <w:kern w:val="0"/>
          <w:sz w:val="32"/>
          <w:szCs w:val="32"/>
          <w:highlight w:val="none"/>
          <w:shd w:val="clear" w:fill="FFFFFF"/>
          <w:lang w:val="en-US" w:eastAsia="zh-CN" w:bidi="ar"/>
        </w:rPr>
        <w:t>实施评价阶段。结合2021年度预算公开中绩效文本部分内容，确定了部门总体绩效目标和分项绩效目标，和各项工作履职相关科室及主管领导成立了评价工作组，收集、整理、分类、分析被评价项目各项数据资料，根据收集的基础资料，核实确认基础数据的全面性、真实性，以及指标口径的一致性。</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right="0" w:rightChars="0" w:firstLine="640" w:firstLineChars="200"/>
        <w:jc w:val="left"/>
        <w:textAlignment w:val="auto"/>
        <w:outlineLvl w:val="9"/>
        <w:rPr>
          <w:rFonts w:hint="default" w:ascii="Times New Roman" w:hAnsi="Times New Roman" w:eastAsia="仿宋_GB2312" w:cs="Times New Roman"/>
          <w:color w:val="auto"/>
          <w:kern w:val="0"/>
          <w:sz w:val="32"/>
          <w:szCs w:val="32"/>
          <w:highlight w:val="none"/>
          <w:shd w:val="clear" w:fill="FFFFFF"/>
          <w:lang w:val="en-US" w:eastAsia="zh-CN" w:bidi="ar"/>
        </w:rPr>
      </w:pPr>
      <w:r>
        <w:rPr>
          <w:rStyle w:val="11"/>
          <w:rFonts w:hint="eastAsia" w:ascii="Times New Roman" w:hAnsi="Times New Roman" w:eastAsia="仿宋" w:cs="Times New Roman"/>
          <w:b w:val="0"/>
          <w:bCs w:val="0"/>
          <w:i w:val="0"/>
          <w:caps w:val="0"/>
          <w:color w:val="auto"/>
          <w:spacing w:val="0"/>
          <w:sz w:val="32"/>
          <w:szCs w:val="32"/>
          <w:highlight w:val="none"/>
          <w:shd w:val="clear" w:color="auto" w:fill="auto"/>
          <w:lang w:val="en-US" w:eastAsia="zh-CN"/>
        </w:rPr>
        <w:t>2.</w:t>
      </w:r>
      <w:r>
        <w:rPr>
          <w:rStyle w:val="11"/>
          <w:rFonts w:hint="default" w:ascii="Times New Roman" w:hAnsi="Times New Roman" w:eastAsia="仿宋" w:cs="Times New Roman"/>
          <w:b w:val="0"/>
          <w:bCs w:val="0"/>
          <w:i w:val="0"/>
          <w:caps w:val="0"/>
          <w:color w:val="auto"/>
          <w:spacing w:val="0"/>
          <w:sz w:val="32"/>
          <w:szCs w:val="32"/>
          <w:highlight w:val="none"/>
          <w:shd w:val="clear" w:color="auto" w:fill="auto"/>
          <w:lang w:val="en-US" w:eastAsia="zh-CN"/>
        </w:rPr>
        <w:t>综合评价阶段。工作组对照评价指标与标准，对项目绩效情况进行综合评判，</w:t>
      </w:r>
      <w:r>
        <w:rPr>
          <w:rFonts w:hint="default" w:ascii="Times New Roman" w:hAnsi="Times New Roman" w:eastAsia="仿宋_GB2312" w:cs="Times New Roman"/>
          <w:color w:val="auto"/>
          <w:kern w:val="0"/>
          <w:sz w:val="32"/>
          <w:szCs w:val="32"/>
          <w:highlight w:val="none"/>
          <w:shd w:val="clear" w:fill="FFFFFF"/>
          <w:lang w:val="en-US" w:eastAsia="zh-CN" w:bidi="ar"/>
        </w:rPr>
        <w:t>依据评价标准和评价方法逐项评定，对各项工作年初设定的绩效信息进行深入研究，根据部门职责定位和各项工作履职情况进行综合评价，结合各项工作实际情况，给出总得分，形成综合绩效评价等级。每位评价组成员对评价结果要签名，以明确责任，确保评价结果的独立、客观和公正。</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right="0" w:rightChars="0" w:firstLine="640" w:firstLineChars="200"/>
        <w:jc w:val="left"/>
        <w:textAlignment w:val="auto"/>
        <w:outlineLvl w:val="9"/>
        <w:rPr>
          <w:rFonts w:hint="default" w:ascii="Times New Roman" w:hAnsi="Times New Roman" w:eastAsia="仿宋_GB2312" w:cs="Times New Roman"/>
          <w:color w:val="auto"/>
          <w:kern w:val="0"/>
          <w:sz w:val="32"/>
          <w:szCs w:val="32"/>
          <w:highlight w:val="none"/>
          <w:shd w:val="clear" w:fill="FFFFFF"/>
          <w:lang w:val="en-US" w:eastAsia="zh-CN" w:bidi="ar"/>
        </w:rPr>
      </w:pPr>
      <w:r>
        <w:rPr>
          <w:rFonts w:hint="eastAsia" w:ascii="Times New Roman" w:hAnsi="Times New Roman" w:eastAsia="仿宋_GB2312" w:cs="Times New Roman"/>
          <w:color w:val="auto"/>
          <w:kern w:val="0"/>
          <w:sz w:val="32"/>
          <w:szCs w:val="32"/>
          <w:highlight w:val="none"/>
          <w:shd w:val="clear" w:fill="FFFFFF"/>
          <w:lang w:val="en-US" w:eastAsia="zh-CN" w:bidi="ar"/>
        </w:rPr>
        <w:t>3.</w:t>
      </w:r>
      <w:r>
        <w:rPr>
          <w:rFonts w:hint="default" w:ascii="Times New Roman" w:hAnsi="Times New Roman" w:eastAsia="仿宋_GB2312" w:cs="Times New Roman"/>
          <w:color w:val="auto"/>
          <w:kern w:val="0"/>
          <w:sz w:val="32"/>
          <w:szCs w:val="32"/>
          <w:highlight w:val="none"/>
          <w:shd w:val="clear" w:fill="FFFFFF"/>
          <w:lang w:val="en-US" w:eastAsia="zh-CN" w:bidi="ar"/>
        </w:rPr>
        <w:t>撰写报告阶段。评价工作组依据前期所有工作内容，采用统一规范格式，总结撰写本部门整体支出绩效自评工作报告文字部分。</w:t>
      </w:r>
    </w:p>
    <w:p>
      <w:pPr>
        <w:keepNext w:val="0"/>
        <w:keepLines w:val="0"/>
        <w:pageBreakBefore w:val="0"/>
        <w:widowControl w:val="0"/>
        <w:kinsoku/>
        <w:wordWrap/>
        <w:overflowPunct/>
        <w:topLinePunct w:val="0"/>
        <w:autoSpaceDE/>
        <w:autoSpaceDN/>
        <w:bidi w:val="0"/>
        <w:spacing w:line="590" w:lineRule="exact"/>
        <w:ind w:left="0" w:leftChars="0" w:right="0" w:firstLine="640" w:firstLineChars="200"/>
        <w:textAlignment w:val="auto"/>
        <w:outlineLvl w:val="9"/>
        <w:rPr>
          <w:rFonts w:hint="default" w:ascii="Times New Roman" w:hAnsi="Times New Roman" w:eastAsia="黑体" w:cs="Times New Roman"/>
          <w:b/>
          <w:bCs/>
          <w:color w:val="auto"/>
          <w:sz w:val="32"/>
          <w:szCs w:val="32"/>
          <w:lang w:eastAsia="zh-CN"/>
        </w:rPr>
      </w:pPr>
      <w:r>
        <w:rPr>
          <w:rFonts w:hint="default" w:ascii="Times New Roman" w:hAnsi="Times New Roman" w:eastAsia="黑体" w:cs="Times New Roman"/>
          <w:color w:val="auto"/>
          <w:sz w:val="32"/>
          <w:szCs w:val="32"/>
        </w:rPr>
        <w:t>三、</w:t>
      </w:r>
      <w:r>
        <w:rPr>
          <w:rFonts w:hint="default" w:ascii="Times New Roman" w:hAnsi="Times New Roman" w:eastAsia="黑体" w:cs="Times New Roman"/>
          <w:color w:val="auto"/>
          <w:sz w:val="32"/>
          <w:szCs w:val="32"/>
          <w:lang w:eastAsia="zh-CN"/>
        </w:rPr>
        <w:t>部门整体支出</w:t>
      </w:r>
      <w:r>
        <w:rPr>
          <w:rFonts w:hint="default" w:ascii="Times New Roman" w:hAnsi="Times New Roman" w:eastAsia="黑体" w:cs="Times New Roman"/>
          <w:color w:val="auto"/>
          <w:sz w:val="32"/>
          <w:szCs w:val="32"/>
        </w:rPr>
        <w:t>绩效</w:t>
      </w:r>
      <w:r>
        <w:rPr>
          <w:rFonts w:hint="default" w:ascii="Times New Roman" w:hAnsi="Times New Roman" w:eastAsia="黑体" w:cs="Times New Roman"/>
          <w:color w:val="auto"/>
          <w:sz w:val="32"/>
          <w:szCs w:val="32"/>
          <w:lang w:eastAsia="zh-CN"/>
        </w:rPr>
        <w:t>目标实现情况及指标分析</w:t>
      </w:r>
    </w:p>
    <w:p>
      <w:pPr>
        <w:keepNext w:val="0"/>
        <w:keepLines w:val="0"/>
        <w:pageBreakBefore w:val="0"/>
        <w:widowControl w:val="0"/>
        <w:numPr>
          <w:ilvl w:val="0"/>
          <w:numId w:val="3"/>
        </w:numPr>
        <w:kinsoku/>
        <w:wordWrap/>
        <w:overflowPunct/>
        <w:topLinePunct w:val="0"/>
        <w:autoSpaceDE/>
        <w:autoSpaceDN/>
        <w:bidi w:val="0"/>
        <w:spacing w:line="590" w:lineRule="exact"/>
        <w:ind w:left="0" w:leftChars="0" w:right="0" w:firstLine="643" w:firstLineChars="200"/>
        <w:textAlignment w:val="auto"/>
        <w:outlineLvl w:val="9"/>
        <w:rPr>
          <w:rFonts w:hint="default" w:ascii="Times New Roman" w:hAnsi="Times New Roman" w:eastAsia="楷体" w:cs="Times New Roman"/>
          <w:b/>
          <w:bCs/>
          <w:color w:val="auto"/>
          <w:sz w:val="32"/>
          <w:szCs w:val="32"/>
        </w:rPr>
      </w:pPr>
      <w:r>
        <w:rPr>
          <w:rFonts w:hint="default" w:ascii="Times New Roman" w:hAnsi="Times New Roman" w:eastAsia="楷体" w:cs="Times New Roman"/>
          <w:b/>
          <w:bCs/>
          <w:color w:val="auto"/>
          <w:sz w:val="32"/>
          <w:szCs w:val="32"/>
          <w:lang w:eastAsia="zh-CN"/>
        </w:rPr>
        <w:t>总体绩效目标实现情况</w:t>
      </w:r>
    </w:p>
    <w:p>
      <w:pPr>
        <w:keepNext w:val="0"/>
        <w:keepLines w:val="0"/>
        <w:pageBreakBefore w:val="0"/>
        <w:numPr>
          <w:ilvl w:val="0"/>
          <w:numId w:val="0"/>
        </w:numPr>
        <w:kinsoku/>
        <w:wordWrap/>
        <w:overflowPunct/>
        <w:topLinePunct w:val="0"/>
        <w:autoSpaceDE/>
        <w:autoSpaceDN/>
        <w:bidi w:val="0"/>
        <w:spacing w:line="590" w:lineRule="exact"/>
        <w:ind w:left="0" w:leftChars="0" w:firstLine="640" w:firstLineChars="200"/>
        <w:textAlignment w:val="auto"/>
        <w:rPr>
          <w:rFonts w:hint="default" w:ascii="Times New Roman" w:hAnsi="Times New Roman" w:cs="Times New Roman"/>
          <w:color w:val="auto"/>
        </w:rPr>
      </w:pPr>
      <w:r>
        <w:rPr>
          <w:rFonts w:hint="default" w:ascii="Times New Roman" w:hAnsi="Times New Roman" w:eastAsia="仿宋" w:cs="Times New Roman"/>
          <w:color w:val="auto"/>
          <w:sz w:val="32"/>
          <w:szCs w:val="32"/>
          <w:highlight w:val="none"/>
          <w:lang w:val="en-US" w:eastAsia="zh-CN"/>
        </w:rPr>
        <w:t>2021年市轨道办根据市委市政府关于轨道交通的决策部署，全力加快在建工程建设，</w:t>
      </w:r>
      <w:r>
        <w:rPr>
          <w:rFonts w:hint="default" w:ascii="Times New Roman" w:hAnsi="Times New Roman" w:eastAsia="仿宋_GB2312" w:cs="Times New Roman"/>
          <w:color w:val="auto"/>
          <w:sz w:val="32"/>
          <w:szCs w:val="32"/>
        </w:rPr>
        <w:t>4月6日</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 w:cs="Times New Roman"/>
          <w:b w:val="0"/>
          <w:bCs w:val="0"/>
          <w:color w:val="auto"/>
          <w:sz w:val="32"/>
          <w:szCs w:val="32"/>
          <w:lang w:val="en-US" w:eastAsia="zh-CN"/>
        </w:rPr>
        <w:t>3号线一期东段工程（石家庄站（不含）至三教堂）和3号线二期工程开通初期运营</w:t>
      </w:r>
      <w:r>
        <w:rPr>
          <w:rFonts w:hint="default" w:ascii="Times New Roman" w:hAnsi="Times New Roman" w:eastAsia="仿宋" w:cs="Times New Roman"/>
          <w:color w:val="auto"/>
          <w:sz w:val="32"/>
          <w:szCs w:val="32"/>
          <w:lang w:val="en-US" w:eastAsia="zh-CN"/>
        </w:rPr>
        <w:t>；2021年第一季度完成第三方安全评估机构对3号线一期东段工程（石家庄站（不含）至三教堂）和3号线二期工程的初期运营前安全评估工作；结合2035版国土空间总体规划，同步编制完成了新版轨道交通线网规划</w:t>
      </w:r>
      <w:r>
        <w:rPr>
          <w:rFonts w:hint="eastAsia" w:ascii="仿宋" w:hAnsi="仿宋" w:eastAsia="仿宋" w:cs="仿宋"/>
          <w:color w:val="auto"/>
          <w:sz w:val="32"/>
          <w:szCs w:val="32"/>
          <w:lang w:val="en-US" w:eastAsia="zh-CN"/>
        </w:rPr>
        <w:t>和石家庄市域（郊）铁路线网规划中间成果；选取市域（郊）铁路藁城线进行深入研究，达到预可行性研究的深度，并积极跑办国家发改委进行项目申报；</w:t>
      </w:r>
      <w:r>
        <w:rPr>
          <w:rFonts w:hint="default" w:ascii="Times New Roman" w:hAnsi="Times New Roman" w:eastAsia="仿宋_GB2312" w:cs="Times New Roman"/>
          <w:color w:val="auto"/>
          <w:sz w:val="32"/>
          <w:szCs w:val="32"/>
          <w:lang w:val="en-US" w:eastAsia="zh-CN"/>
        </w:rPr>
        <w:t>通过招标确定的第三方审计机构对地下综合管廊（塔北路段）工程PPP项目完成竣工决算审计工作；</w:t>
      </w:r>
      <w:r>
        <w:rPr>
          <w:rFonts w:hint="default" w:ascii="Times New Roman" w:hAnsi="Times New Roman" w:eastAsia="仿宋" w:cs="Times New Roman"/>
          <w:color w:val="auto"/>
          <w:sz w:val="32"/>
          <w:szCs w:val="32"/>
          <w:lang w:val="en-US" w:eastAsia="zh-CN"/>
        </w:rPr>
        <w:t>地下综合管廊（塔北路段）</w:t>
      </w:r>
      <w:r>
        <w:rPr>
          <w:rFonts w:hint="default" w:ascii="Times New Roman" w:hAnsi="Times New Roman" w:eastAsia="仿宋" w:cs="Times New Roman"/>
          <w:b w:val="0"/>
          <w:bCs w:val="0"/>
          <w:color w:val="auto"/>
          <w:sz w:val="32"/>
          <w:szCs w:val="32"/>
          <w:lang w:val="en-US" w:eastAsia="zh-CN"/>
        </w:rPr>
        <w:t>实现了科学运营、安全运营，无事故发生，绩效考核达标的总体目标</w:t>
      </w:r>
      <w:r>
        <w:rPr>
          <w:rFonts w:hint="default" w:ascii="Times New Roman" w:hAnsi="Times New Roman" w:eastAsia="仿宋" w:cs="Times New Roman"/>
          <w:color w:val="auto"/>
          <w:sz w:val="32"/>
          <w:szCs w:val="32"/>
          <w:lang w:val="en-US" w:eastAsia="zh-CN"/>
        </w:rPr>
        <w:t>，</w:t>
      </w:r>
      <w:r>
        <w:rPr>
          <w:rFonts w:hint="default" w:ascii="Times New Roman" w:hAnsi="Times New Roman" w:eastAsia="仿宋" w:cs="Times New Roman"/>
          <w:b w:val="0"/>
          <w:bCs w:val="0"/>
          <w:color w:val="auto"/>
          <w:sz w:val="32"/>
          <w:szCs w:val="32"/>
          <w:lang w:val="en-US" w:eastAsia="zh-CN"/>
        </w:rPr>
        <w:t>全年总共聘请河北省建筑科学研究院进行了5次绩效考核，出具了一份年度考核报告，对全年绩效考核情况进行了总结。本部门年初制定的总体绩效目标已全部完成</w:t>
      </w:r>
      <w:r>
        <w:rPr>
          <w:rFonts w:hint="default" w:ascii="Times New Roman" w:hAnsi="Times New Roman" w:eastAsia="仿宋"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spacing w:line="590" w:lineRule="exact"/>
        <w:ind w:left="0" w:leftChars="0" w:right="0" w:firstLine="643" w:firstLineChars="200"/>
        <w:textAlignment w:val="auto"/>
        <w:outlineLvl w:val="9"/>
        <w:rPr>
          <w:rFonts w:hint="default" w:ascii="Times New Roman" w:hAnsi="Times New Roman" w:eastAsia="楷体" w:cs="Times New Roman"/>
          <w:b/>
          <w:bCs/>
          <w:color w:val="auto"/>
          <w:sz w:val="32"/>
          <w:szCs w:val="32"/>
          <w:lang w:eastAsia="zh-CN"/>
        </w:rPr>
      </w:pPr>
      <w:r>
        <w:rPr>
          <w:rFonts w:hint="default" w:ascii="Times New Roman" w:hAnsi="Times New Roman" w:eastAsia="楷体" w:cs="Times New Roman"/>
          <w:b/>
          <w:bCs/>
          <w:color w:val="auto"/>
          <w:sz w:val="32"/>
          <w:szCs w:val="32"/>
        </w:rPr>
        <w:t>（二）</w:t>
      </w:r>
      <w:r>
        <w:rPr>
          <w:rFonts w:hint="default" w:ascii="Times New Roman" w:hAnsi="Times New Roman" w:eastAsia="楷体" w:cs="Times New Roman"/>
          <w:b/>
          <w:bCs/>
          <w:color w:val="auto"/>
          <w:sz w:val="32"/>
          <w:szCs w:val="32"/>
          <w:lang w:eastAsia="zh-CN"/>
        </w:rPr>
        <w:t>分项绩效目标实现情况及指标分析</w:t>
      </w:r>
    </w:p>
    <w:p>
      <w:pPr>
        <w:keepNext w:val="0"/>
        <w:keepLines w:val="0"/>
        <w:pageBreakBefore w:val="0"/>
        <w:kinsoku/>
        <w:wordWrap/>
        <w:overflowPunct/>
        <w:topLinePunct w:val="0"/>
        <w:autoSpaceDE/>
        <w:autoSpaceDN/>
        <w:bidi w:val="0"/>
        <w:spacing w:line="590" w:lineRule="exact"/>
        <w:ind w:left="0" w:leftChars="0" w:firstLine="643" w:firstLineChars="200"/>
        <w:jc w:val="left"/>
        <w:textAlignment w:val="auto"/>
        <w:rPr>
          <w:rFonts w:hint="default" w:ascii="Times New Roman" w:hAnsi="Times New Roman" w:eastAsia="仿宋" w:cs="Times New Roman"/>
          <w:b/>
          <w:bCs/>
          <w:color w:val="auto"/>
          <w:sz w:val="32"/>
          <w:szCs w:val="32"/>
          <w:lang w:eastAsia="zh-CN"/>
        </w:rPr>
      </w:pPr>
      <w:r>
        <w:rPr>
          <w:rFonts w:hint="default" w:ascii="Times New Roman" w:hAnsi="Times New Roman" w:eastAsia="仿宋" w:cs="Times New Roman"/>
          <w:b/>
          <w:bCs/>
          <w:color w:val="auto"/>
          <w:sz w:val="32"/>
          <w:szCs w:val="32"/>
          <w:lang w:val="en-US" w:eastAsia="zh-CN"/>
        </w:rPr>
        <w:t>1</w:t>
      </w:r>
      <w:r>
        <w:rPr>
          <w:rFonts w:hint="eastAsia" w:ascii="Times New Roman" w:hAnsi="Times New Roman" w:eastAsia="仿宋" w:cs="Times New Roman"/>
          <w:b/>
          <w:bCs/>
          <w:color w:val="auto"/>
          <w:sz w:val="32"/>
          <w:szCs w:val="32"/>
          <w:lang w:val="en-US" w:eastAsia="zh-CN"/>
        </w:rPr>
        <w:t>.</w:t>
      </w:r>
      <w:r>
        <w:rPr>
          <w:rFonts w:hint="default" w:ascii="Times New Roman" w:hAnsi="Times New Roman" w:eastAsia="仿宋" w:cs="Times New Roman"/>
          <w:b/>
          <w:bCs/>
          <w:color w:val="auto"/>
          <w:sz w:val="32"/>
          <w:szCs w:val="32"/>
          <w:lang w:val="en-US" w:eastAsia="zh-CN"/>
        </w:rPr>
        <w:t>保障轨道交通建设的稳步推进</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绩效目标实现情况：</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rPr>
        <w:t>2021年4月6日</w:t>
      </w:r>
      <w:r>
        <w:rPr>
          <w:rFonts w:hint="default" w:ascii="Times New Roman" w:hAnsi="Times New Roman" w:cs="Times New Roman"/>
          <w:b w:val="0"/>
          <w:bCs w:val="0"/>
          <w:color w:val="auto"/>
          <w:sz w:val="32"/>
          <w:szCs w:val="32"/>
          <w:lang w:eastAsia="zh-CN"/>
        </w:rPr>
        <w:t>，</w:t>
      </w:r>
      <w:r>
        <w:rPr>
          <w:rFonts w:hint="default" w:ascii="Times New Roman" w:hAnsi="Times New Roman" w:eastAsia="仿宋" w:cs="Times New Roman"/>
          <w:b w:val="0"/>
          <w:bCs w:val="0"/>
          <w:color w:val="auto"/>
          <w:sz w:val="32"/>
          <w:szCs w:val="32"/>
          <w:lang w:val="en-US" w:eastAsia="zh-CN"/>
        </w:rPr>
        <w:t>3号线一期东段工程（石家庄站（不含）至三教堂）和3号线二期工程开通初期运营。</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绩效指标分析：</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3号线一期工程东段（石家庄站（不含）至三教堂）建设全部完工并通过验收，通车线路总长7.5km，共设车站7座；3号线二期工程建设全部完工，通车线路总长7.3km，共设车站5座；3号线一期东段工程（石家庄站（不含）至三教堂）和3号线二期工程实现2021年上半年开通初期运营。</w:t>
      </w:r>
      <w:r>
        <w:rPr>
          <w:rFonts w:hint="default" w:ascii="Times New Roman" w:hAnsi="Times New Roman" w:eastAsia="仿宋" w:cs="Times New Roman"/>
          <w:color w:val="auto"/>
          <w:sz w:val="32"/>
          <w:szCs w:val="32"/>
          <w:lang w:val="en-US" w:eastAsia="zh-CN"/>
        </w:rPr>
        <w:t>本项工作已按照年初制定的绩效目标、指标全部完成。</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仿宋" w:cs="Times New Roman"/>
          <w:b/>
          <w:bCs/>
          <w:color w:val="auto"/>
          <w:sz w:val="32"/>
          <w:szCs w:val="32"/>
          <w:lang w:eastAsia="zh-CN"/>
        </w:rPr>
      </w:pPr>
      <w:r>
        <w:rPr>
          <w:rFonts w:hint="default" w:ascii="Times New Roman" w:hAnsi="Times New Roman" w:eastAsia="仿宋" w:cs="Times New Roman"/>
          <w:b/>
          <w:bCs/>
          <w:color w:val="auto"/>
          <w:sz w:val="32"/>
          <w:szCs w:val="32"/>
          <w:lang w:val="en-US" w:eastAsia="zh-CN"/>
        </w:rPr>
        <w:t>2</w:t>
      </w:r>
      <w:r>
        <w:rPr>
          <w:rFonts w:hint="eastAsia" w:ascii="Times New Roman" w:hAnsi="Times New Roman" w:eastAsia="仿宋" w:cs="Times New Roman"/>
          <w:b/>
          <w:bCs/>
          <w:color w:val="auto"/>
          <w:sz w:val="32"/>
          <w:szCs w:val="32"/>
          <w:lang w:val="en-US" w:eastAsia="zh-CN"/>
        </w:rPr>
        <w:t>.</w:t>
      </w:r>
      <w:r>
        <w:rPr>
          <w:rFonts w:hint="default" w:ascii="Times New Roman" w:hAnsi="Times New Roman" w:eastAsia="仿宋" w:cs="Times New Roman"/>
          <w:b/>
          <w:bCs/>
          <w:color w:val="auto"/>
          <w:sz w:val="32"/>
          <w:szCs w:val="32"/>
          <w:lang w:val="en-US" w:eastAsia="zh-CN"/>
        </w:rPr>
        <w:t>完成城市轨道交通初期运营前的安全评估</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绩效目标实现情况：</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eastAsia="zh-CN"/>
        </w:rPr>
        <w:t>通过公开招标选定中国船机社质量认证公司为</w:t>
      </w:r>
      <w:r>
        <w:rPr>
          <w:rFonts w:hint="default" w:ascii="Times New Roman" w:hAnsi="Times New Roman" w:eastAsia="仿宋" w:cs="Times New Roman"/>
          <w:b w:val="0"/>
          <w:bCs w:val="0"/>
          <w:color w:val="auto"/>
          <w:sz w:val="32"/>
          <w:szCs w:val="32"/>
          <w:lang w:val="en-US" w:eastAsia="zh-CN"/>
        </w:rPr>
        <w:t>第三方安全评估机构</w:t>
      </w:r>
      <w:r>
        <w:rPr>
          <w:rFonts w:hint="default" w:ascii="Times New Roman" w:hAnsi="Times New Roman" w:eastAsia="仿宋" w:cs="Times New Roman"/>
          <w:b w:val="0"/>
          <w:bCs w:val="0"/>
          <w:color w:val="auto"/>
          <w:sz w:val="32"/>
          <w:szCs w:val="32"/>
          <w:lang w:eastAsia="zh-CN"/>
        </w:rPr>
        <w:t>，</w:t>
      </w:r>
      <w:r>
        <w:rPr>
          <w:rFonts w:hint="default" w:ascii="Times New Roman" w:hAnsi="Times New Roman" w:eastAsia="仿宋" w:cs="Times New Roman"/>
          <w:b w:val="0"/>
          <w:bCs w:val="0"/>
          <w:color w:val="auto"/>
          <w:sz w:val="32"/>
          <w:szCs w:val="32"/>
          <w:lang w:val="en-US" w:eastAsia="zh-CN"/>
        </w:rPr>
        <w:t>组织开展3号线一期东段工程（石家庄站（不含）至三教堂）和3号线二期工程的初期运营前安全评估，并于2021年3月31日完成评估工作。</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绩效指标分析：</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通过公开招标选定</w:t>
      </w:r>
      <w:r>
        <w:rPr>
          <w:rFonts w:hint="default" w:ascii="Times New Roman" w:hAnsi="Times New Roman" w:eastAsia="仿宋" w:cs="Times New Roman"/>
          <w:b w:val="0"/>
          <w:bCs w:val="0"/>
          <w:color w:val="auto"/>
          <w:sz w:val="32"/>
          <w:szCs w:val="32"/>
          <w:lang w:eastAsia="zh-CN"/>
        </w:rPr>
        <w:t>中国船机社质量认证公司为</w:t>
      </w:r>
      <w:r>
        <w:rPr>
          <w:rFonts w:hint="default" w:ascii="Times New Roman" w:hAnsi="Times New Roman" w:eastAsia="仿宋" w:cs="Times New Roman"/>
          <w:b w:val="0"/>
          <w:bCs w:val="0"/>
          <w:color w:val="auto"/>
          <w:sz w:val="32"/>
          <w:szCs w:val="32"/>
          <w:lang w:val="en-US" w:eastAsia="zh-CN"/>
        </w:rPr>
        <w:t>第三方安全评估机构，对3号线一期东段工程（</w:t>
      </w:r>
      <w:r>
        <w:rPr>
          <w:rFonts w:hint="default" w:ascii="Times New Roman" w:hAnsi="Times New Roman" w:eastAsia="仿宋" w:cs="Times New Roman"/>
          <w:color w:val="auto"/>
          <w:sz w:val="32"/>
          <w:szCs w:val="32"/>
          <w:lang w:val="en-US" w:eastAsia="zh-CN"/>
        </w:rPr>
        <w:t>石家庄站（不含）至三教堂）和3号线二期工程，组织了预检查会和正式评估会2次初期运营前的安全评估会。通过听取关于轨道交通建设和运营准备综合报告，查看工程建设的各类许可文件、市直部门出具的各类验收文件、甩项工程、保护区以及运营准备情况的证明材料等，组织专家实地检查各线路土建及装修工程、轨道工程、机电设备、车站设备等工程建设和设备系统功能是否满足运营安全和乘客基本服务的要求，形成了专家意见，并出具正式评估报告和A类问题整改确认报告各6份。本项工作已按照年初制定的绩效目标、指标全部完成。</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仿宋" w:cs="Times New Roman"/>
          <w:b/>
          <w:bCs/>
          <w:color w:val="auto"/>
          <w:sz w:val="32"/>
          <w:szCs w:val="32"/>
          <w:lang w:eastAsia="zh-CN"/>
        </w:rPr>
      </w:pPr>
      <w:r>
        <w:rPr>
          <w:rFonts w:hint="default" w:ascii="Times New Roman" w:hAnsi="Times New Roman" w:eastAsia="仿宋" w:cs="Times New Roman"/>
          <w:b/>
          <w:bCs/>
          <w:color w:val="auto"/>
          <w:sz w:val="32"/>
          <w:szCs w:val="32"/>
          <w:highlight w:val="none"/>
          <w:lang w:val="en-US" w:eastAsia="zh-CN"/>
        </w:rPr>
        <w:t>3</w:t>
      </w:r>
      <w:r>
        <w:rPr>
          <w:rFonts w:hint="eastAsia" w:ascii="Times New Roman" w:hAnsi="Times New Roman"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lang w:val="en-US" w:eastAsia="zh-CN"/>
        </w:rPr>
        <w:t>配合国土总规，编制轨道线网规划</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绩效目标实现情况：</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2021年结合2035版国土空间总体规划，同步编制完成了新版轨道交通线网规划中间成果。</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绩效指标分析：</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按</w:t>
      </w:r>
      <w:r>
        <w:rPr>
          <w:rFonts w:hint="default" w:ascii="Times New Roman" w:hAnsi="Times New Roman" w:eastAsia="仿宋" w:cs="Times New Roman"/>
          <w:color w:val="auto"/>
          <w:sz w:val="32"/>
          <w:szCs w:val="32"/>
          <w:lang w:val="en-US" w:eastAsia="zh-CN"/>
        </w:rPr>
        <w:t>照2035版国土空间总体规划确定的用地范围、人口规模，结合正定空港片区、滹沱河生态经济带、石家庄北站区域等相关规划，围绕新三区、中央商务区、石雄城际站等重点建设区域、重点项目，编制完成了2035年约650公里轨道交通线网及远景约1000公里轨道交通线网的规划方案，线网覆盖范围扩大到了全市域。在原有6条线路的基础上，</w:t>
      </w:r>
      <w:r>
        <w:rPr>
          <w:rFonts w:hint="eastAsia" w:ascii="仿宋" w:hAnsi="仿宋" w:eastAsia="仿宋" w:cs="仿宋"/>
          <w:color w:val="auto"/>
          <w:sz w:val="32"/>
          <w:szCs w:val="32"/>
          <w:lang w:val="en-US" w:eastAsia="zh-CN"/>
        </w:rPr>
        <w:t>新增服务中央商务区、石雄城际站、滹沱河生态经济带、正定空港片区及鹿泉、栾城、藁城组团等重点区域、重点项目的轨道交通线路，确保至少有一条线路连通。目前，中间成果已纳入2035版国土空间总体规划。</w:t>
      </w:r>
      <w:r>
        <w:rPr>
          <w:rFonts w:hint="default" w:ascii="Times New Roman" w:hAnsi="Times New Roman" w:eastAsia="仿宋" w:cs="Times New Roman"/>
          <w:color w:val="auto"/>
          <w:sz w:val="32"/>
          <w:szCs w:val="32"/>
          <w:lang w:val="en-US" w:eastAsia="zh-CN"/>
        </w:rPr>
        <w:t>本项工作已按照年初制定的绩效目标、指标全部完成。</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仿宋" w:cs="Times New Roman"/>
          <w:b/>
          <w:bCs/>
          <w:color w:val="auto"/>
          <w:sz w:val="32"/>
          <w:szCs w:val="32"/>
          <w:lang w:eastAsia="zh-CN"/>
        </w:rPr>
      </w:pPr>
      <w:r>
        <w:rPr>
          <w:rFonts w:hint="default" w:ascii="Times New Roman" w:hAnsi="Times New Roman" w:eastAsia="仿宋" w:cs="Times New Roman"/>
          <w:b/>
          <w:bCs/>
          <w:color w:val="auto"/>
          <w:sz w:val="32"/>
          <w:szCs w:val="32"/>
          <w:highlight w:val="none"/>
          <w:lang w:val="en-US" w:eastAsia="zh-CN"/>
        </w:rPr>
        <w:t>4</w:t>
      </w:r>
      <w:r>
        <w:rPr>
          <w:rFonts w:hint="eastAsia" w:ascii="Times New Roman" w:hAnsi="Times New Roman"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lang w:val="en-US" w:eastAsia="zh-CN"/>
        </w:rPr>
        <w:t>谋划市域（郊）快速轨道交通项目</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绩效目标实现情况：</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val="en-US" w:eastAsia="zh-CN"/>
        </w:rPr>
      </w:pPr>
      <w:r>
        <w:rPr>
          <w:rFonts w:hint="eastAsia" w:ascii="仿宋" w:hAnsi="仿宋" w:eastAsia="仿宋" w:cs="仿宋"/>
          <w:b w:val="0"/>
          <w:bCs w:val="0"/>
          <w:color w:val="auto"/>
          <w:sz w:val="32"/>
          <w:szCs w:val="32"/>
          <w:lang w:val="en-US" w:eastAsia="zh-CN"/>
        </w:rPr>
        <w:t>编制完成《石家庄市域（郊）铁路线网规划》中间成果，并选取藁城线进行深入研究，达到预可行性研究的深度，并积极跑办国家发改委进行项目申报</w:t>
      </w:r>
      <w:r>
        <w:rPr>
          <w:rFonts w:hint="default" w:ascii="Times New Roman" w:hAnsi="Times New Roman" w:eastAsia="仿宋" w:cs="Times New Roman"/>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绩效指标分析：</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仿宋" w:hAnsi="仿宋" w:eastAsia="仿宋" w:cs="仿宋"/>
          <w:color w:val="auto"/>
          <w:sz w:val="32"/>
          <w:szCs w:val="32"/>
          <w:lang w:val="en-US" w:eastAsia="zh-CN"/>
        </w:rPr>
      </w:pPr>
      <w:r>
        <w:rPr>
          <w:rFonts w:hint="eastAsia" w:ascii="仿宋" w:hAnsi="仿宋" w:eastAsia="仿宋" w:cs="仿宋"/>
          <w:b w:val="0"/>
          <w:bCs w:val="0"/>
          <w:color w:val="auto"/>
          <w:sz w:val="32"/>
          <w:szCs w:val="32"/>
          <w:lang w:val="en-US" w:eastAsia="zh-CN"/>
        </w:rPr>
        <w:t>根据</w:t>
      </w:r>
      <w:r>
        <w:rPr>
          <w:rFonts w:hint="eastAsia" w:ascii="仿宋" w:hAnsi="仿宋" w:eastAsia="仿宋" w:cs="仿宋"/>
          <w:color w:val="auto"/>
          <w:sz w:val="32"/>
          <w:szCs w:val="32"/>
          <w:lang w:val="en-US" w:eastAsia="zh-CN"/>
        </w:rPr>
        <w:t>国家相关文件明确的市域（郊）铁路的技术指标、发展原则及审批要求，编制完成了《石家庄市域（郊）铁路线网规划》中间成果，远期规划了以中心城区、正定为核心连接周边地区，覆盖整个市域的约500公里市域（郊）铁路网。</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color w:val="auto"/>
          <w:sz w:val="32"/>
          <w:szCs w:val="32"/>
          <w:lang w:val="en-US" w:eastAsia="zh-CN"/>
        </w:rPr>
      </w:pPr>
      <w:r>
        <w:rPr>
          <w:rFonts w:hint="eastAsia" w:ascii="仿宋" w:hAnsi="仿宋" w:eastAsia="仿宋" w:cs="仿宋"/>
          <w:color w:val="auto"/>
          <w:sz w:val="32"/>
          <w:szCs w:val="32"/>
          <w:lang w:val="en-US" w:eastAsia="zh-CN"/>
        </w:rPr>
        <w:t>选取市域（郊）铁路藁城线作为示范线，在工程技术、资金筹措、土地综合开发等方面对其进行了深入研究，组织编制了预可行性研究报告，同时，积极跑办国家发改委进行沟通问计，寻求支持，待上位规划依据、财政承受能力等条件成熟后，再向国家发改委申报。</w:t>
      </w:r>
      <w:r>
        <w:rPr>
          <w:rFonts w:hint="default" w:ascii="Times New Roman" w:hAnsi="Times New Roman" w:eastAsia="仿宋" w:cs="Times New Roman"/>
          <w:color w:val="auto"/>
          <w:sz w:val="32"/>
          <w:szCs w:val="32"/>
          <w:lang w:val="en-US" w:eastAsia="zh-CN"/>
        </w:rPr>
        <w:t>本项工作已按照年初制定的绩效目标、指标全部完成。</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default" w:ascii="Times New Roman" w:hAnsi="Times New Roman" w:eastAsia="仿宋" w:cs="Times New Roman"/>
          <w:b/>
          <w:bCs/>
          <w:color w:val="auto"/>
          <w:sz w:val="32"/>
          <w:szCs w:val="32"/>
          <w:lang w:eastAsia="zh-CN"/>
        </w:rPr>
      </w:pPr>
      <w:r>
        <w:rPr>
          <w:rFonts w:hint="default" w:ascii="Times New Roman" w:hAnsi="Times New Roman" w:eastAsia="仿宋" w:cs="Times New Roman"/>
          <w:b/>
          <w:bCs/>
          <w:color w:val="auto"/>
          <w:sz w:val="32"/>
          <w:szCs w:val="32"/>
          <w:highlight w:val="none"/>
          <w:lang w:val="en-US" w:eastAsia="zh-CN"/>
        </w:rPr>
        <w:t>5</w:t>
      </w:r>
      <w:r>
        <w:rPr>
          <w:rFonts w:hint="eastAsia" w:ascii="Times New Roman" w:hAnsi="Times New Roman"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lang w:val="en-US" w:eastAsia="zh-CN"/>
        </w:rPr>
        <w:t>完成塔北路管廊竣工决算审计工作</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绩效目标实现情况：</w:t>
      </w:r>
    </w:p>
    <w:p>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塔北路管廊竣工决算审计工作通过招标确定的第三方审计机构为：河北华林工程造价咨询有限公司和河北德永会计师事务所有限公司，由第三方审计机构对地下综合管廊（塔北路段）工程PPP项目完成审计工作。</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绩效指标分析：</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第三方审计单位按照招投标审计合同内容及要求，积极完成各项审计工作，并出具符合于财政部门要求的竣工决算审计报告20份，同时，出具竣工决算审计有关联的相关审计报告20份，塔北路综合管廊PPP项目竣工决算审计工作完成</w:t>
      </w:r>
      <w:r>
        <w:rPr>
          <w:rFonts w:hint="eastAsia" w:cs="Times New Roman"/>
          <w:color w:val="auto"/>
          <w:sz w:val="32"/>
          <w:szCs w:val="32"/>
          <w:lang w:val="en-US" w:eastAsia="zh-CN"/>
        </w:rPr>
        <w:t>后</w:t>
      </w:r>
      <w:r>
        <w:rPr>
          <w:rFonts w:hint="default" w:ascii="Times New Roman" w:hAnsi="Times New Roman" w:eastAsia="仿宋_GB2312" w:cs="Times New Roman"/>
          <w:color w:val="auto"/>
          <w:sz w:val="32"/>
          <w:szCs w:val="32"/>
          <w:lang w:val="en-US" w:eastAsia="zh-CN"/>
        </w:rPr>
        <w:t>，轨道办将14.8万审计费用100%支付给第三方审计机构。</w:t>
      </w:r>
      <w:r>
        <w:rPr>
          <w:rFonts w:hint="default" w:ascii="Times New Roman" w:hAnsi="Times New Roman" w:eastAsia="仿宋" w:cs="Times New Roman"/>
          <w:color w:val="auto"/>
          <w:sz w:val="32"/>
          <w:szCs w:val="32"/>
          <w:lang w:val="en-US" w:eastAsia="zh-CN"/>
        </w:rPr>
        <w:t>本项工作已按照年初制定的绩效目标、指标全部完成。</w:t>
      </w:r>
    </w:p>
    <w:p>
      <w:pPr>
        <w:pStyle w:val="2"/>
        <w:keepNext w:val="0"/>
        <w:keepLines w:val="0"/>
        <w:pageBreakBefore w:val="0"/>
        <w:kinsoku/>
        <w:wordWrap/>
        <w:overflowPunct/>
        <w:topLinePunct w:val="0"/>
        <w:autoSpaceDE/>
        <w:autoSpaceDN/>
        <w:bidi w:val="0"/>
        <w:spacing w:line="590" w:lineRule="exact"/>
        <w:ind w:left="0" w:leftChars="0" w:firstLine="643" w:firstLineChars="200"/>
        <w:textAlignment w:val="auto"/>
        <w:rPr>
          <w:rFonts w:hint="default" w:ascii="Times New Roman" w:hAnsi="Times New Roman" w:eastAsia="仿宋" w:cs="Times New Roman"/>
          <w:b/>
          <w:bCs/>
          <w:color w:val="auto"/>
          <w:sz w:val="32"/>
          <w:szCs w:val="32"/>
          <w:lang w:eastAsia="zh-CN"/>
        </w:rPr>
      </w:pPr>
      <w:r>
        <w:rPr>
          <w:rFonts w:hint="default" w:ascii="Times New Roman" w:hAnsi="Times New Roman" w:eastAsia="仿宋" w:cs="Times New Roman"/>
          <w:b/>
          <w:bCs/>
          <w:color w:val="auto"/>
          <w:sz w:val="32"/>
          <w:szCs w:val="32"/>
          <w:highlight w:val="none"/>
          <w:lang w:val="en-US" w:eastAsia="zh-CN"/>
        </w:rPr>
        <w:t>6</w:t>
      </w:r>
      <w:r>
        <w:rPr>
          <w:rFonts w:hint="eastAsia" w:ascii="Times New Roman" w:hAnsi="Times New Roman"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lang w:val="en-US" w:eastAsia="zh-CN"/>
        </w:rPr>
        <w:t>推动塔北路管廊运营工作顺利进行</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绩效目标实现情况：</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color w:val="auto"/>
          <w:sz w:val="32"/>
          <w:szCs w:val="32"/>
          <w:lang w:val="en-US" w:eastAsia="zh-CN"/>
        </w:rPr>
        <w:t>地下综合管廊（塔北路段）运营工作</w:t>
      </w:r>
      <w:r>
        <w:rPr>
          <w:rFonts w:hint="default" w:ascii="Times New Roman" w:hAnsi="Times New Roman" w:eastAsia="仿宋" w:cs="Times New Roman"/>
          <w:b w:val="0"/>
          <w:bCs w:val="0"/>
          <w:color w:val="auto"/>
          <w:sz w:val="32"/>
          <w:szCs w:val="32"/>
          <w:lang w:eastAsia="zh-CN"/>
        </w:rPr>
        <w:t>本年度</w:t>
      </w:r>
      <w:r>
        <w:rPr>
          <w:rFonts w:hint="default" w:ascii="Times New Roman" w:hAnsi="Times New Roman" w:eastAsia="仿宋" w:cs="Times New Roman"/>
          <w:b w:val="0"/>
          <w:bCs w:val="0"/>
          <w:color w:val="auto"/>
          <w:sz w:val="32"/>
          <w:szCs w:val="32"/>
          <w:lang w:val="en-US" w:eastAsia="zh-CN"/>
        </w:rPr>
        <w:t>实现了科学运营、安全运营，无事故发生，绩效考核达标的总体目标</w:t>
      </w:r>
      <w:r>
        <w:rPr>
          <w:rFonts w:hint="default" w:ascii="Times New Roman" w:hAnsi="Times New Roman" w:eastAsia="仿宋"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绩效指标分析：</w:t>
      </w:r>
    </w:p>
    <w:p>
      <w:pPr>
        <w:pStyle w:val="2"/>
        <w:keepNext w:val="0"/>
        <w:keepLines w:val="0"/>
        <w:pageBreakBefore w:val="0"/>
        <w:kinsoku/>
        <w:wordWrap/>
        <w:overflowPunct/>
        <w:topLinePunct w:val="0"/>
        <w:autoSpaceDE/>
        <w:autoSpaceDN/>
        <w:bidi w:val="0"/>
        <w:spacing w:line="590" w:lineRule="exact"/>
        <w:ind w:left="0" w:leftChars="0" w:firstLine="640" w:firstLineChars="200"/>
        <w:jc w:val="both"/>
        <w:textAlignment w:val="auto"/>
        <w:rPr>
          <w:rFonts w:hint="default" w:ascii="Times New Roman" w:hAnsi="Times New Roman" w:eastAsia="仿宋" w:cs="Times New Roman"/>
          <w:b/>
          <w:bCs/>
          <w:color w:val="auto"/>
          <w:sz w:val="32"/>
          <w:szCs w:val="32"/>
          <w:lang w:eastAsia="zh-CN"/>
        </w:rPr>
      </w:pPr>
      <w:r>
        <w:rPr>
          <w:rFonts w:hint="default" w:ascii="Times New Roman" w:hAnsi="Times New Roman" w:eastAsia="仿宋" w:cs="Times New Roman"/>
          <w:b w:val="0"/>
          <w:bCs w:val="0"/>
          <w:color w:val="auto"/>
          <w:sz w:val="32"/>
          <w:szCs w:val="32"/>
          <w:lang w:val="en-US" w:eastAsia="zh-CN"/>
        </w:rPr>
        <w:t>2021年3月完成第一季度绩效考核并达标，得分为90.5分，为管廊申请发放第一季度运营期缺口性补助1300万元，4月份完成支付；2021年6月完成第二季度绩效考核并达标，得分为91.5分，2021年8月完成一次随机绩效考核并达标，得分为90.5分，2021年9月完成第三季度绩效考核并达标，得分为91.5分，为管廊申请发放第二、三季度运营期缺口性补助2600万元</w:t>
      </w:r>
      <w:r>
        <w:rPr>
          <w:rFonts w:hint="eastAsia" w:eastAsia="仿宋" w:cs="Times New Roman"/>
          <w:b w:val="0"/>
          <w:bCs w:val="0"/>
          <w:color w:val="auto"/>
          <w:sz w:val="32"/>
          <w:szCs w:val="32"/>
          <w:lang w:val="en-US" w:eastAsia="zh-CN"/>
        </w:rPr>
        <w:t>，并及时支付完成</w:t>
      </w:r>
      <w:r>
        <w:rPr>
          <w:rFonts w:hint="default" w:ascii="Times New Roman" w:hAnsi="Times New Roman" w:eastAsia="仿宋" w:cs="Times New Roman"/>
          <w:b w:val="0"/>
          <w:bCs w:val="0"/>
          <w:color w:val="auto"/>
          <w:sz w:val="32"/>
          <w:szCs w:val="32"/>
          <w:lang w:val="en-US" w:eastAsia="zh-CN"/>
        </w:rPr>
        <w:t>。2021年10月完成第四季度绩效考核并达标，得分为90.8分，</w:t>
      </w:r>
      <w:r>
        <w:rPr>
          <w:rFonts w:hint="default" w:ascii="Times New Roman" w:hAnsi="Times New Roman" w:eastAsia="仿宋" w:cs="Times New Roman"/>
          <w:color w:val="auto"/>
          <w:sz w:val="32"/>
          <w:szCs w:val="32"/>
          <w:lang w:val="en-US" w:eastAsia="zh-CN"/>
        </w:rPr>
        <w:t>每次考核分数都在80分以上，</w:t>
      </w:r>
      <w:r>
        <w:rPr>
          <w:rFonts w:hint="default" w:ascii="Times New Roman" w:hAnsi="Times New Roman" w:eastAsia="仿宋" w:cs="Times New Roman"/>
          <w:b w:val="0"/>
          <w:bCs w:val="0"/>
          <w:color w:val="auto"/>
          <w:sz w:val="32"/>
          <w:szCs w:val="32"/>
          <w:lang w:val="en-US" w:eastAsia="zh-CN"/>
        </w:rPr>
        <w:t>全年考核均分为90.975分。本年度对入廊单位进行了2次客户满意度调查，未收到任何投诉，满意度为100%。</w:t>
      </w:r>
    </w:p>
    <w:p>
      <w:pPr>
        <w:pStyle w:val="2"/>
        <w:keepNext w:val="0"/>
        <w:keepLines w:val="0"/>
        <w:pageBreakBefore w:val="0"/>
        <w:kinsoku/>
        <w:wordWrap/>
        <w:overflowPunct/>
        <w:topLinePunct w:val="0"/>
        <w:autoSpaceDE/>
        <w:autoSpaceDN/>
        <w:bidi w:val="0"/>
        <w:spacing w:line="590" w:lineRule="exact"/>
        <w:ind w:left="0" w:leftChars="0" w:firstLine="640" w:firstLineChars="200"/>
        <w:textAlignment w:val="auto"/>
        <w:rPr>
          <w:rFonts w:hint="default" w:ascii="Times New Roman" w:hAnsi="Times New Roman" w:cs="Times New Roman"/>
          <w:color w:val="auto"/>
          <w:lang w:val="en-US" w:eastAsia="zh-CN"/>
        </w:rPr>
      </w:pPr>
      <w:r>
        <w:rPr>
          <w:rFonts w:hint="default" w:ascii="Times New Roman" w:hAnsi="Times New Roman" w:eastAsia="仿宋" w:cs="Times New Roman"/>
          <w:b w:val="0"/>
          <w:bCs w:val="0"/>
          <w:color w:val="auto"/>
          <w:sz w:val="32"/>
          <w:szCs w:val="32"/>
          <w:lang w:eastAsia="zh-CN"/>
        </w:rPr>
        <w:t>指标实现情况总体良好，为塔北路管廊申请发放缺口性补助，保障管廊正常运营维护的资金需求，确保管廊能够科学规范运营；通过绩效考核方式，进一步强化监管，督促嘉泰管廊公司对考核中发现的问题进行整改，确保历次绩效考核达标，不断提升管理维护水平，保障管廊安全运营。</w:t>
      </w:r>
      <w:r>
        <w:rPr>
          <w:rFonts w:hint="default" w:ascii="Times New Roman" w:hAnsi="Times New Roman" w:eastAsia="仿宋" w:cs="Times New Roman"/>
          <w:color w:val="auto"/>
          <w:sz w:val="32"/>
          <w:szCs w:val="32"/>
          <w:lang w:val="en-US" w:eastAsia="zh-CN"/>
        </w:rPr>
        <w:t>本项工作已按照年初制定的绩效目标、指标全部完成。</w:t>
      </w:r>
    </w:p>
    <w:p>
      <w:pPr>
        <w:pStyle w:val="2"/>
        <w:keepNext w:val="0"/>
        <w:keepLines w:val="0"/>
        <w:pageBreakBefore w:val="0"/>
        <w:kinsoku/>
        <w:wordWrap/>
        <w:overflowPunct/>
        <w:topLinePunct w:val="0"/>
        <w:autoSpaceDE/>
        <w:autoSpaceDN/>
        <w:bidi w:val="0"/>
        <w:spacing w:line="590" w:lineRule="exact"/>
        <w:ind w:left="0" w:leftChars="0" w:firstLine="643" w:firstLineChars="200"/>
        <w:textAlignment w:val="auto"/>
        <w:rPr>
          <w:rFonts w:hint="default" w:ascii="Times New Roman" w:hAnsi="Times New Roman" w:eastAsia="仿宋" w:cs="Times New Roman"/>
          <w:b/>
          <w:bCs/>
          <w:color w:val="auto"/>
          <w:sz w:val="32"/>
          <w:szCs w:val="32"/>
          <w:highlight w:val="none"/>
          <w:lang w:val="en-US" w:eastAsia="zh-CN"/>
        </w:rPr>
      </w:pPr>
      <w:r>
        <w:rPr>
          <w:rFonts w:hint="default" w:ascii="Times New Roman" w:hAnsi="Times New Roman" w:eastAsia="仿宋" w:cs="Times New Roman"/>
          <w:b/>
          <w:bCs/>
          <w:color w:val="auto"/>
          <w:sz w:val="32"/>
          <w:szCs w:val="32"/>
          <w:highlight w:val="none"/>
          <w:lang w:val="en-US" w:eastAsia="zh-CN"/>
        </w:rPr>
        <w:t>7</w:t>
      </w:r>
      <w:r>
        <w:rPr>
          <w:rFonts w:hint="eastAsia" w:eastAsia="仿宋" w:cs="Times New Roman"/>
          <w:b/>
          <w:bCs/>
          <w:color w:val="auto"/>
          <w:sz w:val="32"/>
          <w:szCs w:val="32"/>
          <w:highlight w:val="none"/>
          <w:lang w:val="en-US" w:eastAsia="zh-CN"/>
        </w:rPr>
        <w:t>.</w:t>
      </w:r>
      <w:r>
        <w:rPr>
          <w:rFonts w:hint="default" w:ascii="Times New Roman" w:hAnsi="Times New Roman" w:eastAsia="仿宋" w:cs="Times New Roman"/>
          <w:b/>
          <w:bCs/>
          <w:color w:val="auto"/>
          <w:sz w:val="32"/>
          <w:szCs w:val="32"/>
          <w:highlight w:val="none"/>
          <w:lang w:val="en-US" w:eastAsia="zh-CN"/>
        </w:rPr>
        <w:t>完成塔北路管廊运营维护绩效考核</w:t>
      </w:r>
    </w:p>
    <w:p>
      <w:pPr>
        <w:pStyle w:val="2"/>
        <w:keepNext w:val="0"/>
        <w:keepLines w:val="0"/>
        <w:pageBreakBefore w:val="0"/>
        <w:kinsoku/>
        <w:wordWrap/>
        <w:overflowPunct/>
        <w:topLinePunct w:val="0"/>
        <w:autoSpaceDE/>
        <w:autoSpaceDN/>
        <w:bidi w:val="0"/>
        <w:spacing w:line="590" w:lineRule="exact"/>
        <w:ind w:left="0" w:leftChars="0" w:firstLine="640" w:firstLineChars="200"/>
        <w:jc w:val="both"/>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绩效目标实现情况：</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仿宋" w:cs="Times New Roman"/>
          <w:color w:val="auto"/>
          <w:sz w:val="32"/>
          <w:szCs w:val="32"/>
          <w:lang w:val="en-US" w:eastAsia="zh-CN"/>
        </w:rPr>
        <w:t>地下综合管廊（塔北路段）运营维护绩效考核项目聘请第三方进行了5次绩效考核工作，</w:t>
      </w:r>
      <w:r>
        <w:rPr>
          <w:rFonts w:hint="default" w:ascii="Times New Roman" w:hAnsi="Times New Roman" w:eastAsia="仿宋" w:cs="Times New Roman"/>
          <w:b w:val="0"/>
          <w:bCs w:val="0"/>
          <w:color w:val="auto"/>
          <w:sz w:val="32"/>
          <w:szCs w:val="32"/>
          <w:lang w:val="en-US" w:eastAsia="zh-CN"/>
        </w:rPr>
        <w:t>出具了一份年度考核报告，对全年绩效考核情况进行了总结。</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left"/>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 w:cs="Times New Roman"/>
          <w:b w:val="0"/>
          <w:bCs w:val="0"/>
          <w:color w:val="auto"/>
          <w:sz w:val="32"/>
          <w:szCs w:val="32"/>
          <w:lang w:eastAsia="zh-CN"/>
        </w:rPr>
        <w:t>绩效指标分析：</w:t>
      </w:r>
    </w:p>
    <w:p>
      <w:pPr>
        <w:pStyle w:val="2"/>
        <w:keepNext w:val="0"/>
        <w:keepLines w:val="0"/>
        <w:pageBreakBefore w:val="0"/>
        <w:kinsoku/>
        <w:wordWrap/>
        <w:overflowPunct/>
        <w:topLinePunct w:val="0"/>
        <w:autoSpaceDE/>
        <w:autoSpaceDN/>
        <w:bidi w:val="0"/>
        <w:spacing w:line="590" w:lineRule="exact"/>
        <w:ind w:left="0" w:leftChars="0" w:firstLine="640" w:firstLineChars="200"/>
        <w:jc w:val="both"/>
        <w:textAlignment w:val="auto"/>
        <w:rPr>
          <w:rFonts w:hint="default" w:ascii="Times New Roman" w:hAnsi="Times New Roman" w:cs="Times New Roman"/>
          <w:color w:val="auto"/>
        </w:rPr>
      </w:pPr>
      <w:r>
        <w:rPr>
          <w:rFonts w:hint="default" w:ascii="Times New Roman" w:hAnsi="Times New Roman" w:eastAsia="仿宋" w:cs="Times New Roman"/>
          <w:b w:val="0"/>
          <w:bCs w:val="0"/>
          <w:color w:val="auto"/>
          <w:sz w:val="32"/>
          <w:szCs w:val="32"/>
          <w:lang w:val="en-US" w:eastAsia="zh-CN"/>
        </w:rPr>
        <w:t>全年总共聘请河北省建筑科学研究院进行了5次绩效考核，包含4次定期的季度绩效考核，1次不定期的随机绩效考核。2021年3月对塔北路管廊进行了第一季度绩效考核并出具报告，6月进行了第二季度绩效考核并出具报告，8月进行了一次随机绩效考核并出具报告，9月进行了第三季度绩效考核并出具报告，10月进行了第四季度绩效考核并出具报告。历次考核结束，均将发现的问题通报嘉泰管廊公司，并督促其进行整改。全年所有考核完成后，省建研院出具了一份年度考核报告，对全年绩效考核情况进行了总结。</w:t>
      </w:r>
      <w:r>
        <w:rPr>
          <w:rFonts w:hint="default" w:ascii="Times New Roman" w:hAnsi="Times New Roman" w:eastAsia="仿宋" w:cs="Times New Roman"/>
          <w:color w:val="auto"/>
          <w:sz w:val="32"/>
          <w:szCs w:val="32"/>
          <w:lang w:val="en-US" w:eastAsia="zh-CN"/>
        </w:rPr>
        <w:t>本项工作已按照年初制定的绩效目标、指标全部完成。</w:t>
      </w:r>
    </w:p>
    <w:p>
      <w:pPr>
        <w:keepNext w:val="0"/>
        <w:keepLines w:val="0"/>
        <w:pageBreakBefore w:val="0"/>
        <w:widowControl w:val="0"/>
        <w:kinsoku/>
        <w:wordWrap/>
        <w:overflowPunct/>
        <w:topLinePunct w:val="0"/>
        <w:autoSpaceDE/>
        <w:autoSpaceDN/>
        <w:bidi w:val="0"/>
        <w:spacing w:line="590" w:lineRule="exact"/>
        <w:ind w:left="0" w:leftChars="0" w:right="0" w:firstLine="640" w:firstLineChars="200"/>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四、评价结论和评价等级</w:t>
      </w:r>
    </w:p>
    <w:p>
      <w:pPr>
        <w:keepNext w:val="0"/>
        <w:keepLines w:val="0"/>
        <w:pageBreakBefore w:val="0"/>
        <w:widowControl w:val="0"/>
        <w:kinsoku/>
        <w:wordWrap/>
        <w:overflowPunct/>
        <w:topLinePunct w:val="0"/>
        <w:autoSpaceDE/>
        <w:autoSpaceDN/>
        <w:bidi w:val="0"/>
        <w:spacing w:line="590" w:lineRule="exact"/>
        <w:ind w:left="0" w:leftChars="0" w:right="0" w:firstLine="640" w:firstLineChars="200"/>
        <w:textAlignment w:val="auto"/>
        <w:outlineLvl w:val="9"/>
        <w:rPr>
          <w:rFonts w:hint="default" w:ascii="Times New Roman" w:hAnsi="Times New Roman" w:eastAsia="仿宋" w:cs="Times New Roman"/>
          <w:strike w:val="0"/>
          <w:color w:val="auto"/>
          <w:sz w:val="32"/>
          <w:szCs w:val="32"/>
        </w:rPr>
      </w:pPr>
      <w:r>
        <w:rPr>
          <w:rFonts w:hint="default" w:ascii="Times New Roman" w:hAnsi="Times New Roman" w:eastAsia="仿宋" w:cs="Times New Roman"/>
          <w:strike w:val="0"/>
          <w:dstrike w:val="0"/>
          <w:color w:val="auto"/>
          <w:sz w:val="32"/>
          <w:szCs w:val="32"/>
        </w:rPr>
        <w:t>根据</w:t>
      </w:r>
      <w:r>
        <w:rPr>
          <w:rFonts w:hint="default" w:ascii="Times New Roman" w:hAnsi="Times New Roman" w:eastAsia="仿宋" w:cs="Times New Roman"/>
          <w:strike w:val="0"/>
          <w:dstrike w:val="0"/>
          <w:color w:val="auto"/>
          <w:sz w:val="32"/>
          <w:szCs w:val="32"/>
          <w:lang w:eastAsia="zh-CN"/>
        </w:rPr>
        <w:t>部门职责定位和各项工作履职情况进行综合评价</w:t>
      </w:r>
      <w:r>
        <w:rPr>
          <w:rFonts w:hint="default" w:ascii="Times New Roman" w:hAnsi="Times New Roman" w:eastAsia="仿宋" w:cs="Times New Roman"/>
          <w:strike w:val="0"/>
          <w:dstrike w:val="0"/>
          <w:color w:val="auto"/>
          <w:sz w:val="32"/>
          <w:szCs w:val="32"/>
        </w:rPr>
        <w:t>，给出总得分，满分100分，得出综合绩效评价等级。</w:t>
      </w:r>
      <w:r>
        <w:rPr>
          <w:rFonts w:hint="default" w:ascii="Times New Roman" w:hAnsi="Times New Roman" w:eastAsia="仿宋" w:cs="Times New Roman"/>
          <w:strike w:val="0"/>
          <w:dstrike w:val="0"/>
          <w:color w:val="auto"/>
          <w:sz w:val="32"/>
          <w:szCs w:val="32"/>
          <w:lang w:eastAsia="zh-CN"/>
        </w:rPr>
        <w:t>部门整体支出</w:t>
      </w:r>
      <w:r>
        <w:rPr>
          <w:rFonts w:hint="default" w:ascii="Times New Roman" w:hAnsi="Times New Roman" w:eastAsia="仿宋" w:cs="Times New Roman"/>
          <w:strike w:val="0"/>
          <w:dstrike w:val="0"/>
          <w:color w:val="auto"/>
          <w:sz w:val="32"/>
          <w:szCs w:val="32"/>
        </w:rPr>
        <w:t>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jc w:val="both"/>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轨道交通3号线一期东段工程（石家庄站（不含）至三教堂）和3号线二期工程如期竣工，</w:t>
      </w:r>
      <w:r>
        <w:rPr>
          <w:rFonts w:hint="default" w:ascii="Times New Roman" w:hAnsi="Times New Roman" w:eastAsia="仿宋" w:cs="Times New Roman"/>
          <w:b w:val="0"/>
          <w:bCs w:val="0"/>
          <w:color w:val="auto"/>
          <w:sz w:val="32"/>
          <w:szCs w:val="32"/>
          <w:lang w:eastAsia="zh-CN"/>
        </w:rPr>
        <w:t>并顺利通过</w:t>
      </w:r>
      <w:r>
        <w:rPr>
          <w:rFonts w:hint="default" w:ascii="Times New Roman" w:hAnsi="Times New Roman" w:eastAsia="仿宋" w:cs="Times New Roman"/>
          <w:color w:val="auto"/>
          <w:sz w:val="32"/>
          <w:szCs w:val="32"/>
          <w:lang w:val="en-US" w:eastAsia="zh-CN"/>
        </w:rPr>
        <w:t>初期运营前安全评估</w:t>
      </w:r>
      <w:r>
        <w:rPr>
          <w:rFonts w:hint="default" w:ascii="Times New Roman" w:hAnsi="Times New Roman" w:eastAsia="仿宋" w:cs="Times New Roman"/>
          <w:b w:val="0"/>
          <w:bCs w:val="0"/>
          <w:color w:val="auto"/>
          <w:sz w:val="32"/>
          <w:szCs w:val="32"/>
          <w:lang w:eastAsia="zh-CN"/>
        </w:rPr>
        <w:t>，</w:t>
      </w:r>
      <w:r>
        <w:rPr>
          <w:rFonts w:hint="default" w:ascii="Times New Roman" w:hAnsi="Times New Roman" w:eastAsia="仿宋" w:cs="Times New Roman"/>
          <w:color w:val="auto"/>
          <w:sz w:val="32"/>
          <w:szCs w:val="32"/>
          <w:lang w:val="en-US" w:eastAsia="zh-CN"/>
        </w:rPr>
        <w:t>于</w:t>
      </w:r>
      <w:r>
        <w:rPr>
          <w:rFonts w:hint="default" w:ascii="Times New Roman" w:hAnsi="Times New Roman" w:eastAsia="仿宋_GB2312" w:cs="Times New Roman"/>
          <w:color w:val="auto"/>
          <w:sz w:val="32"/>
          <w:szCs w:val="32"/>
        </w:rPr>
        <w:t>2021年4月6日</w:t>
      </w:r>
      <w:r>
        <w:rPr>
          <w:rFonts w:hint="default" w:ascii="Times New Roman" w:hAnsi="Times New Roman" w:eastAsia="仿宋" w:cs="Times New Roman"/>
          <w:b w:val="0"/>
          <w:bCs w:val="0"/>
          <w:color w:val="auto"/>
          <w:sz w:val="32"/>
          <w:szCs w:val="32"/>
          <w:lang w:val="en-US" w:eastAsia="zh-CN"/>
        </w:rPr>
        <w:t>开通初期运营，自评得分100分，综合绩效评价等级为优秀；</w:t>
      </w:r>
      <w:r>
        <w:rPr>
          <w:rFonts w:hint="default" w:ascii="Times New Roman" w:hAnsi="Times New Roman" w:eastAsia="仿宋" w:cs="Times New Roman"/>
          <w:color w:val="auto"/>
          <w:sz w:val="32"/>
          <w:szCs w:val="32"/>
          <w:lang w:val="en-US" w:eastAsia="zh-CN"/>
        </w:rPr>
        <w:t>市轨道交通3号线一期东段及二期工程建设和初期运营前安全评估2项绩效目标均达到预期，无任何问题，</w:t>
      </w:r>
      <w:r>
        <w:rPr>
          <w:rFonts w:hint="default" w:ascii="Times New Roman" w:hAnsi="Times New Roman" w:eastAsia="仿宋" w:cs="Times New Roman"/>
          <w:b w:val="0"/>
          <w:bCs w:val="0"/>
          <w:color w:val="auto"/>
          <w:sz w:val="32"/>
          <w:szCs w:val="32"/>
          <w:lang w:val="en-US" w:eastAsia="zh-CN"/>
        </w:rPr>
        <w:t>自评得分100分，综合绩效评价等级为优秀</w:t>
      </w:r>
      <w:r>
        <w:rPr>
          <w:rFonts w:hint="default" w:ascii="Times New Roman" w:hAnsi="Times New Roman" w:eastAsia="仿宋" w:cs="Times New Roman"/>
          <w:color w:val="auto"/>
          <w:sz w:val="32"/>
          <w:szCs w:val="32"/>
          <w:lang w:val="en-US" w:eastAsia="zh-CN"/>
        </w:rPr>
        <w:t>；结合2035版国土空间总体规划，同步编制完成了新版轨道交通线网规划中间成果，</w:t>
      </w:r>
      <w:r>
        <w:rPr>
          <w:rFonts w:hint="default" w:ascii="Times New Roman" w:hAnsi="Times New Roman" w:eastAsia="仿宋" w:cs="Times New Roman"/>
          <w:strike w:val="0"/>
          <w:dstrike w:val="0"/>
          <w:color w:val="auto"/>
          <w:sz w:val="32"/>
          <w:szCs w:val="32"/>
          <w:highlight w:val="none"/>
          <w:lang w:val="en-US" w:eastAsia="zh-CN"/>
        </w:rPr>
        <w:t>相关工作严格按照年初制定的绩效目标、指标，保质保量的完成了相关工作任务，总体完成情况良好，</w:t>
      </w:r>
      <w:r>
        <w:rPr>
          <w:rFonts w:hint="default" w:ascii="Times New Roman" w:hAnsi="Times New Roman" w:eastAsia="仿宋" w:cs="Times New Roman"/>
          <w:b w:val="0"/>
          <w:bCs w:val="0"/>
          <w:color w:val="auto"/>
          <w:sz w:val="32"/>
          <w:szCs w:val="32"/>
          <w:highlight w:val="none"/>
          <w:lang w:val="en-US" w:eastAsia="zh-CN"/>
        </w:rPr>
        <w:t>自评得分100分，综合绩效评价等级为优秀</w:t>
      </w:r>
      <w:r>
        <w:rPr>
          <w:rFonts w:hint="default" w:ascii="Times New Roman" w:hAnsi="Times New Roman" w:eastAsia="仿宋" w:cs="Times New Roman"/>
          <w:strike w:val="0"/>
          <w:dstrike w:val="0"/>
          <w:color w:val="auto"/>
          <w:sz w:val="32"/>
          <w:szCs w:val="32"/>
          <w:highlight w:val="none"/>
          <w:lang w:val="en-US" w:eastAsia="zh-CN"/>
        </w:rPr>
        <w:t>；</w:t>
      </w:r>
      <w:r>
        <w:rPr>
          <w:rFonts w:hint="eastAsia" w:ascii="仿宋" w:hAnsi="仿宋" w:eastAsia="仿宋" w:cs="仿宋"/>
          <w:color w:val="auto"/>
          <w:sz w:val="32"/>
          <w:szCs w:val="32"/>
          <w:lang w:val="en-US" w:eastAsia="zh-CN"/>
        </w:rPr>
        <w:t>编制完成《石家庄市域（郊）铁路线网规划》中间成果，</w:t>
      </w:r>
      <w:r>
        <w:rPr>
          <w:rFonts w:hint="default" w:ascii="Times New Roman" w:hAnsi="Times New Roman" w:eastAsia="仿宋" w:cs="Times New Roman"/>
          <w:color w:val="auto"/>
          <w:sz w:val="32"/>
          <w:szCs w:val="32"/>
          <w:lang w:val="en-US" w:eastAsia="zh-CN"/>
        </w:rPr>
        <w:t>并选取藁城线进行深入研究，达到预可行性研究的深度，并积极跑办国家发改委进行项目申报，</w:t>
      </w:r>
      <w:r>
        <w:rPr>
          <w:rFonts w:hint="default" w:ascii="Times New Roman" w:hAnsi="Times New Roman" w:eastAsia="仿宋" w:cs="Times New Roman"/>
          <w:strike w:val="0"/>
          <w:dstrike w:val="0"/>
          <w:color w:val="auto"/>
          <w:sz w:val="32"/>
          <w:szCs w:val="32"/>
          <w:highlight w:val="none"/>
          <w:lang w:val="en-US" w:eastAsia="zh-CN"/>
        </w:rPr>
        <w:t>相关工作严格按照年初制定的绩效目标、指标，保质保量的完成了相关工作任务，总体完成情况良好，</w:t>
      </w:r>
      <w:r>
        <w:rPr>
          <w:rFonts w:hint="default" w:ascii="Times New Roman" w:hAnsi="Times New Roman" w:eastAsia="仿宋" w:cs="Times New Roman"/>
          <w:b w:val="0"/>
          <w:bCs w:val="0"/>
          <w:color w:val="auto"/>
          <w:sz w:val="32"/>
          <w:szCs w:val="32"/>
          <w:highlight w:val="none"/>
          <w:lang w:val="en-US" w:eastAsia="zh-CN"/>
        </w:rPr>
        <w:t>自评得分100分，综合绩效评价等级为优秀</w:t>
      </w:r>
      <w:r>
        <w:rPr>
          <w:rFonts w:hint="default" w:ascii="Times New Roman" w:hAnsi="Times New Roman" w:eastAsia="仿宋" w:cs="Times New Roman"/>
          <w:strike w:val="0"/>
          <w:dstrike w:val="0"/>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塔北路综合管廊PPP工程项目竣工决算审计工作通过第三方审计机构已完成年初制定的绩效目标，</w:t>
      </w:r>
      <w:r>
        <w:rPr>
          <w:rFonts w:hint="default" w:ascii="Times New Roman" w:hAnsi="Times New Roman" w:eastAsia="仿宋" w:cs="Times New Roman"/>
          <w:b w:val="0"/>
          <w:bCs w:val="0"/>
          <w:color w:val="auto"/>
          <w:sz w:val="32"/>
          <w:szCs w:val="32"/>
          <w:lang w:val="en-US" w:eastAsia="zh-CN"/>
        </w:rPr>
        <w:t>自评得分</w:t>
      </w:r>
      <w:r>
        <w:rPr>
          <w:rFonts w:hint="eastAsia" w:ascii="Times New Roman" w:hAnsi="Times New Roman" w:eastAsia="仿宋" w:cs="Times New Roman"/>
          <w:b w:val="0"/>
          <w:bCs w:val="0"/>
          <w:color w:val="auto"/>
          <w:sz w:val="32"/>
          <w:szCs w:val="32"/>
          <w:lang w:val="en-US" w:eastAsia="zh-CN"/>
        </w:rPr>
        <w:t>100</w:t>
      </w:r>
      <w:r>
        <w:rPr>
          <w:rFonts w:hint="default" w:ascii="Times New Roman" w:hAnsi="Times New Roman" w:eastAsia="仿宋" w:cs="Times New Roman"/>
          <w:b w:val="0"/>
          <w:bCs w:val="0"/>
          <w:color w:val="auto"/>
          <w:sz w:val="32"/>
          <w:szCs w:val="32"/>
          <w:lang w:val="en-US" w:eastAsia="zh-CN"/>
        </w:rPr>
        <w:t>分，综合绩效评价等级为优秀</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 w:cs="Times New Roman"/>
          <w:strike w:val="0"/>
          <w:dstrike w:val="0"/>
          <w:color w:val="auto"/>
          <w:sz w:val="32"/>
          <w:szCs w:val="32"/>
          <w:lang w:eastAsia="zh-CN"/>
        </w:rPr>
        <w:t>塔北路管廊运营工作总体完成情况良好，按计划完成管廊项目绩效考核并向财政申请补助</w:t>
      </w:r>
      <w:r>
        <w:rPr>
          <w:rFonts w:hint="eastAsia" w:ascii="Times New Roman" w:hAnsi="Times New Roman" w:eastAsia="仿宋" w:cs="Times New Roman"/>
          <w:strike w:val="0"/>
          <w:dstrike w:val="0"/>
          <w:color w:val="auto"/>
          <w:sz w:val="32"/>
          <w:szCs w:val="32"/>
          <w:lang w:eastAsia="zh-CN"/>
        </w:rPr>
        <w:t>，</w:t>
      </w:r>
      <w:r>
        <w:rPr>
          <w:rFonts w:hint="default" w:ascii="Times New Roman" w:hAnsi="Times New Roman" w:eastAsia="仿宋" w:cs="Times New Roman"/>
          <w:strike w:val="0"/>
          <w:dstrike w:val="0"/>
          <w:color w:val="auto"/>
          <w:sz w:val="32"/>
          <w:szCs w:val="32"/>
          <w:lang w:eastAsia="zh-CN"/>
        </w:rPr>
        <w:t>因此</w:t>
      </w:r>
      <w:r>
        <w:rPr>
          <w:rFonts w:hint="default" w:ascii="Times New Roman" w:hAnsi="Times New Roman" w:eastAsia="仿宋" w:cs="Times New Roman"/>
          <w:b w:val="0"/>
          <w:bCs w:val="0"/>
          <w:color w:val="auto"/>
          <w:sz w:val="32"/>
          <w:szCs w:val="32"/>
          <w:lang w:val="en-US" w:eastAsia="zh-CN"/>
        </w:rPr>
        <w:t>自评得分</w:t>
      </w:r>
      <w:r>
        <w:rPr>
          <w:rFonts w:hint="eastAsia" w:ascii="Times New Roman" w:hAnsi="Times New Roman" w:eastAsia="仿宋" w:cs="Times New Roman"/>
          <w:b w:val="0"/>
          <w:bCs w:val="0"/>
          <w:color w:val="auto"/>
          <w:sz w:val="32"/>
          <w:szCs w:val="32"/>
          <w:highlight w:val="none"/>
          <w:lang w:val="en-US" w:eastAsia="zh-CN"/>
        </w:rPr>
        <w:t>100</w:t>
      </w:r>
      <w:r>
        <w:rPr>
          <w:rFonts w:hint="default" w:ascii="Times New Roman" w:hAnsi="Times New Roman" w:eastAsia="仿宋" w:cs="Times New Roman"/>
          <w:b w:val="0"/>
          <w:bCs w:val="0"/>
          <w:color w:val="auto"/>
          <w:sz w:val="32"/>
          <w:szCs w:val="32"/>
          <w:highlight w:val="none"/>
          <w:lang w:val="en-US" w:eastAsia="zh-CN"/>
        </w:rPr>
        <w:t>分</w:t>
      </w:r>
      <w:r>
        <w:rPr>
          <w:rFonts w:hint="default" w:ascii="Times New Roman" w:hAnsi="Times New Roman" w:eastAsia="仿宋" w:cs="Times New Roman"/>
          <w:b w:val="0"/>
          <w:bCs w:val="0"/>
          <w:color w:val="auto"/>
          <w:sz w:val="32"/>
          <w:szCs w:val="32"/>
          <w:lang w:val="en-US" w:eastAsia="zh-CN"/>
        </w:rPr>
        <w:t>，综合绩效评价等级为优秀；塔北路管廊运营维护绩效考核工作均按既定指标完成，总体情况良好，自评得分100分，综合绩效评价等级为优秀。</w:t>
      </w:r>
    </w:p>
    <w:p>
      <w:pPr>
        <w:keepNext w:val="0"/>
        <w:keepLines w:val="0"/>
        <w:pageBreakBefore w:val="0"/>
        <w:kinsoku/>
        <w:wordWrap/>
        <w:overflowPunct/>
        <w:topLinePunct w:val="0"/>
        <w:autoSpaceDE/>
        <w:autoSpaceDN/>
        <w:bidi w:val="0"/>
        <w:spacing w:line="590" w:lineRule="exact"/>
        <w:ind w:left="0" w:leftChars="0" w:firstLine="640" w:firstLineChars="200"/>
        <w:textAlignment w:val="auto"/>
        <w:rPr>
          <w:rFonts w:hint="default" w:ascii="Times New Roman" w:hAnsi="Times New Roman" w:eastAsia="仿宋" w:cs="Times New Roman"/>
          <w:strike w:val="0"/>
          <w:dstrike w:val="0"/>
          <w:color w:val="auto"/>
          <w:sz w:val="32"/>
          <w:szCs w:val="32"/>
          <w:lang w:val="en-US" w:eastAsia="zh-CN"/>
        </w:rPr>
      </w:pPr>
      <w:r>
        <w:rPr>
          <w:rFonts w:hint="default" w:ascii="Times New Roman" w:hAnsi="Times New Roman" w:eastAsia="仿宋" w:cs="Times New Roman"/>
          <w:strike w:val="0"/>
          <w:dstrike w:val="0"/>
          <w:color w:val="auto"/>
          <w:sz w:val="32"/>
          <w:szCs w:val="32"/>
        </w:rPr>
        <w:t>根据</w:t>
      </w:r>
      <w:r>
        <w:rPr>
          <w:rFonts w:hint="default" w:ascii="Times New Roman" w:hAnsi="Times New Roman" w:eastAsia="仿宋" w:cs="Times New Roman"/>
          <w:strike w:val="0"/>
          <w:dstrike w:val="0"/>
          <w:color w:val="auto"/>
          <w:sz w:val="32"/>
          <w:szCs w:val="32"/>
          <w:lang w:eastAsia="zh-CN"/>
        </w:rPr>
        <w:t>部门职责定位和各项工作履职情况进行综合评价，</w:t>
      </w:r>
      <w:r>
        <w:rPr>
          <w:rFonts w:hint="default" w:ascii="Times New Roman" w:hAnsi="Times New Roman" w:eastAsia="仿宋" w:cs="Times New Roman"/>
          <w:strike w:val="0"/>
          <w:dstrike w:val="0"/>
          <w:color w:val="auto"/>
          <w:sz w:val="32"/>
          <w:szCs w:val="32"/>
          <w:lang w:val="en-US" w:eastAsia="zh-CN"/>
        </w:rPr>
        <w:t>我部门支出绩效总体良好，各项目标达到了相应时期执行进度，各项目经费按预算实施，使财政收支预算执行都得到了良好的制度保障和实施效果，</w:t>
      </w:r>
      <w:r>
        <w:rPr>
          <w:rFonts w:hint="default" w:ascii="Times New Roman" w:hAnsi="Times New Roman" w:eastAsia="仿宋_GB2312" w:cs="Times New Roman"/>
          <w:strike w:val="0"/>
          <w:dstrike w:val="0"/>
          <w:color w:val="auto"/>
          <w:sz w:val="32"/>
          <w:szCs w:val="32"/>
        </w:rPr>
        <w:t>项目具有明确的目标，项目实施过程中能够严格按照省市有关项目管理和资金管理规定执行，使用得当</w:t>
      </w:r>
      <w:r>
        <w:rPr>
          <w:rFonts w:hint="default" w:ascii="Times New Roman" w:hAnsi="Times New Roman" w:eastAsia="仿宋" w:cs="Times New Roman"/>
          <w:strike w:val="0"/>
          <w:dstrike w:val="0"/>
          <w:color w:val="auto"/>
          <w:sz w:val="32"/>
          <w:szCs w:val="32"/>
          <w:lang w:val="en-US" w:eastAsia="zh-CN"/>
        </w:rPr>
        <w:t>。从评价情况看，自评评价总得分</w:t>
      </w:r>
      <w:r>
        <w:rPr>
          <w:rFonts w:hint="eastAsia" w:ascii="Times New Roman" w:hAnsi="Times New Roman" w:eastAsia="仿宋" w:cs="Times New Roman"/>
          <w:strike w:val="0"/>
          <w:dstrike w:val="0"/>
          <w:color w:val="auto"/>
          <w:sz w:val="32"/>
          <w:szCs w:val="32"/>
          <w:lang w:val="en-US" w:eastAsia="zh-CN"/>
        </w:rPr>
        <w:t>100</w:t>
      </w:r>
      <w:r>
        <w:rPr>
          <w:rFonts w:hint="default" w:ascii="Times New Roman" w:hAnsi="Times New Roman" w:eastAsia="仿宋" w:cs="Times New Roman"/>
          <w:strike w:val="0"/>
          <w:dstrike w:val="0"/>
          <w:color w:val="auto"/>
          <w:sz w:val="32"/>
          <w:szCs w:val="32"/>
          <w:lang w:val="en-US" w:eastAsia="zh-CN"/>
        </w:rPr>
        <w:t>分，综合绩效评价等级为优秀。</w:t>
      </w:r>
    </w:p>
    <w:p>
      <w:pPr>
        <w:keepNext w:val="0"/>
        <w:keepLines w:val="0"/>
        <w:pageBreakBefore w:val="0"/>
        <w:widowControl w:val="0"/>
        <w:kinsoku/>
        <w:wordWrap/>
        <w:overflowPunct/>
        <w:topLinePunct w:val="0"/>
        <w:autoSpaceDE/>
        <w:autoSpaceDN/>
        <w:bidi w:val="0"/>
        <w:spacing w:line="590" w:lineRule="exact"/>
        <w:ind w:left="0" w:leftChars="0" w:right="0" w:firstLine="640" w:firstLineChars="200"/>
        <w:textAlignment w:val="auto"/>
        <w:outlineLvl w:val="9"/>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五、存在的问题及改进措施</w:t>
      </w:r>
    </w:p>
    <w:p>
      <w:pPr>
        <w:keepNext w:val="0"/>
        <w:keepLines w:val="0"/>
        <w:pageBreakBefore w:val="0"/>
        <w:widowControl w:val="0"/>
        <w:kinsoku/>
        <w:wordWrap/>
        <w:overflowPunct/>
        <w:topLinePunct w:val="0"/>
        <w:autoSpaceDE/>
        <w:autoSpaceDN/>
        <w:bidi w:val="0"/>
        <w:spacing w:line="590" w:lineRule="exact"/>
        <w:ind w:left="0" w:leftChars="0" w:right="0" w:firstLine="643" w:firstLineChars="200"/>
        <w:textAlignment w:val="auto"/>
        <w:outlineLvl w:val="9"/>
        <w:rPr>
          <w:rFonts w:hint="default" w:ascii="Times New Roman" w:hAnsi="Times New Roman" w:eastAsia="楷体" w:cs="Times New Roman"/>
          <w:b/>
          <w:bCs/>
          <w:color w:val="auto"/>
          <w:sz w:val="32"/>
          <w:szCs w:val="32"/>
        </w:rPr>
      </w:pPr>
      <w:r>
        <w:rPr>
          <w:rFonts w:hint="default" w:ascii="Times New Roman" w:hAnsi="Times New Roman" w:eastAsia="楷体" w:cs="Times New Roman"/>
          <w:b/>
          <w:bCs/>
          <w:color w:val="auto"/>
          <w:sz w:val="32"/>
          <w:szCs w:val="32"/>
        </w:rPr>
        <w:t>（一）存在的主要问题</w:t>
      </w:r>
    </w:p>
    <w:p>
      <w:pPr>
        <w:pStyle w:val="2"/>
        <w:keepNext w:val="0"/>
        <w:keepLines w:val="0"/>
        <w:pageBreakBefore w:val="0"/>
        <w:kinsoku/>
        <w:wordWrap/>
        <w:overflowPunct/>
        <w:topLinePunct w:val="0"/>
        <w:autoSpaceDE/>
        <w:autoSpaceDN/>
        <w:bidi w:val="0"/>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lang w:val="en-US" w:eastAsia="zh-CN"/>
        </w:rPr>
        <w:t>1</w:t>
      </w:r>
      <w:r>
        <w:rPr>
          <w:rFonts w:hint="eastAsia" w:ascii="Times New Roman" w:hAnsi="Times New Roman" w:eastAsia="仿宋" w:cs="Times New Roman"/>
          <w:b w:val="0"/>
          <w:bCs w:val="0"/>
          <w:color w:val="auto"/>
          <w:lang w:val="en-US" w:eastAsia="zh-CN"/>
        </w:rPr>
        <w:t>.</w:t>
      </w:r>
      <w:r>
        <w:rPr>
          <w:rFonts w:hint="default" w:ascii="Times New Roman" w:hAnsi="Times New Roman" w:eastAsia="仿宋" w:cs="Times New Roman"/>
          <w:color w:val="auto"/>
          <w:lang w:val="en-US" w:eastAsia="zh-CN"/>
        </w:rPr>
        <w:t>绩效管理制度等财务相关制度还需进一步完善。缺少财务专业人员，会计、出纳岗位人员不够稳定。</w:t>
      </w:r>
    </w:p>
    <w:p>
      <w:pPr>
        <w:pStyle w:val="2"/>
        <w:keepNext w:val="0"/>
        <w:keepLines w:val="0"/>
        <w:pageBreakBefore w:val="0"/>
        <w:kinsoku/>
        <w:wordWrap/>
        <w:overflowPunct/>
        <w:topLinePunct w:val="0"/>
        <w:autoSpaceDE/>
        <w:autoSpaceDN/>
        <w:bidi w:val="0"/>
        <w:spacing w:line="590" w:lineRule="exact"/>
        <w:ind w:left="0" w:leftChars="0" w:firstLine="640" w:firstLineChars="200"/>
        <w:textAlignment w:val="auto"/>
        <w:rPr>
          <w:rFonts w:hint="default" w:ascii="Times New Roman" w:hAnsi="Times New Roman" w:eastAsia="仿宋" w:cs="Times New Roman"/>
          <w:b w:val="0"/>
          <w:bCs w:val="0"/>
          <w:color w:val="auto"/>
          <w:sz w:val="32"/>
          <w:szCs w:val="32"/>
          <w:lang w:val="en-US" w:eastAsia="zh-CN"/>
        </w:rPr>
      </w:pPr>
      <w:r>
        <w:rPr>
          <w:rFonts w:hint="default" w:ascii="Times New Roman" w:hAnsi="Times New Roman" w:eastAsia="仿宋" w:cs="Times New Roman"/>
          <w:b w:val="0"/>
          <w:bCs w:val="0"/>
          <w:color w:val="auto"/>
          <w:sz w:val="32"/>
          <w:szCs w:val="32"/>
          <w:lang w:val="en-US" w:eastAsia="zh-CN"/>
        </w:rPr>
        <w:t>2</w:t>
      </w:r>
      <w:r>
        <w:rPr>
          <w:rFonts w:hint="eastAsia" w:ascii="Times New Roman" w:hAnsi="Times New Roman" w:eastAsia="仿宋" w:cs="Times New Roman"/>
          <w:b w:val="0"/>
          <w:bCs w:val="0"/>
          <w:color w:val="auto"/>
          <w:sz w:val="32"/>
          <w:szCs w:val="32"/>
          <w:lang w:val="en-US" w:eastAsia="zh-CN"/>
        </w:rPr>
        <w:t>.</w:t>
      </w:r>
      <w:r>
        <w:rPr>
          <w:rFonts w:hint="default" w:ascii="Times New Roman" w:hAnsi="Times New Roman" w:eastAsia="仿宋" w:cs="Times New Roman"/>
          <w:b w:val="0"/>
          <w:bCs w:val="0"/>
          <w:color w:val="auto"/>
          <w:sz w:val="32"/>
          <w:szCs w:val="32"/>
          <w:lang w:val="en-US" w:eastAsia="zh-CN"/>
        </w:rPr>
        <w:t>在预算执行过程中，由于</w:t>
      </w:r>
      <w:r>
        <w:rPr>
          <w:rFonts w:hint="eastAsia" w:eastAsia="仿宋" w:cs="Times New Roman"/>
          <w:b w:val="0"/>
          <w:bCs w:val="0"/>
          <w:color w:val="auto"/>
          <w:sz w:val="32"/>
          <w:szCs w:val="32"/>
          <w:lang w:val="en-US" w:eastAsia="zh-CN"/>
        </w:rPr>
        <w:t>人员增加，致使</w:t>
      </w:r>
      <w:r>
        <w:rPr>
          <w:rFonts w:hint="default" w:ascii="Times New Roman" w:hAnsi="Times New Roman" w:eastAsia="仿宋" w:cs="Times New Roman"/>
          <w:b w:val="0"/>
          <w:bCs w:val="0"/>
          <w:color w:val="auto"/>
          <w:sz w:val="32"/>
          <w:szCs w:val="32"/>
          <w:lang w:val="en-US" w:eastAsia="zh-CN"/>
        </w:rPr>
        <w:t>全年预算执行与预算编制存在一定差异，在优化资金使用效率方面仍有进步空间。</w:t>
      </w:r>
    </w:p>
    <w:p>
      <w:pPr>
        <w:keepNext w:val="0"/>
        <w:keepLines w:val="0"/>
        <w:pageBreakBefore w:val="0"/>
        <w:widowControl w:val="0"/>
        <w:numPr>
          <w:ilvl w:val="0"/>
          <w:numId w:val="3"/>
        </w:numPr>
        <w:kinsoku/>
        <w:wordWrap/>
        <w:overflowPunct/>
        <w:topLinePunct w:val="0"/>
        <w:autoSpaceDE/>
        <w:autoSpaceDN/>
        <w:bidi w:val="0"/>
        <w:spacing w:line="590" w:lineRule="exact"/>
        <w:ind w:left="0" w:leftChars="0" w:right="0" w:firstLine="643" w:firstLineChars="200"/>
        <w:textAlignment w:val="auto"/>
        <w:outlineLvl w:val="9"/>
        <w:rPr>
          <w:rFonts w:hint="default" w:ascii="Times New Roman" w:hAnsi="Times New Roman" w:eastAsia="楷体" w:cs="Times New Roman"/>
          <w:b/>
          <w:bCs/>
          <w:color w:val="auto"/>
          <w:sz w:val="32"/>
          <w:szCs w:val="32"/>
        </w:rPr>
      </w:pPr>
      <w:r>
        <w:rPr>
          <w:rFonts w:hint="default" w:ascii="Times New Roman" w:hAnsi="Times New Roman" w:eastAsia="楷体" w:cs="Times New Roman"/>
          <w:b/>
          <w:bCs/>
          <w:color w:val="auto"/>
          <w:sz w:val="32"/>
          <w:szCs w:val="32"/>
        </w:rPr>
        <w:t>针对问题提出具体的改进措施或建议</w:t>
      </w:r>
    </w:p>
    <w:p>
      <w:pPr>
        <w:pStyle w:val="2"/>
        <w:keepNext w:val="0"/>
        <w:keepLines w:val="0"/>
        <w:pageBreakBefore w:val="0"/>
        <w:numPr>
          <w:ilvl w:val="0"/>
          <w:numId w:val="0"/>
        </w:numPr>
        <w:kinsoku/>
        <w:wordWrap/>
        <w:overflowPunct/>
        <w:topLinePunct w:val="0"/>
        <w:autoSpaceDE/>
        <w:autoSpaceDN/>
        <w:bidi w:val="0"/>
        <w:spacing w:line="590" w:lineRule="exact"/>
        <w:ind w:left="0" w:leftChars="0" w:firstLine="640" w:firstLineChars="200"/>
        <w:textAlignment w:val="auto"/>
        <w:rPr>
          <w:rFonts w:hint="default" w:ascii="Times New Roman" w:hAnsi="Times New Roman" w:eastAsia="仿宋" w:cs="Times New Roman"/>
          <w:b w:val="0"/>
          <w:bCs w:val="0"/>
          <w:color w:val="auto"/>
          <w:lang w:val="en-US" w:eastAsia="zh-CN"/>
        </w:rPr>
      </w:pPr>
      <w:r>
        <w:rPr>
          <w:rFonts w:hint="default" w:ascii="Times New Roman" w:hAnsi="Times New Roman" w:eastAsia="仿宋" w:cs="Times New Roman"/>
          <w:b w:val="0"/>
          <w:bCs w:val="0"/>
          <w:color w:val="auto"/>
          <w:lang w:val="en-US" w:eastAsia="zh-CN"/>
        </w:rPr>
        <w:t>1</w:t>
      </w:r>
      <w:r>
        <w:rPr>
          <w:rFonts w:hint="eastAsia" w:ascii="Times New Roman" w:hAnsi="Times New Roman" w:eastAsia="仿宋" w:cs="Times New Roman"/>
          <w:b w:val="0"/>
          <w:bCs w:val="0"/>
          <w:color w:val="auto"/>
          <w:lang w:val="en-US" w:eastAsia="zh-CN"/>
        </w:rPr>
        <w:t>.</w:t>
      </w:r>
      <w:r>
        <w:rPr>
          <w:rFonts w:hint="default" w:ascii="Times New Roman" w:hAnsi="Times New Roman" w:eastAsia="仿宋" w:cs="Times New Roman"/>
          <w:b w:val="0"/>
          <w:bCs w:val="0"/>
          <w:color w:val="auto"/>
          <w:lang w:val="en-US" w:eastAsia="zh-CN"/>
        </w:rPr>
        <w:t>结合我单位的实际情况，全面梳理业务流程，明确业务环节，分析风险隐患，完善风险评估机制，制定风险应对策略，确保内部控制实施工作平稳、有序、顺利进行，保证内部控制管理工作机制得以长效运行。强化财务控制意识，加快对财务专业人员的招聘与培养，尽快稳定会计出纳岗位人员，落实财务管理制度，完成上级部署的财务工作。</w:t>
      </w:r>
    </w:p>
    <w:p>
      <w:pPr>
        <w:pStyle w:val="2"/>
        <w:keepNext w:val="0"/>
        <w:keepLines w:val="0"/>
        <w:pageBreakBefore w:val="0"/>
        <w:numPr>
          <w:ilvl w:val="0"/>
          <w:numId w:val="0"/>
        </w:numPr>
        <w:kinsoku/>
        <w:wordWrap/>
        <w:overflowPunct/>
        <w:topLinePunct w:val="0"/>
        <w:autoSpaceDE/>
        <w:autoSpaceDN/>
        <w:bidi w:val="0"/>
        <w:spacing w:line="590" w:lineRule="exact"/>
        <w:ind w:left="0" w:leftChars="0" w:firstLine="640" w:firstLineChars="200"/>
        <w:textAlignment w:val="auto"/>
        <w:rPr>
          <w:rFonts w:hint="default" w:ascii="Times New Roman" w:hAnsi="Times New Roman" w:eastAsia="仿宋" w:cs="Times New Roman"/>
          <w:b w:val="0"/>
          <w:bCs w:val="0"/>
          <w:color w:val="auto"/>
          <w:kern w:val="2"/>
          <w:sz w:val="32"/>
          <w:szCs w:val="22"/>
          <w:lang w:val="en-US" w:eastAsia="zh-CN" w:bidi="ar-SA"/>
        </w:rPr>
      </w:pPr>
      <w:r>
        <w:rPr>
          <w:rFonts w:hint="default" w:ascii="Times New Roman" w:hAnsi="Times New Roman" w:eastAsia="仿宋" w:cs="Times New Roman"/>
          <w:b w:val="0"/>
          <w:bCs w:val="0"/>
          <w:color w:val="auto"/>
          <w:kern w:val="2"/>
          <w:sz w:val="32"/>
          <w:szCs w:val="22"/>
          <w:lang w:val="en-US" w:eastAsia="zh-CN" w:bidi="ar-SA"/>
        </w:rPr>
        <w:t>2</w:t>
      </w:r>
      <w:r>
        <w:rPr>
          <w:rFonts w:hint="eastAsia" w:ascii="Times New Roman" w:hAnsi="Times New Roman" w:eastAsia="仿宋" w:cs="Times New Roman"/>
          <w:b w:val="0"/>
          <w:bCs w:val="0"/>
          <w:color w:val="auto"/>
          <w:kern w:val="2"/>
          <w:sz w:val="32"/>
          <w:szCs w:val="22"/>
          <w:lang w:val="en-US" w:eastAsia="zh-CN" w:bidi="ar-SA"/>
        </w:rPr>
        <w:t>.</w:t>
      </w:r>
      <w:r>
        <w:rPr>
          <w:rFonts w:hint="default" w:ascii="Times New Roman" w:hAnsi="Times New Roman" w:eastAsia="仿宋" w:cs="Times New Roman"/>
          <w:b w:val="0"/>
          <w:bCs w:val="0"/>
          <w:color w:val="auto"/>
          <w:kern w:val="2"/>
          <w:sz w:val="32"/>
          <w:szCs w:val="22"/>
          <w:lang w:val="en-US" w:eastAsia="zh-CN" w:bidi="ar-SA"/>
        </w:rPr>
        <w:t>强化预算作用，增强预算控制，科学编制年度预算，进一步加快预算执行进度。树立过“紧日子”思想，根据单位业务开展情况、年度工作要点和重点，合理编制部门预算，尽量避免年末科目之间资金调剂使用的问题。改进预算安排，坚持当年能形成支出的，当年安排；当年不能形成支出的，当年不予安排。在财政部门批复的预算额度内，合理安排支出进度，真正做到有预算才有支出。在决算管理方面，对预算执行情况进行分析评价，并作为下一年度预算安排的重要依据。</w:t>
      </w:r>
    </w:p>
    <w:p>
      <w:pPr>
        <w:pStyle w:val="2"/>
        <w:keepNext w:val="0"/>
        <w:keepLines w:val="0"/>
        <w:pageBreakBefore w:val="0"/>
        <w:numPr>
          <w:ilvl w:val="0"/>
          <w:numId w:val="0"/>
        </w:numPr>
        <w:kinsoku/>
        <w:wordWrap/>
        <w:overflowPunct/>
        <w:topLinePunct w:val="0"/>
        <w:autoSpaceDE/>
        <w:autoSpaceDN/>
        <w:bidi w:val="0"/>
        <w:spacing w:line="590" w:lineRule="exact"/>
        <w:ind w:firstLine="640" w:firstLineChars="200"/>
        <w:textAlignment w:val="auto"/>
        <w:rPr>
          <w:rFonts w:hint="default" w:ascii="Times New Roman" w:hAnsi="Times New Roman" w:eastAsia="仿宋" w:cs="Times New Roman"/>
          <w:b w:val="0"/>
          <w:bCs w:val="0"/>
          <w:color w:val="auto"/>
          <w:kern w:val="2"/>
          <w:sz w:val="32"/>
          <w:szCs w:val="22"/>
          <w:lang w:val="en-US" w:eastAsia="zh-CN" w:bidi="ar-SA"/>
        </w:rPr>
      </w:pPr>
      <w:r>
        <w:rPr>
          <w:rFonts w:hint="eastAsia" w:eastAsia="黑体" w:cs="Times New Roman"/>
          <w:color w:val="auto"/>
          <w:sz w:val="32"/>
          <w:szCs w:val="32"/>
          <w:lang w:val="en-US" w:eastAsia="zh-CN"/>
        </w:rPr>
        <w:t>六、</w:t>
      </w:r>
      <w:r>
        <w:rPr>
          <w:rFonts w:hint="default" w:ascii="Times New Roman" w:hAnsi="Times New Roman" w:eastAsia="黑体" w:cs="Times New Roman"/>
          <w:color w:val="auto"/>
          <w:sz w:val="32"/>
          <w:szCs w:val="32"/>
        </w:rPr>
        <w:t>评价工作组人员名单及签字</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陈宝京</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 xml:space="preserve">  党组书记、主任</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郭京晶</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党组副书记、副主任</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李晓刚</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党组副书记、副主任</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肖卫洲</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党组成员、副主任</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杨立众</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总工程师</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袁晓斌</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综合办 主任/正高级工程师</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张利锋</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资源开发管理科 科长</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王语夫</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工程与安全管理科 科长/高级工程师</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梁丽华</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规划发展科 科长/高级工程师</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高  达</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审计科 科长</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汤  玮</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综合办 副主任</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臧巨轮</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工程与安全管理科 科员/工程师</w:t>
      </w:r>
    </w:p>
    <w:p>
      <w:pPr>
        <w:pStyle w:val="2"/>
        <w:keepNext w:val="0"/>
        <w:keepLines w:val="0"/>
        <w:pageBreakBefore w:val="0"/>
        <w:numPr>
          <w:ilvl w:val="0"/>
          <w:numId w:val="0"/>
        </w:numPr>
        <w:kinsoku/>
        <w:wordWrap/>
        <w:overflowPunct/>
        <w:topLinePunct w:val="0"/>
        <w:autoSpaceDE/>
        <w:autoSpaceDN/>
        <w:bidi w:val="0"/>
        <w:spacing w:line="58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秦  静</w:t>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ab/>
      </w:r>
      <w:r>
        <w:rPr>
          <w:rFonts w:hint="eastAsia" w:ascii="仿宋" w:hAnsi="仿宋" w:eastAsia="仿宋" w:cs="仿宋"/>
          <w:b w:val="0"/>
          <w:bCs w:val="0"/>
          <w:color w:val="auto"/>
          <w:sz w:val="32"/>
          <w:szCs w:val="32"/>
          <w:lang w:val="en-US" w:eastAsia="zh-CN"/>
        </w:rPr>
        <w:t>审计科 科员</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leftChars="0" w:right="0" w:rightChars="0" w:firstLine="4480" w:firstLineChars="1400"/>
        <w:jc w:val="both"/>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leftChars="0" w:right="0" w:rightChars="0" w:firstLine="4480" w:firstLineChars="1400"/>
        <w:jc w:val="both"/>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leftChars="0" w:right="0" w:rightChars="0" w:firstLine="4480" w:firstLineChars="1400"/>
        <w:jc w:val="both"/>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leftChars="0" w:right="0" w:rightChars="0" w:firstLine="4480" w:firstLineChars="1400"/>
        <w:jc w:val="both"/>
        <w:textAlignment w:val="auto"/>
        <w:rPr>
          <w:rFonts w:hint="default" w:ascii="Times New Roman" w:hAnsi="Times New Roman" w:eastAsia="仿宋_GB2312" w:cs="Times New Roman"/>
          <w:i w:val="0"/>
          <w:caps w:val="0"/>
          <w:color w:val="auto"/>
          <w:spacing w:val="0"/>
          <w:sz w:val="32"/>
          <w:szCs w:val="32"/>
          <w:shd w:val="clear" w:fill="FFFFFF"/>
          <w:lang w:val="en-US" w:eastAsia="zh-CN"/>
        </w:rPr>
      </w:pPr>
      <w:bookmarkStart w:id="0" w:name="_GoBack"/>
      <w:bookmarkEnd w:id="0"/>
      <w:r>
        <w:rPr>
          <w:rFonts w:hint="default" w:ascii="Times New Roman" w:hAnsi="Times New Roman" w:eastAsia="仿宋_GB2312" w:cs="Times New Roman"/>
          <w:i w:val="0"/>
          <w:caps w:val="0"/>
          <w:color w:val="auto"/>
          <w:spacing w:val="0"/>
          <w:sz w:val="32"/>
          <w:szCs w:val="32"/>
          <w:shd w:val="clear" w:fill="FFFFFF"/>
          <w:lang w:val="en-US" w:eastAsia="zh-CN"/>
        </w:rPr>
        <w:t>石家庄市轨道交通建设办公室</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leftChars="0" w:right="0" w:rightChars="0" w:firstLine="640" w:firstLineChars="200"/>
        <w:jc w:val="both"/>
        <w:textAlignment w:val="auto"/>
        <w:rPr>
          <w:rFonts w:hint="default" w:ascii="Times New Roman" w:hAnsi="Times New Roman" w:eastAsia="仿宋_GB2312" w:cs="Times New Roman"/>
          <w:color w:val="auto"/>
        </w:rPr>
      </w:pPr>
      <w:r>
        <w:rPr>
          <w:rFonts w:hint="default" w:ascii="Times New Roman" w:hAnsi="Times New Roman" w:eastAsia="仿宋_GB2312" w:cs="Times New Roman"/>
          <w:i w:val="0"/>
          <w:caps w:val="0"/>
          <w:color w:val="auto"/>
          <w:spacing w:val="0"/>
          <w:sz w:val="32"/>
          <w:szCs w:val="32"/>
          <w:shd w:val="clear" w:fill="FFFFFF"/>
          <w:lang w:val="en-US" w:eastAsia="zh-CN"/>
        </w:rPr>
        <w:t xml:space="preserve">                              2022年3月</w:t>
      </w:r>
      <w:r>
        <w:rPr>
          <w:rFonts w:hint="eastAsia" w:ascii="Times New Roman" w:hAnsi="Times New Roman" w:eastAsia="仿宋_GB2312" w:cs="Times New Roman"/>
          <w:i w:val="0"/>
          <w:caps w:val="0"/>
          <w:color w:val="auto"/>
          <w:spacing w:val="0"/>
          <w:sz w:val="32"/>
          <w:szCs w:val="32"/>
          <w:shd w:val="clear" w:fill="FFFFFF"/>
          <w:lang w:val="en-US" w:eastAsia="zh-CN"/>
        </w:rPr>
        <w:t>22</w:t>
      </w:r>
      <w:r>
        <w:rPr>
          <w:rFonts w:hint="default" w:ascii="Times New Roman" w:hAnsi="Times New Roman" w:eastAsia="仿宋_GB2312" w:cs="Times New Roman"/>
          <w:i w:val="0"/>
          <w:caps w:val="0"/>
          <w:color w:val="auto"/>
          <w:spacing w:val="0"/>
          <w:sz w:val="32"/>
          <w:szCs w:val="32"/>
          <w:shd w:val="clear" w:fill="FFFFFF"/>
          <w:lang w:val="en-US" w:eastAsia="zh-CN"/>
        </w:rPr>
        <w:t>日</w:t>
      </w:r>
    </w:p>
    <w:sectPr>
      <w:footerReference r:id="rId3" w:type="default"/>
      <w:pgSz w:w="11906" w:h="16838"/>
      <w:pgMar w:top="1417" w:right="1474" w:bottom="1417" w:left="1474" w:header="851" w:footer="850"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0834C8"/>
    <w:multiLevelType w:val="singleLevel"/>
    <w:tmpl w:val="A10834C8"/>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7E6C1F"/>
    <w:rsid w:val="0080401A"/>
    <w:rsid w:val="00AF566A"/>
    <w:rsid w:val="00B6553A"/>
    <w:rsid w:val="00CF3752"/>
    <w:rsid w:val="01B104CA"/>
    <w:rsid w:val="02106AB0"/>
    <w:rsid w:val="02B43A28"/>
    <w:rsid w:val="046F331E"/>
    <w:rsid w:val="06805757"/>
    <w:rsid w:val="07956271"/>
    <w:rsid w:val="086A6692"/>
    <w:rsid w:val="09721397"/>
    <w:rsid w:val="097A6225"/>
    <w:rsid w:val="0B352D3C"/>
    <w:rsid w:val="0B85608C"/>
    <w:rsid w:val="0BAF70CA"/>
    <w:rsid w:val="0BB63BED"/>
    <w:rsid w:val="0C140EF9"/>
    <w:rsid w:val="0D5C202C"/>
    <w:rsid w:val="0E5F7E21"/>
    <w:rsid w:val="0EB97A43"/>
    <w:rsid w:val="0EBD2122"/>
    <w:rsid w:val="0F214EAE"/>
    <w:rsid w:val="0F3731D7"/>
    <w:rsid w:val="0F611CD6"/>
    <w:rsid w:val="0F732D5E"/>
    <w:rsid w:val="10E961DA"/>
    <w:rsid w:val="11B71E6A"/>
    <w:rsid w:val="139F55C7"/>
    <w:rsid w:val="13B53025"/>
    <w:rsid w:val="177C49D9"/>
    <w:rsid w:val="17B44FF8"/>
    <w:rsid w:val="18BF09B2"/>
    <w:rsid w:val="1AAF0063"/>
    <w:rsid w:val="1AC6218E"/>
    <w:rsid w:val="1AF11748"/>
    <w:rsid w:val="1B066763"/>
    <w:rsid w:val="1BE140DE"/>
    <w:rsid w:val="1D290628"/>
    <w:rsid w:val="1D7910C7"/>
    <w:rsid w:val="1DA029D6"/>
    <w:rsid w:val="1F2B2AFE"/>
    <w:rsid w:val="204818CC"/>
    <w:rsid w:val="20C005EB"/>
    <w:rsid w:val="20C62A76"/>
    <w:rsid w:val="212857AA"/>
    <w:rsid w:val="215E1E1C"/>
    <w:rsid w:val="21740DB3"/>
    <w:rsid w:val="21E56E65"/>
    <w:rsid w:val="22FF2EF9"/>
    <w:rsid w:val="23B45DD0"/>
    <w:rsid w:val="243354F3"/>
    <w:rsid w:val="248C197D"/>
    <w:rsid w:val="252959AF"/>
    <w:rsid w:val="26727796"/>
    <w:rsid w:val="277A6671"/>
    <w:rsid w:val="27C41CE2"/>
    <w:rsid w:val="2876509C"/>
    <w:rsid w:val="292D35B7"/>
    <w:rsid w:val="2AFD108B"/>
    <w:rsid w:val="2AFF0ABD"/>
    <w:rsid w:val="2B38113D"/>
    <w:rsid w:val="2C046BA0"/>
    <w:rsid w:val="2C0665D6"/>
    <w:rsid w:val="2CF953EF"/>
    <w:rsid w:val="2E145BA5"/>
    <w:rsid w:val="2F272E23"/>
    <w:rsid w:val="2FD803CD"/>
    <w:rsid w:val="30B33F8E"/>
    <w:rsid w:val="30ED457E"/>
    <w:rsid w:val="32CF67B4"/>
    <w:rsid w:val="334D6D07"/>
    <w:rsid w:val="33B735DB"/>
    <w:rsid w:val="33EB6CFF"/>
    <w:rsid w:val="353E2A70"/>
    <w:rsid w:val="35A12947"/>
    <w:rsid w:val="35CE2F97"/>
    <w:rsid w:val="36133350"/>
    <w:rsid w:val="372F06AE"/>
    <w:rsid w:val="37387040"/>
    <w:rsid w:val="37DC7486"/>
    <w:rsid w:val="37F35195"/>
    <w:rsid w:val="3A1439A9"/>
    <w:rsid w:val="3AD663BE"/>
    <w:rsid w:val="3B51675C"/>
    <w:rsid w:val="3B625C0A"/>
    <w:rsid w:val="3CEE1963"/>
    <w:rsid w:val="3CF13D67"/>
    <w:rsid w:val="3D471F30"/>
    <w:rsid w:val="3F4F088E"/>
    <w:rsid w:val="40952DD1"/>
    <w:rsid w:val="40EE3DF4"/>
    <w:rsid w:val="40FF626C"/>
    <w:rsid w:val="410126FF"/>
    <w:rsid w:val="42554CA0"/>
    <w:rsid w:val="429C5878"/>
    <w:rsid w:val="4337311F"/>
    <w:rsid w:val="44284017"/>
    <w:rsid w:val="44551527"/>
    <w:rsid w:val="44A53936"/>
    <w:rsid w:val="47CC4CA6"/>
    <w:rsid w:val="4849237B"/>
    <w:rsid w:val="484D77D2"/>
    <w:rsid w:val="486E11A5"/>
    <w:rsid w:val="48A57EC2"/>
    <w:rsid w:val="49157A48"/>
    <w:rsid w:val="49B46329"/>
    <w:rsid w:val="4C922161"/>
    <w:rsid w:val="4C9C27FE"/>
    <w:rsid w:val="4CCD3304"/>
    <w:rsid w:val="4DED4962"/>
    <w:rsid w:val="4E0209AA"/>
    <w:rsid w:val="4E413012"/>
    <w:rsid w:val="4F6B55E9"/>
    <w:rsid w:val="4FBD3ABB"/>
    <w:rsid w:val="501A49F7"/>
    <w:rsid w:val="509C652D"/>
    <w:rsid w:val="512260B4"/>
    <w:rsid w:val="51933719"/>
    <w:rsid w:val="52827798"/>
    <w:rsid w:val="52BD6ACB"/>
    <w:rsid w:val="545747EA"/>
    <w:rsid w:val="547C46F5"/>
    <w:rsid w:val="55537534"/>
    <w:rsid w:val="55807523"/>
    <w:rsid w:val="55AE31F3"/>
    <w:rsid w:val="55AF4B4E"/>
    <w:rsid w:val="55EC5EB4"/>
    <w:rsid w:val="561A74F1"/>
    <w:rsid w:val="56E11772"/>
    <w:rsid w:val="58DF1EFB"/>
    <w:rsid w:val="59452BF2"/>
    <w:rsid w:val="597244E8"/>
    <w:rsid w:val="599B50F5"/>
    <w:rsid w:val="59E501E6"/>
    <w:rsid w:val="5A666FBF"/>
    <w:rsid w:val="5C2F421A"/>
    <w:rsid w:val="5EB71C30"/>
    <w:rsid w:val="5FFC2B4E"/>
    <w:rsid w:val="616D08A6"/>
    <w:rsid w:val="61872E3A"/>
    <w:rsid w:val="62316ECE"/>
    <w:rsid w:val="629D5E0C"/>
    <w:rsid w:val="63071A4D"/>
    <w:rsid w:val="63755D3F"/>
    <w:rsid w:val="637C7D45"/>
    <w:rsid w:val="65663C62"/>
    <w:rsid w:val="65684B3F"/>
    <w:rsid w:val="663D2103"/>
    <w:rsid w:val="66AF0CE5"/>
    <w:rsid w:val="6829406F"/>
    <w:rsid w:val="68E72D9A"/>
    <w:rsid w:val="6AC537CF"/>
    <w:rsid w:val="6C346265"/>
    <w:rsid w:val="6C6813A4"/>
    <w:rsid w:val="6D0B01DE"/>
    <w:rsid w:val="6DC80DAA"/>
    <w:rsid w:val="6DD4481F"/>
    <w:rsid w:val="6E0B50AB"/>
    <w:rsid w:val="6E570BEC"/>
    <w:rsid w:val="6E5B14A6"/>
    <w:rsid w:val="6F415A91"/>
    <w:rsid w:val="6FCA6D29"/>
    <w:rsid w:val="711B255E"/>
    <w:rsid w:val="711E5E30"/>
    <w:rsid w:val="71230428"/>
    <w:rsid w:val="71D22A66"/>
    <w:rsid w:val="72B7193A"/>
    <w:rsid w:val="75F8148D"/>
    <w:rsid w:val="76C21916"/>
    <w:rsid w:val="774424D0"/>
    <w:rsid w:val="7745010B"/>
    <w:rsid w:val="77717D8E"/>
    <w:rsid w:val="783B6C77"/>
    <w:rsid w:val="797A0279"/>
    <w:rsid w:val="7A42748E"/>
    <w:rsid w:val="7BB51E06"/>
    <w:rsid w:val="7C387F7C"/>
    <w:rsid w:val="7F5563EB"/>
    <w:rsid w:val="7FB04AAA"/>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line="600" w:lineRule="exact"/>
      <w:ind w:firstLine="834" w:firstLineChars="200"/>
      <w:jc w:val="left"/>
    </w:pPr>
    <w:rPr>
      <w:rFonts w:ascii="Times New Roman" w:hAnsi="Times New Roman" w:eastAsia="仿宋_GB2312"/>
      <w:sz w:val="32"/>
    </w:rPr>
  </w:style>
  <w:style w:type="paragraph" w:styleId="3">
    <w:name w:val="Body Text Indent"/>
    <w:basedOn w:val="1"/>
    <w:next w:val="4"/>
    <w:qFormat/>
    <w:uiPriority w:val="0"/>
    <w:pPr>
      <w:ind w:left="420" w:leftChars="200"/>
    </w:pPr>
  </w:style>
  <w:style w:type="paragraph" w:styleId="4">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1</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T</cp:lastModifiedBy>
  <cp:lastPrinted>2022-03-28T06:40:00Z</cp:lastPrinted>
  <dcterms:modified xsi:type="dcterms:W3CDTF">2023-04-07T03:22:34Z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735524B0CD9D4AB98294B65666CB13D8</vt:lpwstr>
  </property>
</Properties>
</file>