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4</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石家庄市工商业联合会</w:t>
      </w: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石家庄市工商业联合会</w:t>
      </w:r>
      <w:r>
        <w:rPr>
          <w:rFonts w:hint="eastAsia" w:ascii="仿宋" w:hAnsi="仿宋" w:eastAsia="仿宋"/>
          <w:sz w:val="32"/>
          <w:szCs w:val="32"/>
          <w:lang w:val="en-US" w:eastAsia="zh-CN"/>
        </w:rPr>
        <w:t>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textAlignment w:val="auto"/>
        <w:outlineLvl w:val="9"/>
        <w:rPr>
          <w:rFonts w:hint="eastAsia" w:ascii="仿宋" w:hAnsi="仿宋" w:eastAsia="仿宋"/>
          <w:b/>
          <w:bCs/>
          <w:sz w:val="32"/>
          <w:szCs w:val="32"/>
        </w:rPr>
      </w:pPr>
      <w:r>
        <w:rPr>
          <w:rFonts w:hint="eastAsia" w:ascii="仿宋" w:hAnsi="仿宋" w:eastAsia="仿宋"/>
          <w:b/>
          <w:bCs/>
          <w:sz w:val="32"/>
          <w:szCs w:val="32"/>
        </w:rPr>
        <w:t>（一）</w:t>
      </w:r>
      <w:r>
        <w:rPr>
          <w:rFonts w:hint="eastAsia" w:ascii="仿宋" w:hAnsi="仿宋" w:eastAsia="仿宋"/>
          <w:b/>
          <w:bCs/>
          <w:sz w:val="32"/>
          <w:szCs w:val="32"/>
          <w:lang w:eastAsia="zh-CN"/>
        </w:rPr>
        <w:t>部门</w:t>
      </w:r>
      <w:r>
        <w:rPr>
          <w:rFonts w:hint="eastAsia" w:ascii="仿宋" w:hAnsi="仿宋" w:eastAsia="仿宋"/>
          <w:b/>
          <w:bCs/>
          <w:sz w:val="32"/>
          <w:szCs w:val="32"/>
        </w:rPr>
        <w:t>概况</w:t>
      </w:r>
    </w:p>
    <w:p>
      <w:pPr>
        <w:widowControl w:val="0"/>
        <w:wordWrap/>
        <w:adjustRightInd w:val="0"/>
        <w:snapToGrid w:val="0"/>
        <w:spacing w:line="560" w:lineRule="exact"/>
        <w:ind w:left="0" w:leftChars="0" w:right="0"/>
        <w:textAlignment w:val="auto"/>
        <w:outlineLvl w:val="9"/>
        <w:rPr>
          <w:rFonts w:hint="eastAsia" w:ascii="仿宋" w:hAnsi="仿宋" w:eastAsia="仿宋"/>
          <w:b/>
          <w:bCs/>
          <w:sz w:val="32"/>
          <w:szCs w:val="32"/>
        </w:rPr>
      </w:pPr>
      <w:r>
        <w:rPr>
          <w:rFonts w:hint="eastAsia" w:ascii="仿宋" w:hAnsi="仿宋" w:eastAsia="仿宋"/>
          <w:b/>
          <w:bCs/>
          <w:sz w:val="32"/>
          <w:szCs w:val="32"/>
          <w:lang w:val="en-US" w:eastAsia="zh-CN"/>
        </w:rPr>
        <w:t>1、</w:t>
      </w:r>
      <w:r>
        <w:rPr>
          <w:rFonts w:hint="eastAsia" w:ascii="仿宋" w:hAnsi="仿宋" w:eastAsia="仿宋"/>
          <w:b/>
          <w:bCs/>
          <w:sz w:val="32"/>
          <w:szCs w:val="32"/>
        </w:rPr>
        <w:t>部门职责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、参与我市政治、经济、社会生活中重要问题的政治协商；开展多种形式的调研，及时反映广大非公有制经济人士的意见和建议；逐步优化我市非公有制经济发展的环境；发挥民主监督作用，积极参政议政。</w:t>
      </w: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、紧紧围绕市委、市政府的中心工作，引导广大会员自觉做到“三个结合”，积极参与我市经济建设，促进我市经济、社会全面发展。</w:t>
      </w:r>
      <w:r>
        <w:rPr>
          <w:rFonts w:hint="eastAsia" w:ascii="仿宋" w:hAnsi="仿宋" w:eastAsia="仿宋"/>
          <w:sz w:val="32"/>
          <w:szCs w:val="32"/>
          <w:lang w:eastAsia="zh-CN"/>
        </w:rPr>
        <w:t>（</w:t>
      </w:r>
      <w:r>
        <w:rPr>
          <w:rFonts w:hint="eastAsia" w:ascii="仿宋" w:hAnsi="仿宋" w:eastAsia="仿宋"/>
          <w:sz w:val="32"/>
          <w:szCs w:val="32"/>
        </w:rPr>
        <w:t>3</w:t>
      </w:r>
      <w:r>
        <w:rPr>
          <w:rFonts w:hint="eastAsia" w:ascii="仿宋" w:hAnsi="仿宋" w:eastAsia="仿宋"/>
          <w:sz w:val="32"/>
          <w:szCs w:val="32"/>
          <w:lang w:eastAsia="zh-CN"/>
        </w:rPr>
        <w:t>）</w:t>
      </w:r>
      <w:r>
        <w:rPr>
          <w:rFonts w:hint="eastAsia" w:ascii="仿宋" w:hAnsi="仿宋" w:eastAsia="仿宋"/>
          <w:sz w:val="32"/>
          <w:szCs w:val="32"/>
        </w:rPr>
        <w:t>、做好我市非公有制经济代表人士政治安排的推荐。</w:t>
      </w:r>
      <w:r>
        <w:rPr>
          <w:rFonts w:hint="eastAsia" w:ascii="仿宋" w:hAnsi="仿宋" w:eastAsia="仿宋"/>
          <w:sz w:val="32"/>
          <w:szCs w:val="32"/>
          <w:lang w:eastAsia="zh-CN"/>
        </w:rPr>
        <w:t>（</w:t>
      </w:r>
      <w:r>
        <w:rPr>
          <w:rFonts w:hint="eastAsia" w:ascii="仿宋" w:hAnsi="仿宋" w:eastAsia="仿宋"/>
          <w:sz w:val="32"/>
          <w:szCs w:val="32"/>
        </w:rPr>
        <w:t>4</w:t>
      </w:r>
      <w:r>
        <w:rPr>
          <w:rFonts w:hint="eastAsia" w:ascii="仿宋" w:hAnsi="仿宋" w:eastAsia="仿宋"/>
          <w:sz w:val="32"/>
          <w:szCs w:val="32"/>
          <w:lang w:eastAsia="zh-CN"/>
        </w:rPr>
        <w:t>）</w:t>
      </w:r>
      <w:r>
        <w:rPr>
          <w:rFonts w:hint="eastAsia" w:ascii="仿宋" w:hAnsi="仿宋" w:eastAsia="仿宋"/>
          <w:sz w:val="32"/>
          <w:szCs w:val="32"/>
        </w:rPr>
        <w:t>、发扬自我教育的优良传统，宣传、贯彻党和国家的方针政策，加强和改进思想政治工作，推动企业文化建设。</w:t>
      </w:r>
      <w:r>
        <w:rPr>
          <w:rFonts w:hint="eastAsia" w:ascii="仿宋" w:hAnsi="仿宋" w:eastAsia="仿宋"/>
          <w:sz w:val="32"/>
          <w:szCs w:val="32"/>
          <w:lang w:eastAsia="zh-CN"/>
        </w:rPr>
        <w:t>（</w:t>
      </w:r>
      <w:r>
        <w:rPr>
          <w:rFonts w:hint="eastAsia" w:ascii="仿宋" w:hAnsi="仿宋" w:eastAsia="仿宋"/>
          <w:sz w:val="32"/>
          <w:szCs w:val="32"/>
        </w:rPr>
        <w:t>5</w:t>
      </w:r>
      <w:r>
        <w:rPr>
          <w:rFonts w:hint="eastAsia" w:ascii="仿宋" w:hAnsi="仿宋" w:eastAsia="仿宋"/>
          <w:sz w:val="32"/>
          <w:szCs w:val="32"/>
          <w:lang w:eastAsia="zh-CN"/>
        </w:rPr>
        <w:t>）</w:t>
      </w:r>
      <w:r>
        <w:rPr>
          <w:rFonts w:hint="eastAsia" w:ascii="仿宋" w:hAnsi="仿宋" w:eastAsia="仿宋"/>
          <w:sz w:val="32"/>
          <w:szCs w:val="32"/>
        </w:rPr>
        <w:t>、代表并维护会员的合法权益，反映会员的意见、要求和建议。</w:t>
      </w:r>
      <w:r>
        <w:rPr>
          <w:rFonts w:hint="eastAsia" w:ascii="仿宋" w:hAnsi="仿宋" w:eastAsia="仿宋"/>
          <w:sz w:val="32"/>
          <w:szCs w:val="32"/>
          <w:lang w:eastAsia="zh-CN"/>
        </w:rPr>
        <w:t>（</w:t>
      </w:r>
      <w:r>
        <w:rPr>
          <w:rFonts w:hint="eastAsia" w:ascii="仿宋" w:hAnsi="仿宋" w:eastAsia="仿宋"/>
          <w:sz w:val="32"/>
          <w:szCs w:val="32"/>
        </w:rPr>
        <w:t>6</w:t>
      </w:r>
      <w:r>
        <w:rPr>
          <w:rFonts w:hint="eastAsia" w:ascii="仿宋" w:hAnsi="仿宋" w:eastAsia="仿宋"/>
          <w:sz w:val="32"/>
          <w:szCs w:val="32"/>
          <w:lang w:eastAsia="zh-CN"/>
        </w:rPr>
        <w:t>）</w:t>
      </w:r>
      <w:r>
        <w:rPr>
          <w:rFonts w:hint="eastAsia" w:ascii="仿宋" w:hAnsi="仿宋" w:eastAsia="仿宋"/>
          <w:sz w:val="32"/>
          <w:szCs w:val="32"/>
        </w:rPr>
        <w:t>、引导会员弘扬中华民族的传统美德，热心公益事业，积极参与光彩事业。</w:t>
      </w:r>
      <w:r>
        <w:rPr>
          <w:rFonts w:hint="eastAsia" w:ascii="仿宋" w:hAnsi="仿宋" w:eastAsia="仿宋"/>
          <w:sz w:val="32"/>
          <w:szCs w:val="32"/>
          <w:lang w:eastAsia="zh-CN"/>
        </w:rPr>
        <w:t>（</w:t>
      </w:r>
      <w:r>
        <w:rPr>
          <w:rFonts w:hint="eastAsia" w:ascii="仿宋" w:hAnsi="仿宋" w:eastAsia="仿宋"/>
          <w:sz w:val="32"/>
          <w:szCs w:val="32"/>
        </w:rPr>
        <w:t>7</w:t>
      </w:r>
      <w:r>
        <w:rPr>
          <w:rFonts w:hint="eastAsia" w:ascii="仿宋" w:hAnsi="仿宋" w:eastAsia="仿宋"/>
          <w:sz w:val="32"/>
          <w:szCs w:val="32"/>
          <w:lang w:eastAsia="zh-CN"/>
        </w:rPr>
        <w:t>）</w:t>
      </w:r>
      <w:r>
        <w:rPr>
          <w:rFonts w:hint="eastAsia" w:ascii="仿宋" w:hAnsi="仿宋" w:eastAsia="仿宋"/>
          <w:sz w:val="32"/>
          <w:szCs w:val="32"/>
        </w:rPr>
        <w:t>、为会员提供信息和科技、管理、法律、会计、审计、融资、咨询服务。</w:t>
      </w:r>
      <w:r>
        <w:rPr>
          <w:rFonts w:hint="eastAsia" w:ascii="仿宋" w:hAnsi="仿宋" w:eastAsia="仿宋"/>
          <w:sz w:val="32"/>
          <w:szCs w:val="32"/>
          <w:lang w:eastAsia="zh-CN"/>
        </w:rPr>
        <w:t>（</w:t>
      </w:r>
      <w:r>
        <w:rPr>
          <w:rFonts w:hint="eastAsia" w:ascii="仿宋" w:hAnsi="仿宋" w:eastAsia="仿宋"/>
          <w:sz w:val="32"/>
          <w:szCs w:val="32"/>
        </w:rPr>
        <w:t>8</w:t>
      </w:r>
      <w:r>
        <w:rPr>
          <w:rFonts w:hint="eastAsia" w:ascii="仿宋" w:hAnsi="仿宋" w:eastAsia="仿宋"/>
          <w:sz w:val="32"/>
          <w:szCs w:val="32"/>
          <w:lang w:eastAsia="zh-CN"/>
        </w:rPr>
        <w:t>）</w:t>
      </w:r>
      <w:r>
        <w:rPr>
          <w:rFonts w:hint="eastAsia" w:ascii="仿宋" w:hAnsi="仿宋" w:eastAsia="仿宋"/>
          <w:sz w:val="32"/>
          <w:szCs w:val="32"/>
        </w:rPr>
        <w:t>、开展工商专业培训，帮助会员改进经营管理，完善财会管理，照章纳税，提高生产技术和产品质量。</w:t>
      </w:r>
      <w:r>
        <w:rPr>
          <w:rFonts w:hint="eastAsia" w:ascii="仿宋" w:hAnsi="仿宋" w:eastAsia="仿宋"/>
          <w:sz w:val="32"/>
          <w:szCs w:val="32"/>
          <w:lang w:eastAsia="zh-CN"/>
        </w:rPr>
        <w:t>（</w:t>
      </w:r>
      <w:r>
        <w:rPr>
          <w:rFonts w:hint="eastAsia" w:ascii="仿宋" w:hAnsi="仿宋" w:eastAsia="仿宋"/>
          <w:sz w:val="32"/>
          <w:szCs w:val="32"/>
        </w:rPr>
        <w:t>9</w:t>
      </w:r>
      <w:r>
        <w:rPr>
          <w:rFonts w:hint="eastAsia" w:ascii="仿宋" w:hAnsi="仿宋" w:eastAsia="仿宋"/>
          <w:sz w:val="32"/>
          <w:szCs w:val="32"/>
          <w:lang w:eastAsia="zh-CN"/>
        </w:rPr>
        <w:t>）</w:t>
      </w:r>
      <w:r>
        <w:rPr>
          <w:rFonts w:hint="eastAsia" w:ascii="仿宋" w:hAnsi="仿宋" w:eastAsia="仿宋"/>
          <w:sz w:val="32"/>
          <w:szCs w:val="32"/>
        </w:rPr>
        <w:t>、组织会员举办和参加各种对内对外展销会、交易会、组织会员出国考察，帮助会员开拓国际国内市场。</w:t>
      </w:r>
      <w:r>
        <w:rPr>
          <w:rFonts w:hint="eastAsia" w:ascii="仿宋" w:hAnsi="仿宋" w:eastAsia="仿宋"/>
          <w:sz w:val="32"/>
          <w:szCs w:val="32"/>
          <w:lang w:eastAsia="zh-CN"/>
        </w:rPr>
        <w:t>（</w:t>
      </w:r>
      <w:r>
        <w:rPr>
          <w:rFonts w:hint="eastAsia" w:ascii="仿宋" w:hAnsi="仿宋" w:eastAsia="仿宋"/>
          <w:sz w:val="32"/>
          <w:szCs w:val="32"/>
        </w:rPr>
        <w:t>10</w:t>
      </w:r>
      <w:r>
        <w:rPr>
          <w:rFonts w:hint="eastAsia" w:ascii="仿宋" w:hAnsi="仿宋" w:eastAsia="仿宋"/>
          <w:sz w:val="32"/>
          <w:szCs w:val="32"/>
          <w:lang w:eastAsia="zh-CN"/>
        </w:rPr>
        <w:t>）</w:t>
      </w:r>
      <w:r>
        <w:rPr>
          <w:rFonts w:hint="eastAsia" w:ascii="仿宋" w:hAnsi="仿宋" w:eastAsia="仿宋"/>
          <w:sz w:val="32"/>
          <w:szCs w:val="32"/>
        </w:rPr>
        <w:t>、增进与港、奥特区及台湾地区和世界各国工商社团及工商经济人士的联系，促进经济、技术合作，协助引进资金、技术人才。</w:t>
      </w:r>
      <w:r>
        <w:rPr>
          <w:rFonts w:hint="eastAsia" w:ascii="仿宋" w:hAnsi="仿宋" w:eastAsia="仿宋"/>
          <w:sz w:val="32"/>
          <w:szCs w:val="32"/>
          <w:lang w:eastAsia="zh-CN"/>
        </w:rPr>
        <w:t>（</w:t>
      </w:r>
      <w:r>
        <w:rPr>
          <w:rFonts w:hint="eastAsia" w:ascii="仿宋" w:hAnsi="仿宋" w:eastAsia="仿宋"/>
          <w:sz w:val="32"/>
          <w:szCs w:val="32"/>
        </w:rPr>
        <w:t>11</w:t>
      </w:r>
      <w:r>
        <w:rPr>
          <w:rFonts w:hint="eastAsia" w:ascii="仿宋" w:hAnsi="仿宋" w:eastAsia="仿宋"/>
          <w:sz w:val="32"/>
          <w:szCs w:val="32"/>
          <w:lang w:eastAsia="zh-CN"/>
        </w:rPr>
        <w:t>）</w:t>
      </w:r>
      <w:r>
        <w:rPr>
          <w:rFonts w:hint="eastAsia" w:ascii="仿宋" w:hAnsi="仿宋" w:eastAsia="仿宋"/>
          <w:sz w:val="32"/>
          <w:szCs w:val="32"/>
        </w:rPr>
        <w:t>、为会员提供有关证明，协调关系，调解经济纠纷。</w:t>
      </w:r>
      <w:r>
        <w:rPr>
          <w:rFonts w:hint="eastAsia" w:ascii="仿宋" w:hAnsi="仿宋" w:eastAsia="仿宋"/>
          <w:sz w:val="32"/>
          <w:szCs w:val="32"/>
          <w:lang w:eastAsia="zh-CN"/>
        </w:rPr>
        <w:t>（</w:t>
      </w:r>
      <w:r>
        <w:rPr>
          <w:rFonts w:hint="eastAsia" w:ascii="仿宋" w:hAnsi="仿宋" w:eastAsia="仿宋"/>
          <w:sz w:val="32"/>
          <w:szCs w:val="32"/>
        </w:rPr>
        <w:t>12</w:t>
      </w:r>
      <w:r>
        <w:rPr>
          <w:rFonts w:hint="eastAsia" w:ascii="仿宋" w:hAnsi="仿宋" w:eastAsia="仿宋"/>
          <w:sz w:val="32"/>
          <w:szCs w:val="32"/>
          <w:lang w:eastAsia="zh-CN"/>
        </w:rPr>
        <w:t>）</w:t>
      </w:r>
      <w:r>
        <w:rPr>
          <w:rFonts w:hint="eastAsia" w:ascii="仿宋" w:hAnsi="仿宋" w:eastAsia="仿宋"/>
          <w:sz w:val="32"/>
          <w:szCs w:val="32"/>
        </w:rPr>
        <w:t>、指导各县（市）区工商联的工作。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rPr>
        <w:t>13</w:t>
      </w:r>
      <w:r>
        <w:rPr>
          <w:rFonts w:hint="eastAsia" w:ascii="仿宋" w:hAnsi="仿宋" w:eastAsia="仿宋"/>
          <w:sz w:val="32"/>
          <w:szCs w:val="32"/>
          <w:lang w:eastAsia="zh-CN"/>
        </w:rPr>
        <w:t>）</w:t>
      </w:r>
      <w:r>
        <w:rPr>
          <w:rFonts w:hint="eastAsia" w:ascii="仿宋" w:hAnsi="仿宋" w:eastAsia="仿宋"/>
          <w:sz w:val="32"/>
          <w:szCs w:val="32"/>
        </w:rPr>
        <w:t>、承办政府和有关部门委托事项。</w:t>
      </w:r>
    </w:p>
    <w:p>
      <w:pPr>
        <w:widowControl w:val="0"/>
        <w:wordWrap/>
        <w:adjustRightInd w:val="0"/>
        <w:snapToGrid w:val="0"/>
        <w:spacing w:line="560" w:lineRule="exact"/>
        <w:ind w:left="0" w:leftChars="0" w:right="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2、组织机构及人员</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rPr>
        <w:t xml:space="preserve">纳入本部门决算汇编范围的独立核算单位共 </w:t>
      </w:r>
      <w:r>
        <w:rPr>
          <w:rFonts w:hint="eastAsia" w:ascii="仿宋" w:hAnsi="仿宋" w:eastAsia="仿宋"/>
          <w:sz w:val="32"/>
          <w:szCs w:val="32"/>
          <w:lang w:val="en"/>
        </w:rPr>
        <w:t>1</w:t>
      </w:r>
      <w:r>
        <w:rPr>
          <w:rFonts w:hint="eastAsia" w:ascii="仿宋" w:hAnsi="仿宋" w:eastAsia="仿宋"/>
          <w:sz w:val="32"/>
          <w:szCs w:val="32"/>
        </w:rPr>
        <w:t>个，</w:t>
      </w:r>
      <w:r>
        <w:rPr>
          <w:rFonts w:hint="eastAsia" w:ascii="仿宋" w:hAnsi="仿宋" w:eastAsia="仿宋"/>
          <w:sz w:val="32"/>
          <w:szCs w:val="32"/>
          <w:lang w:eastAsia="zh-CN"/>
        </w:rPr>
        <w:t>本部门</w:t>
      </w:r>
      <w:r>
        <w:rPr>
          <w:rFonts w:hint="eastAsia" w:ascii="仿宋" w:hAnsi="仿宋" w:eastAsia="仿宋"/>
          <w:sz w:val="32"/>
          <w:szCs w:val="32"/>
          <w:lang w:val="en-US" w:eastAsia="zh-CN"/>
        </w:rPr>
        <w:t>2021年末</w:t>
      </w:r>
      <w:r>
        <w:rPr>
          <w:rFonts w:hint="eastAsia" w:ascii="仿宋" w:hAnsi="仿宋" w:eastAsia="仿宋"/>
          <w:sz w:val="32"/>
          <w:szCs w:val="32"/>
          <w:lang w:eastAsia="zh-CN"/>
        </w:rPr>
        <w:t>在职人员</w:t>
      </w:r>
      <w:r>
        <w:rPr>
          <w:rFonts w:hint="eastAsia" w:ascii="仿宋" w:hAnsi="仿宋" w:eastAsia="仿宋"/>
          <w:sz w:val="32"/>
          <w:szCs w:val="32"/>
          <w:lang w:val="en-US" w:eastAsia="zh-CN"/>
        </w:rPr>
        <w:t>29人。</w:t>
      </w:r>
    </w:p>
    <w:p>
      <w:pPr>
        <w:widowControl w:val="0"/>
        <w:wordWrap/>
        <w:adjustRightInd w:val="0"/>
        <w:snapToGrid w:val="0"/>
        <w:spacing w:line="560" w:lineRule="exact"/>
        <w:ind w:left="0" w:leftChars="0" w:right="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3、资产情况</w:t>
      </w:r>
    </w:p>
    <w:p>
      <w:pPr>
        <w:widowControl w:val="0"/>
        <w:wordWrap/>
        <w:adjustRightInd w:val="0"/>
        <w:snapToGrid w:val="0"/>
        <w:spacing w:line="560" w:lineRule="exact"/>
        <w:ind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本部门年末资产总额15043334.59元，其中房产324.7万，车辆一辆，20万元，土地970万，其他资产189</w:t>
      </w:r>
      <w:bookmarkStart w:id="0" w:name="_GoBack"/>
      <w:bookmarkEnd w:id="0"/>
      <w:r>
        <w:rPr>
          <w:rFonts w:hint="eastAsia" w:ascii="仿宋" w:hAnsi="仿宋" w:eastAsia="仿宋"/>
          <w:sz w:val="32"/>
          <w:szCs w:val="32"/>
          <w:lang w:val="en-US" w:eastAsia="zh-CN"/>
        </w:rPr>
        <w:t>6334.59元。</w:t>
      </w:r>
    </w:p>
    <w:p>
      <w:pPr>
        <w:widowControl w:val="0"/>
        <w:numPr>
          <w:ilvl w:val="0"/>
          <w:numId w:val="0"/>
        </w:numPr>
        <w:wordWrap/>
        <w:adjustRightInd w:val="0"/>
        <w:snapToGrid w:val="0"/>
        <w:spacing w:line="560" w:lineRule="exact"/>
        <w:ind w:right="0" w:rightChars="0"/>
        <w:jc w:val="left"/>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（二）部门收支预决算情况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2021年度本单位年初预算收入922.59万元，预算支出922.59万元，2021年决算收入853.674552万元，年初结转1.2849万元，决算支出854.959452万元。</w:t>
      </w:r>
    </w:p>
    <w:p>
      <w:pPr>
        <w:widowControl w:val="0"/>
        <w:wordWrap/>
        <w:adjustRightInd w:val="0"/>
        <w:snapToGrid w:val="0"/>
        <w:spacing w:line="560" w:lineRule="exact"/>
        <w:ind w:right="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工商联坚持以习近平新时代中国特色社会主义思想为指导，深入学习贯彻党的十九大和十九届二中、三中、四中全会精神，按照“政治建会、团结立会、服务兴会、改革强会”的工作要求，充分发挥桥梁纽带与参谋助手作用，积极搭建服务平台，引导民营企业和非公制经济代表人士积极践行新发展理念，努力实现高质量发展。一是围绕我市民营经济发展开展调查研究,完成调查报告、政协提案4件；二是实施民营企业家素质提升工程,培训民营企业家及高管600人次；三是举办服务民营经济的会议活动,民营企业招聘会等会议活动4场；四是推进异地石家庄商会建设,指导组建异地石家庄商会、河北商会石家庄分会2家。</w:t>
      </w:r>
    </w:p>
    <w:p>
      <w:pPr>
        <w:widowControl w:val="0"/>
        <w:wordWrap/>
        <w:adjustRightInd w:val="0"/>
        <w:snapToGrid w:val="0"/>
        <w:spacing w:line="560" w:lineRule="exact"/>
        <w:ind w:right="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cs="楷体_GB2312"/>
          <w:b/>
          <w:bCs/>
          <w:sz w:val="32"/>
          <w:szCs w:val="32"/>
        </w:rPr>
        <w:t>（一）自评的组织工作</w:t>
      </w:r>
    </w:p>
    <w:p>
      <w:pPr>
        <w:spacing w:line="520" w:lineRule="exact"/>
        <w:ind w:right="-2"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为做好20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年度绩效自评工作，在</w:t>
      </w:r>
      <w:r>
        <w:rPr>
          <w:rFonts w:hint="eastAsia" w:ascii="仿宋_GB2312" w:hAnsi="仿宋_GB2312" w:eastAsia="仿宋_GB2312" w:cs="仿宋_GB2312"/>
          <w:sz w:val="32"/>
          <w:szCs w:val="32"/>
          <w:lang w:eastAsia="zh-CN"/>
        </w:rPr>
        <w:t>市工商联</w:t>
      </w:r>
      <w:r>
        <w:rPr>
          <w:rFonts w:hint="eastAsia" w:ascii="仿宋_GB2312" w:hAnsi="仿宋_GB2312" w:eastAsia="仿宋_GB2312" w:cs="仿宋_GB2312"/>
          <w:sz w:val="32"/>
          <w:szCs w:val="32"/>
        </w:rPr>
        <w:t>内控监督联合工作小组框架内组成了绩效自评工作小组。组长由</w:t>
      </w:r>
      <w:r>
        <w:rPr>
          <w:rFonts w:hint="eastAsia" w:ascii="仿宋_GB2312" w:hAnsi="仿宋_GB2312" w:eastAsia="仿宋_GB2312" w:cs="仿宋_GB2312"/>
          <w:sz w:val="32"/>
          <w:szCs w:val="32"/>
          <w:lang w:eastAsia="zh-CN"/>
        </w:rPr>
        <w:t>市工商联</w:t>
      </w:r>
      <w:r>
        <w:rPr>
          <w:rFonts w:hint="eastAsia" w:ascii="仿宋_GB2312" w:hAnsi="仿宋_GB2312" w:eastAsia="仿宋_GB2312" w:cs="仿宋_GB2312"/>
          <w:sz w:val="32"/>
          <w:szCs w:val="32"/>
        </w:rPr>
        <w:t>副主</w:t>
      </w:r>
      <w:r>
        <w:rPr>
          <w:rFonts w:hint="eastAsia" w:ascii="仿宋_GB2312" w:hAnsi="仿宋_GB2312" w:eastAsia="仿宋_GB2312" w:cs="仿宋_GB2312"/>
          <w:sz w:val="32"/>
          <w:szCs w:val="32"/>
          <w:lang w:eastAsia="zh-CN"/>
        </w:rPr>
        <w:t>席门立新</w:t>
      </w:r>
      <w:r>
        <w:rPr>
          <w:rFonts w:hint="eastAsia" w:ascii="仿宋_GB2312" w:hAnsi="仿宋_GB2312" w:eastAsia="仿宋_GB2312" w:cs="仿宋_GB2312"/>
          <w:sz w:val="32"/>
          <w:szCs w:val="32"/>
        </w:rPr>
        <w:t>担任，成员由财务处、办公室、业务部门负责人和相关人员组成，按照市财政局通知要求，开展自评相关工作。</w:t>
      </w:r>
    </w:p>
    <w:p>
      <w:pPr>
        <w:widowControl w:val="0"/>
        <w:numPr>
          <w:ilvl w:val="0"/>
          <w:numId w:val="0"/>
        </w:numPr>
        <w:wordWrap/>
        <w:spacing w:line="560" w:lineRule="exact"/>
        <w:ind w:right="0" w:right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lang w:eastAsia="zh-CN"/>
        </w:rPr>
        <w:t>（二）</w:t>
      </w:r>
      <w:r>
        <w:rPr>
          <w:rFonts w:hint="eastAsia" w:ascii="仿宋" w:hAnsi="仿宋" w:eastAsia="仿宋" w:cs="楷体_GB2312"/>
          <w:b/>
          <w:bCs/>
          <w:sz w:val="32"/>
          <w:szCs w:val="32"/>
        </w:rPr>
        <w:t>自评的方法和过程</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 自评工作小组成立后，首先认真学习了市财政局关于专项资金绩效评价的文件精神，明确自评的目的、内容、方法和要求。</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 根据自评需要，学习了国家有关资金使用和工程项目实施规范的法律法规，《石家庄市工商业联合会内控工作手册》内部专项管理制度，为绩效评价提供法律政策和制度依据。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 按照市工商业联合会市财政资金，我们组织开展自评工作。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向上级呈报有关项目的请示、申请、报告和上级有关项目的指示、通知和批复文件；项目实施期间的会议记录、会议纪要等，为绩效评价提供了充分的评价依据。依据法律政策制度和项目实施过程的资料信息，从项目程序、项目质量、资金控制三个方面和绩效评价指标体系各项指标进行了据实绩效评价。</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0"/>
        </w:numPr>
        <w:wordWrap/>
        <w:spacing w:line="560" w:lineRule="exact"/>
        <w:ind w:right="0" w:rightChars="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val="en-US" w:eastAsia="zh-CN"/>
        </w:rPr>
        <w:t>(一)</w:t>
      </w:r>
      <w:r>
        <w:rPr>
          <w:rFonts w:hint="eastAsia" w:ascii="仿宋" w:hAnsi="仿宋" w:eastAsia="仿宋" w:cs="楷体_GB2312"/>
          <w:b/>
          <w:bCs/>
          <w:sz w:val="32"/>
          <w:szCs w:val="32"/>
          <w:lang w:eastAsia="zh-CN"/>
        </w:rPr>
        <w:t>总体绩效目标实现情况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市工商联在市委、市政府的领导下，在省工商联和市委统战部的指导下，认真学习贯彻党的十九大精神，以习近平新时代中国特色社会主义思想为指导，坚持围绕中心、服务大局，开拓创新，勇于进取，多项工作取得了新突破、新成就，在促进转型升级，服务科学发展等方面取得了新的进展，有力地促进了全市非公有制经济健康发展和非公有制经济人士健康成长。</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市工商联高度重视机关作风整顿活动，行动迅速，精心组织、周密部署、强力推进。在纠治机关“庸、懒、散、软”的通病上，结合深化机关作风整顿活动，不断强化“有作为才有地位、有实绩才有成绩”的观念；把每周五确定为“学习日”，其次是依靠制度严抓作风规范。</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rPr>
        <w:t>根据市财政预算绩效管理要求，我单位认真研究确定部门预算项目和预算额度，清晰描述预算项目开支范围和内容，确定预算项目的绩效目标、绩效指标和评价标准，为预算绩效控制、绩效分析、绩效评价打下好的基础。</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分项绩效目标实现情况及指标分析</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参照预算绩效文本中分项绩效目标、指标，从完成数量、质量、时效、成本效益</w:t>
      </w:r>
      <w:r>
        <w:rPr>
          <w:rFonts w:hint="eastAsia" w:ascii="仿宋" w:hAnsi="仿宋" w:eastAsia="仿宋"/>
          <w:sz w:val="32"/>
          <w:szCs w:val="32"/>
        </w:rPr>
        <w:t>等</w:t>
      </w:r>
      <w:r>
        <w:rPr>
          <w:rFonts w:hint="eastAsia" w:ascii="仿宋" w:hAnsi="仿宋" w:eastAsia="仿宋"/>
          <w:sz w:val="32"/>
          <w:szCs w:val="32"/>
          <w:lang w:eastAsia="zh-CN"/>
        </w:rPr>
        <w:t>方面</w:t>
      </w:r>
      <w:r>
        <w:rPr>
          <w:rFonts w:hint="eastAsia" w:ascii="仿宋" w:hAnsi="仿宋" w:eastAsia="仿宋"/>
          <w:sz w:val="32"/>
          <w:szCs w:val="32"/>
        </w:rPr>
        <w:t>，对</w:t>
      </w:r>
      <w:r>
        <w:rPr>
          <w:rFonts w:hint="eastAsia" w:ascii="仿宋" w:hAnsi="仿宋" w:eastAsia="仿宋"/>
          <w:sz w:val="32"/>
          <w:szCs w:val="32"/>
          <w:lang w:eastAsia="zh-CN"/>
        </w:rPr>
        <w:t>分项目标指标完成情况进行评价如下表</w:t>
      </w:r>
      <w:r>
        <w:rPr>
          <w:rFonts w:hint="eastAsia" w:ascii="仿宋" w:hAnsi="仿宋" w:eastAsia="仿宋"/>
          <w:sz w:val="32"/>
          <w:szCs w:val="32"/>
        </w:rPr>
        <w:t>。</w:t>
      </w:r>
    </w:p>
    <w:tbl>
      <w:tblPr>
        <w:tblStyle w:val="5"/>
        <w:tblpPr w:leftFromText="180" w:rightFromText="180" w:vertAnchor="text" w:horzAnchor="page" w:tblpX="1177" w:tblpY="-7111"/>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39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rPr>
              <w:t>数量指标</w:t>
            </w:r>
            <w:r>
              <w:rPr>
                <w:rFonts w:hint="eastAsia" w:ascii="仿宋" w:hAnsi="仿宋" w:eastAsia="仿宋" w:cs="黑体"/>
                <w:sz w:val="24"/>
                <w:highlight w:val="none"/>
                <w:lang w:eastAsia="zh-CN"/>
              </w:rPr>
              <w:t>完成情况</w:t>
            </w:r>
          </w:p>
        </w:tc>
        <w:tc>
          <w:tcPr>
            <w:tcW w:w="133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rPr>
              <w:t>质量指标</w:t>
            </w:r>
            <w:r>
              <w:rPr>
                <w:rFonts w:hint="eastAsia" w:ascii="仿宋" w:hAnsi="仿宋" w:eastAsia="仿宋" w:cs="黑体"/>
                <w:sz w:val="24"/>
                <w:highlight w:val="none"/>
                <w:lang w:eastAsia="zh-CN"/>
              </w:rPr>
              <w:t>完成情况</w:t>
            </w:r>
          </w:p>
        </w:tc>
        <w:tc>
          <w:tcPr>
            <w:tcW w:w="1560" w:type="dxa"/>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时效指标完成情况</w:t>
            </w:r>
          </w:p>
        </w:tc>
        <w:tc>
          <w:tcPr>
            <w:tcW w:w="148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成本效益指标完成情况</w:t>
            </w:r>
          </w:p>
        </w:tc>
        <w:tc>
          <w:tcPr>
            <w:tcW w:w="900"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1、非公有制经济商（协）会党委工作经费</w:t>
            </w:r>
          </w:p>
        </w:tc>
        <w:tc>
          <w:tcPr>
            <w:tcW w:w="1395" w:type="dxa"/>
          </w:tcPr>
          <w:p>
            <w:pPr>
              <w:snapToGrid w:val="0"/>
              <w:spacing w:line="360" w:lineRule="auto"/>
              <w:rPr>
                <w:rFonts w:hint="eastAsia" w:ascii="仿宋" w:hAnsi="仿宋" w:eastAsia="仿宋" w:cs="黑体"/>
                <w:sz w:val="24"/>
                <w:highlight w:val="none"/>
                <w:lang w:val="en-US" w:eastAsia="zh-CN"/>
              </w:rPr>
            </w:pPr>
            <w:r>
              <w:rPr>
                <w:rFonts w:hint="eastAsia" w:ascii="仿宋" w:hAnsi="仿宋" w:eastAsia="仿宋" w:cs="黑体"/>
                <w:sz w:val="24"/>
                <w:highlight w:val="none"/>
              </w:rPr>
              <w:t>组织培训班</w:t>
            </w:r>
            <w:r>
              <w:rPr>
                <w:rFonts w:hint="eastAsia" w:ascii="仿宋" w:hAnsi="仿宋" w:eastAsia="仿宋" w:cs="黑体"/>
                <w:sz w:val="24"/>
                <w:highlight w:val="none"/>
                <w:lang w:val="en-US" w:eastAsia="zh-CN"/>
              </w:rPr>
              <w:t>4期</w:t>
            </w:r>
          </w:p>
        </w:tc>
        <w:tc>
          <w:tcPr>
            <w:tcW w:w="133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培训出勤率</w:t>
            </w:r>
            <w:r>
              <w:rPr>
                <w:rFonts w:hint="eastAsia" w:ascii="仿宋" w:hAnsi="仿宋" w:eastAsia="仿宋" w:cs="黑体"/>
                <w:sz w:val="24"/>
                <w:highlight w:val="none"/>
                <w:lang w:val="en-US" w:eastAsia="zh-CN"/>
              </w:rPr>
              <w:t>100%</w:t>
            </w:r>
          </w:p>
        </w:tc>
        <w:tc>
          <w:tcPr>
            <w:tcW w:w="156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项目按时完成率</w:t>
            </w:r>
            <w:r>
              <w:rPr>
                <w:rFonts w:hint="eastAsia" w:ascii="仿宋" w:hAnsi="仿宋" w:eastAsia="仿宋" w:cs="黑体"/>
                <w:sz w:val="24"/>
                <w:highlight w:val="none"/>
                <w:lang w:val="en-US" w:eastAsia="zh-CN"/>
              </w:rPr>
              <w:t>100%</w:t>
            </w:r>
          </w:p>
        </w:tc>
        <w:tc>
          <w:tcPr>
            <w:tcW w:w="148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预算控制数</w:t>
            </w:r>
            <w:r>
              <w:rPr>
                <w:rFonts w:hint="eastAsia" w:ascii="仿宋" w:hAnsi="仿宋" w:eastAsia="仿宋" w:cs="黑体"/>
                <w:sz w:val="24"/>
                <w:highlight w:val="none"/>
                <w:lang w:eastAsia="zh-CN"/>
              </w:rPr>
              <w:t>位</w:t>
            </w:r>
            <w:r>
              <w:rPr>
                <w:rFonts w:hint="eastAsia" w:ascii="仿宋" w:hAnsi="仿宋" w:eastAsia="仿宋" w:cs="黑体"/>
                <w:sz w:val="24"/>
                <w:highlight w:val="none"/>
                <w:lang w:val="en-US" w:eastAsia="zh-CN"/>
              </w:rPr>
              <w:t>30万</w:t>
            </w: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rPr>
                <w:rFonts w:hint="eastAsia" w:ascii="仿宋" w:hAnsi="仿宋" w:eastAsia="仿宋" w:cs="黑体"/>
                <w:sz w:val="24"/>
                <w:highlight w:val="none"/>
              </w:rPr>
            </w:pPr>
            <w:r>
              <w:rPr>
                <w:rFonts w:hint="eastAsia" w:ascii="仿宋" w:hAnsi="仿宋" w:eastAsia="仿宋" w:cs="黑体"/>
                <w:sz w:val="24"/>
                <w:highlight w:val="none"/>
                <w:lang w:val="en-US" w:eastAsia="zh-CN"/>
              </w:rPr>
              <w:t>2、</w:t>
            </w:r>
            <w:r>
              <w:rPr>
                <w:rFonts w:hint="eastAsia" w:ascii="仿宋" w:hAnsi="仿宋" w:eastAsia="仿宋" w:cs="黑体"/>
                <w:sz w:val="24"/>
                <w:highlight w:val="none"/>
              </w:rPr>
              <w:t xml:space="preserve">民营企业家工作经费      </w:t>
            </w:r>
          </w:p>
        </w:tc>
        <w:tc>
          <w:tcPr>
            <w:tcW w:w="139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组织培训班</w:t>
            </w:r>
            <w:r>
              <w:rPr>
                <w:rFonts w:hint="eastAsia" w:ascii="仿宋" w:hAnsi="仿宋" w:eastAsia="仿宋" w:cs="黑体"/>
                <w:sz w:val="24"/>
                <w:highlight w:val="none"/>
                <w:lang w:val="en-US" w:eastAsia="zh-CN"/>
              </w:rPr>
              <w:t>15期</w:t>
            </w:r>
          </w:p>
        </w:tc>
        <w:tc>
          <w:tcPr>
            <w:tcW w:w="133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新生代企业家培训率</w:t>
            </w:r>
            <w:r>
              <w:rPr>
                <w:rFonts w:hint="eastAsia" w:ascii="仿宋" w:hAnsi="仿宋" w:eastAsia="仿宋" w:cs="黑体"/>
                <w:sz w:val="24"/>
                <w:highlight w:val="none"/>
                <w:lang w:val="en-US" w:eastAsia="zh-CN"/>
              </w:rPr>
              <w:t>96%</w:t>
            </w:r>
          </w:p>
        </w:tc>
        <w:tc>
          <w:tcPr>
            <w:tcW w:w="1560" w:type="dxa"/>
          </w:tcPr>
          <w:p>
            <w:pPr>
              <w:snapToGrid w:val="0"/>
              <w:spacing w:line="360" w:lineRule="auto"/>
              <w:rPr>
                <w:rFonts w:hint="eastAsia" w:ascii="仿宋" w:hAnsi="仿宋" w:eastAsia="仿宋" w:cs="黑体"/>
                <w:sz w:val="24"/>
                <w:highlight w:val="none"/>
              </w:rPr>
            </w:pPr>
            <w:r>
              <w:rPr>
                <w:rFonts w:hint="eastAsia" w:ascii="仿宋" w:hAnsi="仿宋" w:eastAsia="仿宋" w:cs="黑体"/>
                <w:sz w:val="24"/>
                <w:highlight w:val="none"/>
              </w:rPr>
              <w:t>各项任务完成及时率</w:t>
            </w:r>
            <w:r>
              <w:rPr>
                <w:rFonts w:hint="eastAsia" w:ascii="仿宋" w:hAnsi="仿宋" w:eastAsia="仿宋" w:cs="黑体"/>
                <w:sz w:val="24"/>
                <w:highlight w:val="none"/>
                <w:lang w:val="en-US" w:eastAsia="zh-CN"/>
              </w:rPr>
              <w:t>100</w:t>
            </w:r>
            <w:r>
              <w:rPr>
                <w:rFonts w:hint="eastAsia" w:ascii="仿宋" w:hAnsi="仿宋" w:eastAsia="仿宋" w:cs="黑体"/>
                <w:sz w:val="24"/>
                <w:highlight w:val="none"/>
              </w:rPr>
              <w:t>%</w:t>
            </w:r>
          </w:p>
        </w:tc>
        <w:tc>
          <w:tcPr>
            <w:tcW w:w="148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总成本控制数</w:t>
            </w:r>
            <w:r>
              <w:rPr>
                <w:rFonts w:hint="eastAsia" w:ascii="仿宋" w:hAnsi="仿宋" w:eastAsia="仿宋" w:cs="黑体"/>
                <w:sz w:val="24"/>
                <w:highlight w:val="none"/>
                <w:lang w:val="en-US" w:eastAsia="zh-CN"/>
              </w:rPr>
              <w:t>21.95万</w:t>
            </w: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98.3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rPr>
                <w:rFonts w:hint="eastAsia" w:ascii="仿宋" w:hAnsi="仿宋" w:eastAsia="仿宋" w:cs="黑体"/>
                <w:sz w:val="24"/>
                <w:highlight w:val="none"/>
              </w:rPr>
            </w:pPr>
            <w:r>
              <w:rPr>
                <w:rFonts w:hint="eastAsia" w:ascii="仿宋" w:hAnsi="仿宋" w:eastAsia="仿宋" w:cs="黑体"/>
                <w:sz w:val="24"/>
                <w:highlight w:val="none"/>
                <w:lang w:val="en-US" w:eastAsia="zh-CN"/>
              </w:rPr>
              <w:t>3</w:t>
            </w:r>
            <w:r>
              <w:rPr>
                <w:rFonts w:hint="eastAsia" w:ascii="仿宋" w:hAnsi="仿宋" w:eastAsia="仿宋" w:cs="黑体"/>
                <w:sz w:val="24"/>
                <w:highlight w:val="none"/>
              </w:rPr>
              <w:t>、第十六次代表大会专项经费</w:t>
            </w:r>
          </w:p>
        </w:tc>
        <w:tc>
          <w:tcPr>
            <w:tcW w:w="139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会议参与人数</w:t>
            </w:r>
            <w:r>
              <w:rPr>
                <w:rFonts w:hint="eastAsia" w:ascii="仿宋" w:hAnsi="仿宋" w:eastAsia="仿宋" w:cs="黑体"/>
                <w:sz w:val="24"/>
                <w:highlight w:val="none"/>
                <w:lang w:val="en-US" w:eastAsia="zh-CN"/>
              </w:rPr>
              <w:t>453人</w:t>
            </w:r>
          </w:p>
        </w:tc>
        <w:tc>
          <w:tcPr>
            <w:tcW w:w="133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综合业务管理工作完成率</w:t>
            </w:r>
            <w:r>
              <w:rPr>
                <w:rFonts w:hint="eastAsia" w:ascii="仿宋" w:hAnsi="仿宋" w:eastAsia="仿宋" w:cs="黑体"/>
                <w:sz w:val="24"/>
                <w:highlight w:val="none"/>
                <w:lang w:val="en-US" w:eastAsia="zh-CN"/>
              </w:rPr>
              <w:t>100%</w:t>
            </w:r>
          </w:p>
        </w:tc>
        <w:tc>
          <w:tcPr>
            <w:tcW w:w="156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各项任务完成及时率</w:t>
            </w:r>
            <w:r>
              <w:rPr>
                <w:rFonts w:hint="eastAsia" w:ascii="仿宋" w:hAnsi="仿宋" w:eastAsia="仿宋" w:cs="黑体"/>
                <w:sz w:val="24"/>
                <w:highlight w:val="none"/>
                <w:lang w:val="en-US" w:eastAsia="zh-CN"/>
              </w:rPr>
              <w:t>100%</w:t>
            </w:r>
          </w:p>
        </w:tc>
        <w:tc>
          <w:tcPr>
            <w:tcW w:w="148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项目实际支出</w:t>
            </w:r>
            <w:r>
              <w:rPr>
                <w:rFonts w:hint="eastAsia" w:ascii="仿宋" w:hAnsi="仿宋" w:eastAsia="仿宋" w:cs="黑体"/>
                <w:sz w:val="24"/>
                <w:highlight w:val="none"/>
                <w:lang w:val="en-US" w:eastAsia="zh-CN"/>
              </w:rPr>
              <w:t>10万</w:t>
            </w: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rPr>
                <w:rFonts w:hint="eastAsia" w:ascii="仿宋" w:hAnsi="仿宋" w:eastAsia="仿宋" w:cs="黑体"/>
                <w:sz w:val="24"/>
                <w:highlight w:val="none"/>
              </w:rPr>
            </w:pPr>
            <w:r>
              <w:rPr>
                <w:rFonts w:hint="eastAsia" w:ascii="仿宋" w:hAnsi="仿宋" w:eastAsia="仿宋" w:cs="黑体"/>
                <w:sz w:val="24"/>
                <w:highlight w:val="none"/>
                <w:lang w:val="en-US" w:eastAsia="zh-CN"/>
              </w:rPr>
              <w:t>4</w:t>
            </w:r>
            <w:r>
              <w:rPr>
                <w:rFonts w:hint="eastAsia" w:ascii="仿宋" w:hAnsi="仿宋" w:eastAsia="仿宋" w:cs="黑体"/>
                <w:sz w:val="24"/>
                <w:highlight w:val="none"/>
              </w:rPr>
              <w:t>、推进异地商会建设</w:t>
            </w:r>
          </w:p>
        </w:tc>
        <w:tc>
          <w:tcPr>
            <w:tcW w:w="1395" w:type="dxa"/>
          </w:tcPr>
          <w:p>
            <w:pPr>
              <w:snapToGrid w:val="0"/>
              <w:spacing w:line="360" w:lineRule="auto"/>
              <w:rPr>
                <w:rFonts w:hint="eastAsia" w:ascii="仿宋" w:hAnsi="仿宋" w:eastAsia="仿宋" w:cs="黑体"/>
                <w:sz w:val="24"/>
                <w:highlight w:val="none"/>
                <w:lang w:val="en-US" w:eastAsia="zh-CN"/>
              </w:rPr>
            </w:pPr>
            <w:r>
              <w:rPr>
                <w:rFonts w:hint="eastAsia" w:ascii="仿宋" w:hAnsi="仿宋" w:eastAsia="仿宋" w:cs="黑体"/>
                <w:sz w:val="24"/>
                <w:highlight w:val="none"/>
              </w:rPr>
              <w:t>调研、考察次数</w:t>
            </w:r>
            <w:r>
              <w:rPr>
                <w:rFonts w:hint="eastAsia" w:ascii="仿宋" w:hAnsi="仿宋" w:eastAsia="仿宋" w:cs="黑体"/>
                <w:sz w:val="24"/>
                <w:highlight w:val="none"/>
                <w:lang w:val="en-US" w:eastAsia="zh-CN"/>
              </w:rPr>
              <w:t>6次</w:t>
            </w:r>
          </w:p>
        </w:tc>
        <w:tc>
          <w:tcPr>
            <w:tcW w:w="133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综合业务管理工作完成率</w:t>
            </w:r>
            <w:r>
              <w:rPr>
                <w:rFonts w:hint="eastAsia" w:ascii="仿宋" w:hAnsi="仿宋" w:eastAsia="仿宋" w:cs="黑体"/>
                <w:sz w:val="24"/>
                <w:highlight w:val="none"/>
                <w:lang w:val="en-US" w:eastAsia="zh-CN"/>
              </w:rPr>
              <w:t>100%</w:t>
            </w:r>
          </w:p>
        </w:tc>
        <w:tc>
          <w:tcPr>
            <w:tcW w:w="156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按期完成率</w:t>
            </w:r>
            <w:r>
              <w:rPr>
                <w:rFonts w:hint="eastAsia" w:ascii="仿宋" w:hAnsi="仿宋" w:eastAsia="仿宋" w:cs="黑体"/>
                <w:sz w:val="24"/>
                <w:highlight w:val="none"/>
                <w:lang w:val="en-US" w:eastAsia="zh-CN"/>
              </w:rPr>
              <w:t>100%</w:t>
            </w:r>
          </w:p>
        </w:tc>
        <w:tc>
          <w:tcPr>
            <w:tcW w:w="148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预算资金使用率</w:t>
            </w:r>
            <w:r>
              <w:rPr>
                <w:rFonts w:hint="eastAsia" w:ascii="仿宋" w:hAnsi="仿宋" w:eastAsia="仿宋" w:cs="黑体"/>
                <w:sz w:val="24"/>
                <w:highlight w:val="none"/>
                <w:lang w:val="en-US" w:eastAsia="zh-CN"/>
              </w:rPr>
              <w:t>52%</w:t>
            </w: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val="en-US" w:eastAsia="zh-CN"/>
              </w:rPr>
              <w:t>5</w:t>
            </w:r>
            <w:r>
              <w:rPr>
                <w:rFonts w:hint="eastAsia" w:ascii="仿宋" w:hAnsi="仿宋" w:eastAsia="仿宋" w:cs="黑体"/>
                <w:sz w:val="24"/>
                <w:highlight w:val="none"/>
              </w:rPr>
              <w:t>、第一届石家庄·库尔勒（农二师31团）企业协作发展专项经费</w:t>
            </w:r>
          </w:p>
        </w:tc>
        <w:tc>
          <w:tcPr>
            <w:tcW w:w="139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参会人数</w:t>
            </w:r>
            <w:r>
              <w:rPr>
                <w:rFonts w:hint="eastAsia" w:ascii="仿宋" w:hAnsi="仿宋" w:eastAsia="仿宋" w:cs="黑体"/>
                <w:sz w:val="24"/>
                <w:highlight w:val="none"/>
                <w:lang w:val="en-US" w:eastAsia="zh-CN"/>
              </w:rPr>
              <w:t>47人</w:t>
            </w:r>
          </w:p>
        </w:tc>
        <w:tc>
          <w:tcPr>
            <w:tcW w:w="133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综合事务管理工作完成率</w:t>
            </w:r>
            <w:r>
              <w:rPr>
                <w:rFonts w:hint="eastAsia" w:ascii="仿宋" w:hAnsi="仿宋" w:eastAsia="仿宋" w:cs="黑体"/>
                <w:sz w:val="24"/>
                <w:highlight w:val="none"/>
                <w:lang w:val="en-US" w:eastAsia="zh-CN"/>
              </w:rPr>
              <w:t>100%</w:t>
            </w:r>
          </w:p>
        </w:tc>
        <w:tc>
          <w:tcPr>
            <w:tcW w:w="156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工作任务完成及时率</w:t>
            </w:r>
            <w:r>
              <w:rPr>
                <w:rFonts w:hint="eastAsia" w:ascii="仿宋" w:hAnsi="仿宋" w:eastAsia="仿宋" w:cs="黑体"/>
                <w:sz w:val="24"/>
                <w:highlight w:val="none"/>
                <w:lang w:val="en-US" w:eastAsia="zh-CN"/>
              </w:rPr>
              <w:t>100%</w:t>
            </w:r>
          </w:p>
        </w:tc>
        <w:tc>
          <w:tcPr>
            <w:tcW w:w="148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按总成本控制</w:t>
            </w:r>
            <w:r>
              <w:rPr>
                <w:rFonts w:hint="eastAsia" w:ascii="仿宋" w:hAnsi="仿宋" w:eastAsia="仿宋" w:cs="黑体"/>
                <w:sz w:val="24"/>
                <w:highlight w:val="none"/>
                <w:lang w:val="en-US" w:eastAsia="zh-CN"/>
              </w:rPr>
              <w:t>14.49万</w:t>
            </w: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val="en-US" w:eastAsia="zh-CN"/>
              </w:rPr>
              <w:t>6</w:t>
            </w:r>
            <w:r>
              <w:rPr>
                <w:rFonts w:hint="eastAsia" w:ascii="仿宋" w:hAnsi="仿宋" w:eastAsia="仿宋" w:cs="黑体"/>
                <w:sz w:val="24"/>
                <w:highlight w:val="none"/>
              </w:rPr>
              <w:t>、人脸识别采集仪费</w:t>
            </w:r>
          </w:p>
        </w:tc>
        <w:tc>
          <w:tcPr>
            <w:tcW w:w="139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项目投资完成率</w:t>
            </w:r>
            <w:r>
              <w:rPr>
                <w:rFonts w:hint="eastAsia" w:ascii="仿宋" w:hAnsi="仿宋" w:eastAsia="仿宋" w:cs="黑体"/>
                <w:sz w:val="24"/>
                <w:highlight w:val="none"/>
                <w:lang w:val="en-US" w:eastAsia="zh-CN"/>
              </w:rPr>
              <w:t>100%</w:t>
            </w:r>
          </w:p>
        </w:tc>
        <w:tc>
          <w:tcPr>
            <w:tcW w:w="133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设备合格率</w:t>
            </w:r>
            <w:r>
              <w:rPr>
                <w:rFonts w:hint="eastAsia" w:ascii="仿宋" w:hAnsi="仿宋" w:eastAsia="仿宋" w:cs="黑体"/>
                <w:sz w:val="24"/>
                <w:highlight w:val="none"/>
                <w:lang w:val="en-US" w:eastAsia="zh-CN"/>
              </w:rPr>
              <w:t>100%</w:t>
            </w:r>
          </w:p>
        </w:tc>
        <w:tc>
          <w:tcPr>
            <w:tcW w:w="156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工作按时完成率</w:t>
            </w:r>
            <w:r>
              <w:rPr>
                <w:rFonts w:hint="eastAsia" w:ascii="仿宋" w:hAnsi="仿宋" w:eastAsia="仿宋" w:cs="黑体"/>
                <w:sz w:val="24"/>
                <w:highlight w:val="none"/>
                <w:lang w:val="en-US" w:eastAsia="zh-CN"/>
              </w:rPr>
              <w:t>100%</w:t>
            </w:r>
          </w:p>
        </w:tc>
        <w:tc>
          <w:tcPr>
            <w:tcW w:w="1485"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rPr>
              <w:t>按总成本控制</w:t>
            </w:r>
            <w:r>
              <w:rPr>
                <w:rFonts w:hint="eastAsia" w:ascii="仿宋" w:hAnsi="仿宋" w:eastAsia="仿宋" w:cs="黑体"/>
                <w:sz w:val="24"/>
                <w:highlight w:val="none"/>
                <w:lang w:val="en-US" w:eastAsia="zh-CN"/>
              </w:rPr>
              <w:t>9200元</w:t>
            </w: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665" w:type="dxa"/>
          </w:tcPr>
          <w:p>
            <w:pPr>
              <w:snapToGrid w:val="0"/>
              <w:spacing w:line="360" w:lineRule="auto"/>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平均得分</w:t>
            </w:r>
          </w:p>
        </w:tc>
        <w:tc>
          <w:tcPr>
            <w:tcW w:w="1395" w:type="dxa"/>
          </w:tcPr>
          <w:p>
            <w:pPr>
              <w:snapToGrid w:val="0"/>
              <w:spacing w:line="360" w:lineRule="auto"/>
              <w:ind w:firstLine="240" w:firstLineChars="100"/>
              <w:rPr>
                <w:rFonts w:hint="eastAsia" w:ascii="仿宋" w:hAnsi="仿宋" w:eastAsia="仿宋" w:cs="黑体"/>
                <w:sz w:val="24"/>
                <w:highlight w:val="none"/>
              </w:rPr>
            </w:pPr>
          </w:p>
        </w:tc>
        <w:tc>
          <w:tcPr>
            <w:tcW w:w="1335" w:type="dxa"/>
          </w:tcPr>
          <w:p>
            <w:pPr>
              <w:snapToGrid w:val="0"/>
              <w:spacing w:line="360" w:lineRule="auto"/>
              <w:rPr>
                <w:rFonts w:hint="eastAsia" w:ascii="仿宋" w:hAnsi="仿宋" w:eastAsia="仿宋" w:cs="黑体"/>
                <w:sz w:val="24"/>
                <w:highlight w:val="none"/>
              </w:rPr>
            </w:pPr>
          </w:p>
        </w:tc>
        <w:tc>
          <w:tcPr>
            <w:tcW w:w="1560" w:type="dxa"/>
          </w:tcPr>
          <w:p>
            <w:pPr>
              <w:snapToGrid w:val="0"/>
              <w:spacing w:line="360" w:lineRule="auto"/>
              <w:rPr>
                <w:rFonts w:hint="eastAsia" w:ascii="仿宋" w:hAnsi="仿宋" w:eastAsia="仿宋" w:cs="黑体"/>
                <w:sz w:val="24"/>
                <w:highlight w:val="none"/>
              </w:rPr>
            </w:pPr>
          </w:p>
        </w:tc>
        <w:tc>
          <w:tcPr>
            <w:tcW w:w="1485" w:type="dxa"/>
          </w:tcPr>
          <w:p>
            <w:pPr>
              <w:snapToGrid w:val="0"/>
              <w:spacing w:line="360" w:lineRule="auto"/>
              <w:rPr>
                <w:rFonts w:hint="eastAsia" w:ascii="仿宋" w:hAnsi="仿宋" w:eastAsia="仿宋" w:cs="黑体"/>
                <w:sz w:val="24"/>
                <w:highlight w:val="none"/>
              </w:rPr>
            </w:pPr>
          </w:p>
        </w:tc>
        <w:tc>
          <w:tcPr>
            <w:tcW w:w="900"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99.05</w:t>
            </w:r>
          </w:p>
        </w:tc>
      </w:tr>
    </w:tbl>
    <w:p>
      <w:pPr>
        <w:widowControl w:val="0"/>
        <w:wordWrap/>
        <w:spacing w:line="560" w:lineRule="exact"/>
        <w:ind w:right="0"/>
        <w:textAlignment w:val="auto"/>
        <w:outlineLvl w:val="9"/>
        <w:rPr>
          <w:rFonts w:hint="eastAsia" w:ascii="仿宋" w:hAnsi="仿宋" w:eastAsia="仿宋"/>
          <w:sz w:val="32"/>
          <w:szCs w:val="32"/>
        </w:rPr>
      </w:pPr>
    </w:p>
    <w:p>
      <w:pPr>
        <w:widowControl w:val="0"/>
        <w:wordWrap/>
        <w:spacing w:line="560" w:lineRule="exact"/>
        <w:ind w:right="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平均得分</w:t>
      </w:r>
      <w:r>
        <w:rPr>
          <w:rFonts w:hint="eastAsia" w:ascii="仿宋" w:hAnsi="仿宋" w:eastAsia="仿宋"/>
          <w:sz w:val="32"/>
          <w:szCs w:val="32"/>
          <w:lang w:val="en-US" w:eastAsia="zh-CN"/>
        </w:rPr>
        <w:t>99.05分，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pPr>
        <w:widowControl w:val="0"/>
        <w:wordWrap/>
        <w:spacing w:line="560" w:lineRule="exact"/>
        <w:ind w:right="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right="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个别项目未能按照预算完成绩效目标任务，比如推进异地商会建设项目中对石家庄籍企业的支持力度还需要增强，对异地商会指导还不够经常，实地调研、考察次数较少，主要是受疫情影响，实地调研还不够。</w:t>
      </w:r>
    </w:p>
    <w:p>
      <w:pPr>
        <w:widowControl w:val="0"/>
        <w:numPr>
          <w:ilvl w:val="0"/>
          <w:numId w:val="0"/>
        </w:numPr>
        <w:wordWrap/>
        <w:spacing w:line="560" w:lineRule="exact"/>
        <w:ind w:right="0" w:rightChars="0"/>
        <w:textAlignment w:val="auto"/>
        <w:outlineLvl w:val="9"/>
        <w:rPr>
          <w:rFonts w:hint="eastAsia" w:ascii="仿宋" w:hAnsi="仿宋" w:eastAsia="仿宋"/>
          <w:b/>
          <w:bCs/>
          <w:sz w:val="32"/>
          <w:szCs w:val="32"/>
        </w:rPr>
      </w:pPr>
      <w:r>
        <w:rPr>
          <w:rFonts w:hint="eastAsia" w:ascii="仿宋" w:hAnsi="仿宋" w:eastAsia="仿宋"/>
          <w:b/>
          <w:bCs/>
          <w:sz w:val="32"/>
          <w:szCs w:val="32"/>
          <w:lang w:eastAsia="zh-CN"/>
        </w:rPr>
        <w:t>（二）</w:t>
      </w:r>
      <w:r>
        <w:rPr>
          <w:rFonts w:hint="eastAsia" w:ascii="仿宋" w:hAnsi="仿宋" w:eastAsia="仿宋"/>
          <w:b/>
          <w:bCs/>
          <w:sz w:val="32"/>
          <w:szCs w:val="32"/>
        </w:rPr>
        <w:t>针对问题提出具体的改进措施或建议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下一步市工商联在市委市政府的领导下，坚持以经济建设为中心，以促进民营经济健康发展和民营经济人士健康成长为己任，一是以重点工作为抓手，压实工作责任；二是跟进预算执行，不断提高预算执行效果；三是认真履职尽责，发挥好市工商联组织联系非公有制经济人士的桥梁纽带、政府管理和服务非公有制经济的助手。将不断丰富调研手段，持续提高服务异地商会的能力。提高资金使用率。</w:t>
      </w:r>
    </w:p>
    <w:p>
      <w:pPr>
        <w:widowControl w:val="0"/>
        <w:wordWrap/>
        <w:adjustRightInd w:val="0"/>
        <w:snapToGrid w:val="0"/>
        <w:spacing w:line="560" w:lineRule="exact"/>
        <w:ind w:right="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徐建斌：工商联 秘书长</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牛志林：工商联 办公室主任</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张素娟：工商联 财务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p>
    <w:p>
      <w:pPr>
        <w:widowControl w:val="0"/>
        <w:wordWrap/>
        <w:adjustRightInd w:val="0"/>
        <w:snapToGrid w:val="0"/>
        <w:spacing w:line="560" w:lineRule="exact"/>
        <w:ind w:left="0" w:leftChars="0" w:right="0" w:firstLine="640" w:firstLineChars="200"/>
        <w:jc w:val="right"/>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石家庄市工商业联合会</w:t>
      </w:r>
    </w:p>
    <w:p>
      <w:pPr>
        <w:widowControl w:val="0"/>
        <w:wordWrap/>
        <w:adjustRightInd w:val="0"/>
        <w:snapToGrid w:val="0"/>
        <w:spacing w:line="560" w:lineRule="exact"/>
        <w:ind w:left="0" w:leftChars="0" w:right="0" w:firstLine="640" w:firstLineChars="200"/>
        <w:jc w:val="right"/>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2022年3月20日</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7E6C1F"/>
    <w:rsid w:val="00AF566A"/>
    <w:rsid w:val="00B6553A"/>
    <w:rsid w:val="01B104CA"/>
    <w:rsid w:val="02106AB0"/>
    <w:rsid w:val="02B43A28"/>
    <w:rsid w:val="046F331E"/>
    <w:rsid w:val="059947A4"/>
    <w:rsid w:val="07956271"/>
    <w:rsid w:val="09721397"/>
    <w:rsid w:val="0BB63BED"/>
    <w:rsid w:val="0EB97A43"/>
    <w:rsid w:val="0EBD2122"/>
    <w:rsid w:val="0F214EAE"/>
    <w:rsid w:val="11B71E6A"/>
    <w:rsid w:val="1AAF0063"/>
    <w:rsid w:val="1BE140DE"/>
    <w:rsid w:val="1DEA7E9E"/>
    <w:rsid w:val="1F7158E0"/>
    <w:rsid w:val="248C197D"/>
    <w:rsid w:val="252959AF"/>
    <w:rsid w:val="277A6671"/>
    <w:rsid w:val="292D35B7"/>
    <w:rsid w:val="2FDD5ED3"/>
    <w:rsid w:val="33EB6CFF"/>
    <w:rsid w:val="35A12947"/>
    <w:rsid w:val="37387040"/>
    <w:rsid w:val="3B625C0A"/>
    <w:rsid w:val="3BCE9447"/>
    <w:rsid w:val="3CEE1963"/>
    <w:rsid w:val="3FFF8AC6"/>
    <w:rsid w:val="43FBC0D8"/>
    <w:rsid w:val="4AF7CB06"/>
    <w:rsid w:val="4C9C27FE"/>
    <w:rsid w:val="512260B4"/>
    <w:rsid w:val="52BD6ACB"/>
    <w:rsid w:val="55537534"/>
    <w:rsid w:val="561A74F1"/>
    <w:rsid w:val="597244E8"/>
    <w:rsid w:val="5AD7DCF3"/>
    <w:rsid w:val="5EB71C30"/>
    <w:rsid w:val="65E6D149"/>
    <w:rsid w:val="66AF0CE5"/>
    <w:rsid w:val="67EB6E99"/>
    <w:rsid w:val="68FCD059"/>
    <w:rsid w:val="697F7DDE"/>
    <w:rsid w:val="6AC537CF"/>
    <w:rsid w:val="6E5B14A6"/>
    <w:rsid w:val="6FF576F4"/>
    <w:rsid w:val="711B255E"/>
    <w:rsid w:val="77FF6E44"/>
    <w:rsid w:val="7A39F242"/>
    <w:rsid w:val="7BB51E06"/>
    <w:rsid w:val="7C387F7C"/>
    <w:rsid w:val="7E776742"/>
    <w:rsid w:val="7F6F1241"/>
    <w:rsid w:val="7F790E76"/>
    <w:rsid w:val="7FE83423"/>
    <w:rsid w:val="7FFF5EAD"/>
    <w:rsid w:val="7FFF9677"/>
    <w:rsid w:val="A9D7247A"/>
    <w:rsid w:val="B77B66E0"/>
    <w:rsid w:val="BB9A2535"/>
    <w:rsid w:val="BFE67D95"/>
    <w:rsid w:val="CFF5E65B"/>
    <w:rsid w:val="DFFF2442"/>
    <w:rsid w:val="E55A4DCB"/>
    <w:rsid w:val="EAB456B8"/>
    <w:rsid w:val="F1E3C195"/>
    <w:rsid w:val="F3D50636"/>
    <w:rsid w:val="F3E71552"/>
    <w:rsid w:val="F9AEE5CE"/>
    <w:rsid w:val="FBA9D063"/>
    <w:rsid w:val="FC9E1A70"/>
    <w:rsid w:val="FFCE37A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正文 New"/>
    <w:next w:val="2"/>
    <w:qFormat/>
    <w:uiPriority w:val="0"/>
    <w:pPr>
      <w:widowControl w:val="0"/>
      <w:spacing w:after="160" w:afterLines="0" w:line="480" w:lineRule="auto"/>
      <w:jc w:val="both"/>
    </w:pPr>
    <w:rPr>
      <w:rFonts w:ascii="Times New Roman" w:hAnsi="Times New Roman" w:eastAsia="宋体" w:cs="Times New Roman"/>
      <w:kern w:val="2"/>
      <w:sz w:val="21"/>
      <w:szCs w:val="24"/>
      <w:lang w:val="en-US" w:eastAsia="zh-CN"/>
    </w:rPr>
  </w:style>
  <w:style w:type="paragraph" w:customStyle="1" w:styleId="8">
    <w:name w:val="正文 New New New New New New New New New New New"/>
    <w:qFormat/>
    <w:uiPriority w:val="0"/>
    <w:pPr>
      <w:widowControl/>
    </w:pPr>
    <w:rPr>
      <w:rFonts w:ascii="Times New Roman" w:hAnsi="Times New Roman" w:eastAsia="Times New Roman" w:cs="Times New Roman"/>
      <w:color w:val="auto"/>
      <w:position w:val="0"/>
      <w:sz w:val="20"/>
      <w:u w:val="none"/>
      <w:shd w:val="clear" w:color="auto" w:fill="auto"/>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2917</Words>
  <Characters>3089</Characters>
  <Lines>7</Lines>
  <Paragraphs>2</Paragraphs>
  <TotalTime>3</TotalTime>
  <ScaleCrop>false</ScaleCrop>
  <LinksUpToDate>false</LinksUpToDate>
  <CharactersWithSpaces>3105</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2020-02-05T03:46:00Z</dcterms:created>
  <dc:creator>欣欣大人</dc:creator>
  <cp:lastModifiedBy>greatwall</cp:lastModifiedBy>
  <cp:lastPrinted>2022-01-20T07:24:00Z</cp:lastPrinted>
  <dcterms:modified xsi:type="dcterms:W3CDTF">2023-03-28T18:48:37Z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9D177BBC76D44B2C807F4CA6C3ABFB61</vt:lpwstr>
  </property>
</Properties>
</file>