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44"/>
          <w:szCs w:val="44"/>
          <w:lang w:val="en-US" w:eastAsia="zh-CN"/>
        </w:rPr>
      </w:pPr>
      <w:r>
        <w:rPr>
          <w:rFonts w:hint="eastAsia"/>
          <w:sz w:val="44"/>
          <w:szCs w:val="44"/>
          <w:lang w:val="en-US" w:eastAsia="zh-CN"/>
        </w:rPr>
        <w:t>石家庄市福利彩票发行中心</w:t>
      </w:r>
    </w:p>
    <w:p>
      <w:pPr>
        <w:jc w:val="center"/>
        <w:rPr>
          <w:rFonts w:hint="eastAsia"/>
          <w:sz w:val="44"/>
          <w:szCs w:val="44"/>
          <w:lang w:val="en-US" w:eastAsia="zh-CN"/>
        </w:rPr>
      </w:pPr>
      <w:r>
        <w:rPr>
          <w:rFonts w:hint="eastAsia"/>
          <w:sz w:val="44"/>
          <w:szCs w:val="44"/>
          <w:lang w:val="en-US" w:eastAsia="zh-CN"/>
        </w:rPr>
        <w:t>关于2021年整体支出绩效自评报告</w:t>
      </w:r>
    </w:p>
    <w:p>
      <w:pPr>
        <w:rPr>
          <w:rFonts w:hint="eastAsia"/>
          <w:lang w:val="en-US" w:eastAsia="zh-CN"/>
        </w:rPr>
      </w:pPr>
    </w:p>
    <w:p>
      <w:pPr>
        <w:rPr>
          <w:rFonts w:hint="default"/>
          <w:lang w:val="en-US" w:eastAsia="zh-CN"/>
        </w:rPr>
      </w:pPr>
    </w:p>
    <w:p>
      <w:pPr>
        <w:ind w:firstLine="42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贯彻落实市委市政府《关于全面落实预算绩效管理的实施意见》（石发【2019】8号）文件精神，遵循“科学性、规范性、客观性和公正性”的原则，对石家庄市福利彩票发行中心2021年整体支出情况实施了财政支出绩效自我评价，形成本报告。</w:t>
      </w:r>
    </w:p>
    <w:p>
      <w:pPr>
        <w:numPr>
          <w:ilvl w:val="0"/>
          <w:numId w:val="1"/>
        </w:numPr>
        <w:ind w:left="420" w:leftChars="0" w:firstLine="420" w:firstLineChars="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部门概况</w:t>
      </w:r>
    </w:p>
    <w:p>
      <w:pPr>
        <w:numPr>
          <w:ilvl w:val="0"/>
          <w:numId w:val="2"/>
        </w:numPr>
        <w:ind w:left="315" w:leftChars="0" w:firstLine="0" w:firstLineChars="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部门基本情况</w:t>
      </w:r>
    </w:p>
    <w:p>
      <w:pPr>
        <w:keepNext w:val="0"/>
        <w:keepLines w:val="0"/>
        <w:pageBreakBefore w:val="0"/>
        <w:widowControl w:val="0"/>
        <w:kinsoku/>
        <w:wordWrap/>
        <w:overflowPunct/>
        <w:topLinePunct w:val="0"/>
        <w:autoSpaceDE/>
        <w:autoSpaceDN/>
        <w:bidi w:val="0"/>
        <w:adjustRightInd/>
        <w:snapToGrid w:val="0"/>
        <w:spacing w:line="58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市福彩中心市福彩中心宗旨和业务范围：筹集社会福利基金，发展社会福利事业；组织全市有奖募捐活动，管理有奖募捐资金。</w:t>
      </w:r>
    </w:p>
    <w:p>
      <w:pPr>
        <w:keepNext w:val="0"/>
        <w:keepLines w:val="0"/>
        <w:pageBreakBefore w:val="0"/>
        <w:widowControl w:val="0"/>
        <w:kinsoku/>
        <w:wordWrap/>
        <w:overflowPunct/>
        <w:topLinePunct w:val="0"/>
        <w:autoSpaceDE/>
        <w:autoSpaceDN/>
        <w:bidi w:val="0"/>
        <w:adjustRightInd/>
        <w:snapToGrid w:val="0"/>
        <w:spacing w:line="580" w:lineRule="exact"/>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highlight w:val="none"/>
          <w:lang w:val="en-US" w:eastAsia="zh-CN"/>
        </w:rPr>
        <w:t>市</w:t>
      </w:r>
      <w:r>
        <w:rPr>
          <w:rFonts w:hint="eastAsia" w:ascii="仿宋" w:hAnsi="仿宋" w:eastAsia="仿宋" w:cs="仿宋"/>
          <w:sz w:val="28"/>
          <w:szCs w:val="28"/>
          <w:highlight w:val="none"/>
          <w:lang w:eastAsia="zh-CN"/>
        </w:rPr>
        <w:t>福彩中心</w:t>
      </w:r>
      <w:r>
        <w:rPr>
          <w:rFonts w:hint="eastAsia" w:ascii="仿宋" w:hAnsi="仿宋" w:eastAsia="仿宋" w:cs="仿宋"/>
          <w:sz w:val="28"/>
          <w:szCs w:val="28"/>
          <w:highlight w:val="none"/>
        </w:rPr>
        <w:t>编制</w:t>
      </w:r>
      <w:r>
        <w:rPr>
          <w:rFonts w:hint="eastAsia" w:ascii="仿宋" w:hAnsi="仿宋" w:eastAsia="仿宋" w:cs="仿宋"/>
          <w:sz w:val="28"/>
          <w:szCs w:val="28"/>
          <w:highlight w:val="none"/>
          <w:lang w:val="en-US" w:eastAsia="zh-CN"/>
        </w:rPr>
        <w:t>8</w:t>
      </w:r>
      <w:r>
        <w:rPr>
          <w:rFonts w:hint="eastAsia" w:ascii="仿宋" w:hAnsi="仿宋" w:eastAsia="仿宋" w:cs="仿宋"/>
          <w:sz w:val="28"/>
          <w:szCs w:val="28"/>
          <w:highlight w:val="none"/>
        </w:rPr>
        <w:t>人，现有在职人员</w:t>
      </w:r>
      <w:r>
        <w:rPr>
          <w:rFonts w:hint="eastAsia" w:ascii="仿宋" w:hAnsi="仿宋" w:eastAsia="仿宋" w:cs="仿宋"/>
          <w:sz w:val="28"/>
          <w:szCs w:val="28"/>
          <w:highlight w:val="none"/>
          <w:lang w:val="en-US" w:eastAsia="zh-CN"/>
        </w:rPr>
        <w:t>7</w:t>
      </w:r>
      <w:r>
        <w:rPr>
          <w:rFonts w:hint="eastAsia" w:ascii="仿宋" w:hAnsi="仿宋" w:eastAsia="仿宋" w:cs="仿宋"/>
          <w:sz w:val="28"/>
          <w:szCs w:val="28"/>
          <w:highlight w:val="none"/>
        </w:rPr>
        <w:t>人，退休人员</w:t>
      </w:r>
      <w:r>
        <w:rPr>
          <w:rFonts w:hint="eastAsia" w:ascii="仿宋" w:hAnsi="仿宋" w:eastAsia="仿宋" w:cs="仿宋"/>
          <w:sz w:val="28"/>
          <w:szCs w:val="28"/>
          <w:highlight w:val="none"/>
          <w:lang w:val="en-US" w:eastAsia="zh-CN"/>
        </w:rPr>
        <w:t>6</w:t>
      </w:r>
      <w:r>
        <w:rPr>
          <w:rFonts w:hint="eastAsia" w:ascii="仿宋" w:hAnsi="仿宋" w:eastAsia="仿宋" w:cs="仿宋"/>
          <w:sz w:val="28"/>
          <w:szCs w:val="28"/>
          <w:highlight w:val="none"/>
        </w:rPr>
        <w:t>人，劳务派遣人员</w:t>
      </w:r>
      <w:r>
        <w:rPr>
          <w:rFonts w:hint="eastAsia" w:ascii="仿宋" w:hAnsi="仿宋" w:eastAsia="仿宋" w:cs="仿宋"/>
          <w:sz w:val="28"/>
          <w:szCs w:val="28"/>
          <w:highlight w:val="none"/>
          <w:lang w:val="en-US" w:eastAsia="zh-CN"/>
        </w:rPr>
        <w:t>21</w:t>
      </w:r>
      <w:r>
        <w:rPr>
          <w:rFonts w:hint="eastAsia" w:ascii="仿宋" w:hAnsi="仿宋" w:eastAsia="仿宋" w:cs="仿宋"/>
          <w:sz w:val="28"/>
          <w:szCs w:val="28"/>
          <w:highlight w:val="none"/>
        </w:rPr>
        <w:t>人。</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lang w:val="en-US" w:eastAsia="zh-CN"/>
        </w:rPr>
        <w:t xml:space="preserve">  </w:t>
      </w:r>
    </w:p>
    <w:p>
      <w:pPr>
        <w:pStyle w:val="2"/>
        <w:numPr>
          <w:ilvl w:val="0"/>
          <w:numId w:val="2"/>
        </w:numPr>
        <w:ind w:left="315" w:leftChars="0" w:firstLine="0"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部门收支预决算情况</w:t>
      </w:r>
    </w:p>
    <w:p>
      <w:pPr>
        <w:spacing w:line="56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lang w:eastAsia="zh-CN"/>
        </w:rPr>
        <w:t>市</w:t>
      </w:r>
      <w:r>
        <w:rPr>
          <w:rFonts w:hint="eastAsia" w:ascii="仿宋" w:hAnsi="仿宋" w:eastAsia="仿宋" w:cs="仿宋"/>
          <w:sz w:val="28"/>
          <w:szCs w:val="28"/>
          <w:highlight w:val="none"/>
          <w:lang w:val="en-US" w:eastAsia="zh-CN"/>
        </w:rPr>
        <w:t>福利彩票发行中心</w:t>
      </w:r>
      <w:r>
        <w:rPr>
          <w:rFonts w:hint="eastAsia" w:ascii="仿宋" w:hAnsi="仿宋" w:eastAsia="仿宋" w:cs="仿宋"/>
          <w:sz w:val="28"/>
          <w:szCs w:val="28"/>
          <w:highlight w:val="none"/>
        </w:rPr>
        <w:t>预算执行情况。年初收入预算</w:t>
      </w:r>
      <w:r>
        <w:rPr>
          <w:rFonts w:hint="eastAsia" w:ascii="仿宋" w:hAnsi="仿宋" w:eastAsia="仿宋" w:cs="仿宋"/>
          <w:sz w:val="28"/>
          <w:szCs w:val="28"/>
          <w:highlight w:val="none"/>
          <w:lang w:val="en-US" w:eastAsia="zh-CN"/>
        </w:rPr>
        <w:t>1651.52</w:t>
      </w:r>
      <w:r>
        <w:rPr>
          <w:rFonts w:hint="eastAsia" w:ascii="仿宋" w:hAnsi="仿宋" w:eastAsia="仿宋" w:cs="仿宋"/>
          <w:sz w:val="28"/>
          <w:szCs w:val="28"/>
          <w:highlight w:val="none"/>
        </w:rPr>
        <w:t>万元，其中：一般公共预算拨款收入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w:t>
      </w:r>
      <w:r>
        <w:rPr>
          <w:rFonts w:hint="eastAsia" w:ascii="仿宋" w:hAnsi="仿宋" w:eastAsia="仿宋" w:cs="仿宋"/>
          <w:sz w:val="28"/>
          <w:szCs w:val="28"/>
          <w:highlight w:val="none"/>
          <w:lang w:val="en-US" w:eastAsia="zh-CN"/>
        </w:rPr>
        <w:t>政府性基金预算拨款收入1651.52万元、</w:t>
      </w:r>
      <w:r>
        <w:rPr>
          <w:rFonts w:hint="eastAsia" w:ascii="仿宋" w:hAnsi="仿宋" w:eastAsia="仿宋" w:cs="仿宋"/>
          <w:sz w:val="28"/>
          <w:szCs w:val="28"/>
          <w:highlight w:val="none"/>
        </w:rPr>
        <w:t>事业收入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万元、上级补助收入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万元、其他收入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万元；年终收入预算调整为</w:t>
      </w:r>
      <w:r>
        <w:rPr>
          <w:rFonts w:hint="eastAsia" w:ascii="仿宋" w:hAnsi="仿宋" w:eastAsia="仿宋" w:cs="仿宋"/>
          <w:sz w:val="28"/>
          <w:szCs w:val="28"/>
          <w:highlight w:val="none"/>
          <w:lang w:val="en-US" w:eastAsia="zh-CN"/>
        </w:rPr>
        <w:t>1651.52</w:t>
      </w:r>
      <w:r>
        <w:rPr>
          <w:rFonts w:hint="eastAsia" w:ascii="仿宋" w:hAnsi="仿宋" w:eastAsia="仿宋" w:cs="仿宋"/>
          <w:sz w:val="28"/>
          <w:szCs w:val="28"/>
          <w:highlight w:val="none"/>
        </w:rPr>
        <w:t>万元，其中：一般公共预算拨款收入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w:t>
      </w:r>
      <w:r>
        <w:rPr>
          <w:rFonts w:hint="eastAsia" w:ascii="仿宋" w:hAnsi="仿宋" w:eastAsia="仿宋" w:cs="仿宋"/>
          <w:sz w:val="28"/>
          <w:szCs w:val="28"/>
          <w:highlight w:val="none"/>
          <w:lang w:val="en-US" w:eastAsia="zh-CN"/>
        </w:rPr>
        <w:t>政府性基金预算拨款收入1651.52万元、</w:t>
      </w:r>
      <w:r>
        <w:rPr>
          <w:rFonts w:hint="eastAsia" w:ascii="仿宋" w:hAnsi="仿宋" w:eastAsia="仿宋" w:cs="仿宋"/>
          <w:sz w:val="28"/>
          <w:szCs w:val="28"/>
          <w:highlight w:val="none"/>
        </w:rPr>
        <w:t>事业收入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万元、其他收入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万元。年初支出预算</w:t>
      </w:r>
      <w:r>
        <w:rPr>
          <w:rFonts w:hint="eastAsia" w:ascii="仿宋" w:hAnsi="仿宋" w:eastAsia="仿宋" w:cs="仿宋"/>
          <w:sz w:val="28"/>
          <w:szCs w:val="28"/>
          <w:highlight w:val="none"/>
          <w:lang w:val="en-US" w:eastAsia="zh-CN"/>
        </w:rPr>
        <w:t>1651.52</w:t>
      </w:r>
      <w:r>
        <w:rPr>
          <w:rFonts w:hint="eastAsia" w:ascii="仿宋" w:hAnsi="仿宋" w:eastAsia="仿宋" w:cs="仿宋"/>
          <w:sz w:val="28"/>
          <w:szCs w:val="28"/>
          <w:highlight w:val="none"/>
        </w:rPr>
        <w:t>万元，其中：基本支出</w:t>
      </w:r>
      <w:r>
        <w:rPr>
          <w:rFonts w:hint="eastAsia" w:ascii="仿宋" w:hAnsi="仿宋" w:eastAsia="仿宋" w:cs="仿宋"/>
          <w:sz w:val="28"/>
          <w:szCs w:val="28"/>
          <w:highlight w:val="none"/>
          <w:lang w:val="en-US" w:eastAsia="zh-CN"/>
        </w:rPr>
        <w:t>237.57</w:t>
      </w:r>
      <w:r>
        <w:rPr>
          <w:rFonts w:hint="eastAsia" w:ascii="仿宋" w:hAnsi="仿宋" w:eastAsia="仿宋" w:cs="仿宋"/>
          <w:sz w:val="28"/>
          <w:szCs w:val="28"/>
          <w:highlight w:val="none"/>
        </w:rPr>
        <w:t>万元、项目支出</w:t>
      </w:r>
      <w:r>
        <w:rPr>
          <w:rFonts w:hint="eastAsia" w:ascii="仿宋" w:hAnsi="仿宋" w:eastAsia="仿宋" w:cs="仿宋"/>
          <w:sz w:val="28"/>
          <w:szCs w:val="28"/>
          <w:highlight w:val="none"/>
          <w:lang w:val="en-US" w:eastAsia="zh-CN"/>
        </w:rPr>
        <w:t>1413.95</w:t>
      </w:r>
      <w:r>
        <w:rPr>
          <w:rFonts w:hint="eastAsia" w:ascii="仿宋" w:hAnsi="仿宋" w:eastAsia="仿宋" w:cs="仿宋"/>
          <w:sz w:val="28"/>
          <w:szCs w:val="28"/>
          <w:highlight w:val="none"/>
        </w:rPr>
        <w:t>万元；年终支出预算调整为</w:t>
      </w:r>
      <w:r>
        <w:rPr>
          <w:rFonts w:hint="eastAsia" w:ascii="仿宋" w:hAnsi="仿宋" w:eastAsia="仿宋" w:cs="仿宋"/>
          <w:sz w:val="28"/>
          <w:szCs w:val="28"/>
          <w:highlight w:val="none"/>
          <w:lang w:val="en-US" w:eastAsia="zh-CN"/>
        </w:rPr>
        <w:t>1651.52</w:t>
      </w:r>
      <w:r>
        <w:rPr>
          <w:rFonts w:hint="eastAsia" w:ascii="仿宋" w:hAnsi="仿宋" w:eastAsia="仿宋" w:cs="仿宋"/>
          <w:sz w:val="28"/>
          <w:szCs w:val="28"/>
          <w:highlight w:val="none"/>
        </w:rPr>
        <w:t>万元，其中：基本支出</w:t>
      </w:r>
      <w:r>
        <w:rPr>
          <w:rFonts w:hint="eastAsia" w:ascii="仿宋" w:hAnsi="仿宋" w:eastAsia="仿宋" w:cs="仿宋"/>
          <w:sz w:val="28"/>
          <w:szCs w:val="28"/>
          <w:highlight w:val="none"/>
          <w:lang w:val="en-US" w:eastAsia="zh-CN"/>
        </w:rPr>
        <w:t>237.57</w:t>
      </w:r>
      <w:r>
        <w:rPr>
          <w:rFonts w:hint="eastAsia" w:ascii="仿宋" w:hAnsi="仿宋" w:eastAsia="仿宋" w:cs="仿宋"/>
          <w:sz w:val="28"/>
          <w:szCs w:val="28"/>
          <w:highlight w:val="none"/>
        </w:rPr>
        <w:t>万元、项目支出</w:t>
      </w:r>
      <w:r>
        <w:rPr>
          <w:rFonts w:hint="eastAsia" w:ascii="仿宋" w:hAnsi="仿宋" w:eastAsia="仿宋" w:cs="仿宋"/>
          <w:sz w:val="28"/>
          <w:szCs w:val="28"/>
          <w:highlight w:val="none"/>
          <w:lang w:val="en-US" w:eastAsia="zh-CN"/>
        </w:rPr>
        <w:t>1413.95</w:t>
      </w:r>
      <w:r>
        <w:rPr>
          <w:rFonts w:hint="eastAsia" w:ascii="仿宋" w:hAnsi="仿宋" w:eastAsia="仿宋" w:cs="仿宋"/>
          <w:sz w:val="28"/>
          <w:szCs w:val="28"/>
          <w:highlight w:val="none"/>
        </w:rPr>
        <w:t>万元。</w:t>
      </w:r>
    </w:p>
    <w:p>
      <w:pPr>
        <w:spacing w:line="56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eastAsia="zh-CN"/>
        </w:rPr>
        <w:t>市</w:t>
      </w:r>
      <w:r>
        <w:rPr>
          <w:rFonts w:hint="eastAsia" w:ascii="仿宋" w:hAnsi="仿宋" w:eastAsia="仿宋" w:cs="仿宋"/>
          <w:sz w:val="28"/>
          <w:szCs w:val="28"/>
          <w:highlight w:val="none"/>
          <w:lang w:val="en-US" w:eastAsia="zh-CN"/>
        </w:rPr>
        <w:t>福利彩票发行中心</w:t>
      </w:r>
      <w:r>
        <w:rPr>
          <w:rFonts w:hint="eastAsia" w:ascii="仿宋" w:hAnsi="仿宋" w:eastAsia="仿宋" w:cs="仿宋"/>
          <w:sz w:val="28"/>
          <w:szCs w:val="28"/>
          <w:highlight w:val="none"/>
        </w:rPr>
        <w:t>决算草案情况。年末收入总计</w:t>
      </w:r>
      <w:r>
        <w:rPr>
          <w:rFonts w:hint="eastAsia" w:ascii="仿宋" w:hAnsi="仿宋" w:eastAsia="仿宋" w:cs="仿宋"/>
          <w:sz w:val="28"/>
          <w:szCs w:val="28"/>
          <w:highlight w:val="none"/>
          <w:lang w:val="en-US" w:eastAsia="zh-CN"/>
        </w:rPr>
        <w:t>1150.69</w:t>
      </w:r>
      <w:r>
        <w:rPr>
          <w:rFonts w:hint="eastAsia" w:ascii="仿宋" w:hAnsi="仿宋" w:eastAsia="仿宋" w:cs="仿宋"/>
          <w:sz w:val="28"/>
          <w:szCs w:val="28"/>
          <w:highlight w:val="none"/>
        </w:rPr>
        <w:t>万元，其中：年初结转和结余</w:t>
      </w:r>
      <w:r>
        <w:rPr>
          <w:rFonts w:hint="eastAsia" w:ascii="仿宋" w:hAnsi="仿宋" w:eastAsia="仿宋" w:cs="仿宋"/>
          <w:sz w:val="28"/>
          <w:szCs w:val="28"/>
          <w:highlight w:val="none"/>
          <w:lang w:val="en-US" w:eastAsia="zh-CN"/>
        </w:rPr>
        <w:t>185.98</w:t>
      </w:r>
      <w:r>
        <w:rPr>
          <w:rFonts w:hint="eastAsia" w:ascii="仿宋" w:hAnsi="仿宋" w:eastAsia="仿宋" w:cs="仿宋"/>
          <w:sz w:val="28"/>
          <w:szCs w:val="28"/>
          <w:highlight w:val="none"/>
        </w:rPr>
        <w:t>万元，本年收入</w:t>
      </w:r>
      <w:r>
        <w:rPr>
          <w:rFonts w:hint="eastAsia" w:ascii="仿宋" w:hAnsi="仿宋" w:eastAsia="仿宋" w:cs="仿宋"/>
          <w:sz w:val="28"/>
          <w:szCs w:val="28"/>
          <w:highlight w:val="none"/>
          <w:lang w:val="en-US" w:eastAsia="zh-CN"/>
        </w:rPr>
        <w:t>964.71</w:t>
      </w:r>
      <w:r>
        <w:rPr>
          <w:rFonts w:hint="eastAsia" w:ascii="仿宋" w:hAnsi="仿宋" w:eastAsia="仿宋" w:cs="仿宋"/>
          <w:sz w:val="28"/>
          <w:szCs w:val="28"/>
          <w:highlight w:val="none"/>
        </w:rPr>
        <w:t>万元，使用非财政拨款结余</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万元；年末支出总计</w:t>
      </w:r>
      <w:r>
        <w:rPr>
          <w:rFonts w:hint="eastAsia" w:ascii="仿宋" w:hAnsi="仿宋" w:eastAsia="仿宋" w:cs="仿宋"/>
          <w:sz w:val="28"/>
          <w:szCs w:val="28"/>
          <w:highlight w:val="none"/>
          <w:lang w:val="en-US" w:eastAsia="zh-CN"/>
        </w:rPr>
        <w:t>1115.70</w:t>
      </w:r>
      <w:r>
        <w:rPr>
          <w:rFonts w:hint="eastAsia" w:ascii="仿宋" w:hAnsi="仿宋" w:eastAsia="仿宋" w:cs="仿宋"/>
          <w:sz w:val="28"/>
          <w:szCs w:val="28"/>
          <w:highlight w:val="none"/>
        </w:rPr>
        <w:t>万元，其中：本年支出</w:t>
      </w:r>
      <w:r>
        <w:rPr>
          <w:rFonts w:hint="eastAsia" w:ascii="仿宋" w:hAnsi="仿宋" w:eastAsia="仿宋" w:cs="仿宋"/>
          <w:sz w:val="28"/>
          <w:szCs w:val="28"/>
          <w:highlight w:val="none"/>
          <w:lang w:val="en-US" w:eastAsia="zh-CN"/>
        </w:rPr>
        <w:t>964.55</w:t>
      </w:r>
      <w:r>
        <w:rPr>
          <w:rFonts w:hint="eastAsia" w:ascii="仿宋" w:hAnsi="仿宋" w:eastAsia="仿宋" w:cs="仿宋"/>
          <w:sz w:val="28"/>
          <w:szCs w:val="28"/>
          <w:highlight w:val="none"/>
        </w:rPr>
        <w:t>万元，年末结转和结余</w:t>
      </w:r>
      <w:r>
        <w:rPr>
          <w:rFonts w:hint="eastAsia" w:ascii="仿宋" w:hAnsi="仿宋" w:eastAsia="仿宋" w:cs="仿宋"/>
          <w:sz w:val="28"/>
          <w:szCs w:val="28"/>
          <w:highlight w:val="none"/>
          <w:lang w:val="en-US" w:eastAsia="zh-CN"/>
        </w:rPr>
        <w:t>34.99</w:t>
      </w:r>
      <w:r>
        <w:rPr>
          <w:rFonts w:hint="eastAsia" w:ascii="仿宋" w:hAnsi="仿宋" w:eastAsia="仿宋" w:cs="仿宋"/>
          <w:sz w:val="28"/>
          <w:szCs w:val="28"/>
          <w:highlight w:val="none"/>
        </w:rPr>
        <w:t>万元。</w:t>
      </w:r>
    </w:p>
    <w:p>
      <w:pPr>
        <w:pStyle w:val="2"/>
        <w:numPr>
          <w:ilvl w:val="0"/>
          <w:numId w:val="1"/>
        </w:numPr>
        <w:ind w:left="420" w:leftChars="0" w:firstLine="420"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自评工作开展情况</w:t>
      </w:r>
    </w:p>
    <w:p>
      <w:pPr>
        <w:pStyle w:val="2"/>
        <w:numPr>
          <w:ilvl w:val="0"/>
          <w:numId w:val="0"/>
        </w:numPr>
        <w:ind w:firstLine="828" w:firstLineChars="300"/>
        <w:rPr>
          <w:rFonts w:hint="eastAsia" w:ascii="仿宋" w:hAnsi="仿宋" w:eastAsia="仿宋" w:cs="仿宋"/>
          <w:sz w:val="28"/>
          <w:szCs w:val="28"/>
        </w:rPr>
      </w:pPr>
      <w:r>
        <w:rPr>
          <w:rFonts w:hint="eastAsia" w:ascii="仿宋" w:hAnsi="仿宋" w:eastAsia="仿宋" w:cs="仿宋"/>
          <w:spacing w:val="5"/>
          <w:w w:val="95"/>
          <w:sz w:val="28"/>
          <w:szCs w:val="28"/>
        </w:rPr>
        <w:t>我中心成立项目自评工作小组，按照自评的相关规定进行了</w:t>
      </w:r>
      <w:r>
        <w:rPr>
          <w:rFonts w:hint="eastAsia" w:ascii="仿宋" w:hAnsi="仿宋" w:eastAsia="仿宋" w:cs="仿宋"/>
          <w:sz w:val="28"/>
          <w:szCs w:val="28"/>
        </w:rPr>
        <w:t>实施。在编制</w:t>
      </w:r>
      <w:r>
        <w:rPr>
          <w:rFonts w:hint="eastAsia" w:ascii="仿宋" w:hAnsi="仿宋" w:eastAsia="仿宋" w:cs="仿宋"/>
          <w:spacing w:val="-86"/>
          <w:sz w:val="28"/>
          <w:szCs w:val="28"/>
        </w:rPr>
        <w:t xml:space="preserve"> </w:t>
      </w:r>
      <w:r>
        <w:rPr>
          <w:rFonts w:hint="eastAsia" w:ascii="仿宋" w:hAnsi="仿宋" w:eastAsia="仿宋" w:cs="仿宋"/>
          <w:sz w:val="28"/>
          <w:szCs w:val="28"/>
        </w:rPr>
        <w:t>20</w:t>
      </w:r>
      <w:r>
        <w:rPr>
          <w:rFonts w:hint="eastAsia" w:ascii="仿宋" w:hAnsi="仿宋" w:eastAsia="仿宋" w:cs="仿宋"/>
          <w:sz w:val="28"/>
          <w:szCs w:val="28"/>
          <w:lang w:val="en-US" w:eastAsia="zh-CN"/>
        </w:rPr>
        <w:t>21</w:t>
      </w:r>
      <w:r>
        <w:rPr>
          <w:rFonts w:hint="eastAsia" w:ascii="仿宋" w:hAnsi="仿宋" w:eastAsia="仿宋" w:cs="仿宋"/>
          <w:spacing w:val="-85"/>
          <w:sz w:val="28"/>
          <w:szCs w:val="28"/>
        </w:rPr>
        <w:t xml:space="preserve"> </w:t>
      </w:r>
      <w:r>
        <w:rPr>
          <w:rFonts w:hint="eastAsia" w:ascii="仿宋" w:hAnsi="仿宋" w:eastAsia="仿宋" w:cs="仿宋"/>
          <w:sz w:val="28"/>
          <w:szCs w:val="28"/>
        </w:rPr>
        <w:t>年部门预算对绩效目标等相关内容进行了认真、</w:t>
      </w:r>
      <w:r>
        <w:rPr>
          <w:rFonts w:hint="eastAsia" w:ascii="仿宋" w:hAnsi="仿宋" w:eastAsia="仿宋" w:cs="仿宋"/>
          <w:w w:val="99"/>
          <w:sz w:val="28"/>
          <w:szCs w:val="28"/>
        </w:rPr>
        <w:t xml:space="preserve"> </w:t>
      </w:r>
      <w:r>
        <w:rPr>
          <w:rFonts w:hint="eastAsia" w:ascii="仿宋" w:hAnsi="仿宋" w:eastAsia="仿宋" w:cs="仿宋"/>
          <w:sz w:val="28"/>
          <w:szCs w:val="28"/>
        </w:rPr>
        <w:t>全面的编报，并严格按规定执行预算。</w:t>
      </w:r>
    </w:p>
    <w:p>
      <w:pPr>
        <w:pStyle w:val="5"/>
        <w:bidi w:val="0"/>
        <w:spacing w:before="49" w:beforeAutospacing="0" w:after="0" w:afterAutospacing="0" w:line="355" w:lineRule="auto"/>
        <w:ind w:left="111" w:right="161" w:firstLine="640"/>
        <w:jc w:val="left"/>
        <w:rPr>
          <w:rFonts w:hint="eastAsia" w:ascii="仿宋" w:hAnsi="仿宋" w:eastAsia="仿宋" w:cs="仿宋"/>
          <w:sz w:val="28"/>
          <w:szCs w:val="28"/>
        </w:rPr>
      </w:pPr>
      <w:r>
        <w:rPr>
          <w:rFonts w:hint="eastAsia" w:ascii="仿宋" w:hAnsi="仿宋" w:eastAsia="仿宋" w:cs="仿宋"/>
          <w:spacing w:val="5"/>
          <w:w w:val="95"/>
          <w:sz w:val="28"/>
          <w:szCs w:val="28"/>
        </w:rPr>
        <w:t>我中心制定了严格的财务制度，日常管理管理中严格按程序</w:t>
      </w:r>
      <w:r>
        <w:rPr>
          <w:rFonts w:hint="eastAsia" w:ascii="仿宋" w:hAnsi="仿宋" w:eastAsia="仿宋" w:cs="仿宋"/>
          <w:w w:val="99"/>
          <w:sz w:val="28"/>
          <w:szCs w:val="28"/>
        </w:rPr>
        <w:t xml:space="preserve"> </w:t>
      </w:r>
      <w:r>
        <w:rPr>
          <w:rFonts w:hint="eastAsia" w:ascii="仿宋" w:hAnsi="仿宋" w:eastAsia="仿宋" w:cs="仿宋"/>
          <w:sz w:val="28"/>
          <w:szCs w:val="28"/>
        </w:rPr>
        <w:t>和流程执行。</w:t>
      </w:r>
    </w:p>
    <w:p>
      <w:pPr>
        <w:pStyle w:val="5"/>
        <w:numPr>
          <w:ilvl w:val="0"/>
          <w:numId w:val="1"/>
        </w:numPr>
        <w:bidi w:val="0"/>
        <w:spacing w:before="49" w:beforeAutospacing="0" w:after="0" w:afterAutospacing="0" w:line="355" w:lineRule="auto"/>
        <w:ind w:left="420" w:leftChars="0" w:right="161" w:firstLine="420" w:firstLine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部门整体支出绩效目标实现情况及指标分析</w:t>
      </w:r>
    </w:p>
    <w:p>
      <w:pPr>
        <w:pStyle w:val="5"/>
        <w:numPr>
          <w:ilvl w:val="0"/>
          <w:numId w:val="3"/>
        </w:numPr>
        <w:bidi w:val="0"/>
        <w:spacing w:before="49" w:beforeAutospacing="0" w:after="0" w:afterAutospacing="0" w:line="355" w:lineRule="auto"/>
        <w:ind w:left="840" w:leftChars="0" w:right="161" w:right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、总体绩效目标实现情况</w:t>
      </w:r>
    </w:p>
    <w:p>
      <w:pPr>
        <w:pStyle w:val="5"/>
        <w:bidi w:val="0"/>
        <w:spacing w:before="49" w:beforeAutospacing="0" w:after="0" w:afterAutospacing="0" w:line="355" w:lineRule="auto"/>
        <w:ind w:left="111" w:right="161" w:firstLine="640"/>
        <w:jc w:val="left"/>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t xml:space="preserve"> </w:t>
      </w:r>
      <w:r>
        <w:rPr>
          <w:rFonts w:hint="eastAsia" w:ascii="仿宋" w:hAnsi="仿宋" w:eastAsia="仿宋" w:cs="仿宋"/>
          <w:color w:val="auto"/>
          <w:sz w:val="28"/>
          <w:szCs w:val="28"/>
          <w:lang w:val="en-US" w:eastAsia="zh-CN"/>
        </w:rPr>
        <w:t>2021年，我市福利彩票共销售6.63亿元</w:t>
      </w:r>
      <w:r>
        <w:rPr>
          <w:rFonts w:hint="eastAsia" w:ascii="仿宋" w:hAnsi="仿宋" w:eastAsia="仿宋" w:cs="仿宋"/>
          <w:color w:val="auto"/>
          <w:sz w:val="28"/>
          <w:szCs w:val="28"/>
        </w:rPr>
        <w:t>（含平山、辛集）</w:t>
      </w:r>
      <w:r>
        <w:rPr>
          <w:rFonts w:hint="eastAsia" w:ascii="仿宋" w:hAnsi="仿宋" w:eastAsia="仿宋" w:cs="仿宋"/>
          <w:color w:val="auto"/>
          <w:sz w:val="28"/>
          <w:szCs w:val="28"/>
          <w:lang w:val="en-US" w:eastAsia="zh-CN"/>
        </w:rPr>
        <w:t>，超额完成省中心下达的全年5.6亿任务目标；</w:t>
      </w:r>
      <w:r>
        <w:rPr>
          <w:rFonts w:hint="eastAsia" w:ascii="仿宋" w:hAnsi="仿宋" w:eastAsia="仿宋" w:cs="仿宋"/>
          <w:color w:val="auto"/>
          <w:sz w:val="28"/>
          <w:szCs w:val="28"/>
        </w:rPr>
        <w:t>即开票</w:t>
      </w:r>
      <w:r>
        <w:rPr>
          <w:rFonts w:hint="eastAsia" w:ascii="仿宋" w:hAnsi="仿宋" w:eastAsia="仿宋" w:cs="仿宋"/>
          <w:color w:val="auto"/>
          <w:sz w:val="28"/>
          <w:szCs w:val="28"/>
          <w:lang w:val="en-US" w:eastAsia="zh-CN"/>
        </w:rPr>
        <w:t>销售</w:t>
      </w:r>
      <w:r>
        <w:rPr>
          <w:rFonts w:hint="eastAsia" w:ascii="仿宋" w:hAnsi="仿宋" w:eastAsia="仿宋" w:cs="仿宋"/>
          <w:color w:val="auto"/>
          <w:sz w:val="28"/>
          <w:szCs w:val="28"/>
        </w:rPr>
        <w:t>保持强劲发展势头，全年即开票共销售10066万元（含平山、辛集），</w:t>
      </w:r>
      <w:r>
        <w:rPr>
          <w:rFonts w:hint="eastAsia" w:ascii="仿宋" w:hAnsi="仿宋" w:eastAsia="仿宋" w:cs="仿宋"/>
          <w:color w:val="auto"/>
          <w:sz w:val="28"/>
          <w:szCs w:val="28"/>
          <w:lang w:val="en-US" w:eastAsia="zh-CN"/>
        </w:rPr>
        <w:t>正式跨入即开票销售破亿元城市行列，</w:t>
      </w:r>
      <w:r>
        <w:rPr>
          <w:rFonts w:hint="eastAsia" w:ascii="仿宋" w:hAnsi="仿宋" w:eastAsia="仿宋" w:cs="仿宋"/>
          <w:color w:val="auto"/>
          <w:sz w:val="28"/>
          <w:szCs w:val="28"/>
        </w:rPr>
        <w:t>与2020年同期相比增长65.3%</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超额完成省中心下达的即开票同比上年增长50%的任务目标。完成 了销售站点的培训、加强了销售厅的管理、服务，确保我市2021年福彩事业安全运行、健康发展，全年销量全省第一。</w:t>
      </w:r>
    </w:p>
    <w:p>
      <w:pPr>
        <w:pStyle w:val="5"/>
        <w:numPr>
          <w:ilvl w:val="0"/>
          <w:numId w:val="0"/>
        </w:numPr>
        <w:bidi w:val="0"/>
        <w:spacing w:before="49" w:beforeAutospacing="0" w:after="0" w:afterAutospacing="0" w:line="355" w:lineRule="auto"/>
        <w:ind w:right="161"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(二）、分项绩效目标实现情况及指标分析</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通过对全市1200个福彩销售站点的检查、督导，提高了服务质量增强了福利彩票的品牌形象；通过媒体、室内、户外等多种形式的广告宣传，提高了销量；通过对销售厅的规范管理，使销售厅运营安全稳定、实现可持续增长。</w:t>
      </w:r>
    </w:p>
    <w:p>
      <w:pPr>
        <w:pStyle w:val="5"/>
        <w:bidi w:val="0"/>
        <w:spacing w:before="205" w:beforeAutospacing="0" w:after="0" w:afterAutospacing="0" w:line="352" w:lineRule="auto"/>
        <w:ind w:left="751"/>
        <w:jc w:val="left"/>
        <w:rPr>
          <w:rFonts w:hint="eastAsia" w:ascii="仿宋" w:hAnsi="仿宋" w:eastAsia="仿宋" w:cs="仿宋"/>
          <w:w w:val="99"/>
          <w:sz w:val="28"/>
          <w:szCs w:val="28"/>
        </w:rPr>
      </w:pPr>
      <w:r>
        <w:rPr>
          <w:rFonts w:hint="eastAsia" w:ascii="仿宋" w:hAnsi="仿宋" w:eastAsia="仿宋" w:cs="仿宋"/>
          <w:sz w:val="28"/>
          <w:szCs w:val="28"/>
          <w:lang w:val="en-US" w:eastAsia="zh-CN"/>
        </w:rPr>
        <w:t>1、广告宣传培训费</w:t>
      </w:r>
      <w:r>
        <w:rPr>
          <w:rFonts w:hint="eastAsia" w:ascii="仿宋" w:hAnsi="仿宋" w:eastAsia="仿宋" w:cs="仿宋"/>
          <w:w w:val="99"/>
          <w:sz w:val="28"/>
          <w:szCs w:val="28"/>
        </w:rPr>
        <w:t xml:space="preserve"> </w:t>
      </w:r>
    </w:p>
    <w:p>
      <w:pPr>
        <w:pStyle w:val="5"/>
        <w:keepNext w:val="0"/>
        <w:keepLines w:val="0"/>
        <w:pageBreakBefore w:val="0"/>
        <w:widowControl w:val="0"/>
        <w:kinsoku/>
        <w:overflowPunct/>
        <w:bidi w:val="0"/>
        <w:snapToGrid/>
        <w:spacing w:before="205" w:beforeAutospacing="0" w:after="0" w:afterAutospacing="0" w:line="357" w:lineRule="auto"/>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rPr>
        <w:t>该项目年初预算安排资金</w:t>
      </w:r>
      <w:r>
        <w:rPr>
          <w:rFonts w:hint="eastAsia" w:ascii="仿宋" w:hAnsi="仿宋" w:eastAsia="仿宋" w:cs="仿宋"/>
          <w:spacing w:val="-84"/>
          <w:sz w:val="28"/>
          <w:szCs w:val="28"/>
        </w:rPr>
        <w:t xml:space="preserve"> </w:t>
      </w:r>
      <w:r>
        <w:rPr>
          <w:rFonts w:hint="eastAsia" w:ascii="仿宋" w:hAnsi="仿宋" w:eastAsia="仿宋" w:cs="仿宋"/>
          <w:sz w:val="28"/>
          <w:szCs w:val="28"/>
          <w:lang w:val="en-US" w:eastAsia="zh-CN"/>
        </w:rPr>
        <w:t>700</w:t>
      </w:r>
      <w:r>
        <w:rPr>
          <w:rFonts w:hint="eastAsia" w:ascii="仿宋" w:hAnsi="仿宋" w:eastAsia="仿宋" w:cs="仿宋"/>
          <w:spacing w:val="-5"/>
          <w:sz w:val="28"/>
          <w:szCs w:val="28"/>
        </w:rPr>
        <w:t>万元，执行</w:t>
      </w:r>
      <w:r>
        <w:rPr>
          <w:rFonts w:hint="eastAsia" w:ascii="仿宋" w:hAnsi="仿宋" w:eastAsia="仿宋" w:cs="仿宋"/>
          <w:spacing w:val="-5"/>
          <w:sz w:val="28"/>
          <w:szCs w:val="28"/>
          <w:lang w:val="en-US" w:eastAsia="zh-CN"/>
        </w:rPr>
        <w:t>490.00</w:t>
      </w:r>
      <w:r>
        <w:rPr>
          <w:rFonts w:hint="eastAsia" w:ascii="仿宋" w:hAnsi="仿宋" w:eastAsia="仿宋" w:cs="仿宋"/>
          <w:spacing w:val="-6"/>
          <w:sz w:val="28"/>
          <w:szCs w:val="28"/>
        </w:rPr>
        <w:t>万元，执</w:t>
      </w:r>
      <w:r>
        <w:rPr>
          <w:rFonts w:hint="eastAsia" w:ascii="仿宋" w:hAnsi="仿宋" w:eastAsia="仿宋" w:cs="仿宋"/>
          <w:sz w:val="28"/>
          <w:szCs w:val="28"/>
        </w:rPr>
        <w:t>行率</w:t>
      </w:r>
      <w:r>
        <w:rPr>
          <w:rFonts w:hint="eastAsia" w:ascii="仿宋" w:hAnsi="仿宋" w:eastAsia="仿宋" w:cs="仿宋"/>
          <w:spacing w:val="-82"/>
          <w:sz w:val="28"/>
          <w:szCs w:val="28"/>
        </w:rPr>
        <w:t xml:space="preserve"> </w:t>
      </w:r>
      <w:r>
        <w:rPr>
          <w:rFonts w:hint="eastAsia" w:ascii="仿宋" w:hAnsi="仿宋" w:eastAsia="仿宋" w:cs="仿宋"/>
          <w:spacing w:val="-6"/>
          <w:sz w:val="28"/>
          <w:szCs w:val="28"/>
          <w:lang w:val="en-US" w:eastAsia="zh-CN"/>
        </w:rPr>
        <w:t>70.00</w:t>
      </w:r>
      <w:r>
        <w:rPr>
          <w:rFonts w:hint="eastAsia" w:ascii="仿宋" w:hAnsi="仿宋" w:eastAsia="仿宋" w:cs="仿宋"/>
          <w:spacing w:val="-6"/>
          <w:sz w:val="28"/>
          <w:szCs w:val="28"/>
        </w:rPr>
        <w:t>%，</w:t>
      </w:r>
      <w:r>
        <w:rPr>
          <w:rFonts w:hint="eastAsia" w:ascii="仿宋" w:hAnsi="仿宋" w:eastAsia="仿宋" w:cs="仿宋"/>
          <w:spacing w:val="-6"/>
          <w:sz w:val="28"/>
          <w:szCs w:val="28"/>
          <w:lang w:val="en-US" w:eastAsia="zh-CN"/>
        </w:rPr>
        <w:t>主要因为因疫情业务费用收入减少</w:t>
      </w:r>
      <w:r>
        <w:rPr>
          <w:rFonts w:hint="eastAsia" w:ascii="仿宋" w:hAnsi="仿宋" w:eastAsia="仿宋" w:cs="仿宋"/>
          <w:spacing w:val="-4"/>
          <w:sz w:val="28"/>
          <w:szCs w:val="28"/>
        </w:rPr>
        <w:t>。该项目年初</w:t>
      </w:r>
      <w:r>
        <w:rPr>
          <w:rFonts w:hint="eastAsia" w:ascii="仿宋" w:hAnsi="仿宋" w:eastAsia="仿宋" w:cs="仿宋"/>
          <w:spacing w:val="-4"/>
          <w:sz w:val="28"/>
          <w:szCs w:val="28"/>
          <w:lang w:val="en-US" w:eastAsia="zh-CN"/>
        </w:rPr>
        <w:t>的产出指标的数量指标合作媒体数量预期指标值≥6个，实际完成值6个，自评得分10分；产出指标的质量指标业务培训能力的出勤率预期指标值≥90%，实际完成值99%，自评得分10分；产出指标的时效指标的培训、广告宣传的完成时间预期指标值为2021年12月31日前，实际完成时间为2021年12月31日前，自评得分10分；产出指标的成本指标广告宣传总成本预期指标值≤675万元，实际完成值490万元，自评得分10分；预算执行率指标2021年广告宣传培训费为700万元预期指标值100%，实际完成值70%，自评得分8分；效益指标的社会效益指标的预期指标为人员业务能力的提高及提高销量，实现了全省销量第一，自评40分；效益指标的满意度指标培训对象的满意度指标预期为≥90%，实际完成值99%，自评得分5分；效益指标的满意度指标彩民的满意度指标预期为≥90%，实际完成值98%，自评得分5分。圆满完成了广告宣传培训任务。</w:t>
      </w:r>
      <w:r>
        <w:rPr>
          <w:rFonts w:hint="eastAsia" w:ascii="仿宋" w:hAnsi="仿宋" w:eastAsia="仿宋" w:cs="仿宋"/>
          <w:color w:val="auto"/>
          <w:sz w:val="28"/>
          <w:szCs w:val="28"/>
          <w:lang w:val="en-US" w:eastAsia="zh-CN"/>
        </w:rPr>
        <w:t>2021年，我市福利彩票共销售6.63亿元</w:t>
      </w:r>
      <w:r>
        <w:rPr>
          <w:rFonts w:hint="eastAsia" w:ascii="仿宋" w:hAnsi="仿宋" w:eastAsia="仿宋" w:cs="仿宋"/>
          <w:color w:val="auto"/>
          <w:sz w:val="28"/>
          <w:szCs w:val="28"/>
        </w:rPr>
        <w:t>（含平山、辛集）</w:t>
      </w:r>
      <w:r>
        <w:rPr>
          <w:rFonts w:hint="eastAsia" w:ascii="仿宋" w:hAnsi="仿宋" w:eastAsia="仿宋" w:cs="仿宋"/>
          <w:color w:val="auto"/>
          <w:sz w:val="28"/>
          <w:szCs w:val="28"/>
          <w:lang w:val="en-US" w:eastAsia="zh-CN"/>
        </w:rPr>
        <w:t>，超额完成省中心下达的全年5.6亿任务目标。广告宣传培训费项目综合自评得分98分，</w:t>
      </w:r>
      <w:r>
        <w:rPr>
          <w:rFonts w:hint="eastAsia" w:ascii="仿宋" w:hAnsi="仿宋" w:eastAsia="仿宋" w:cs="仿宋"/>
          <w:spacing w:val="-3"/>
          <w:sz w:val="28"/>
          <w:szCs w:val="28"/>
          <w:lang w:val="en-US" w:eastAsia="zh-CN"/>
        </w:rPr>
        <w:t>该</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pStyle w:val="5"/>
        <w:numPr>
          <w:ilvl w:val="0"/>
          <w:numId w:val="0"/>
        </w:numPr>
        <w:bidi w:val="0"/>
        <w:spacing w:before="155" w:beforeAutospacing="0" w:after="0" w:afterAutospacing="0" w:line="355" w:lineRule="auto"/>
        <w:ind w:right="162"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2、福利彩票销售运营费</w:t>
      </w:r>
    </w:p>
    <w:p>
      <w:pPr>
        <w:pStyle w:val="5"/>
        <w:keepNext w:val="0"/>
        <w:keepLines w:val="0"/>
        <w:pageBreakBefore w:val="0"/>
        <w:widowControl w:val="0"/>
        <w:kinsoku/>
        <w:overflowPunct/>
        <w:bidi w:val="0"/>
        <w:snapToGrid/>
        <w:spacing w:before="205" w:beforeAutospacing="0" w:after="0" w:afterAutospacing="0" w:line="357" w:lineRule="auto"/>
        <w:ind w:firstLine="580" w:firstLineChars="200"/>
        <w:jc w:val="left"/>
        <w:textAlignment w:val="auto"/>
        <w:rPr>
          <w:rFonts w:hint="eastAsia" w:ascii="仿宋" w:hAnsi="仿宋" w:eastAsia="仿宋" w:cs="仿宋"/>
          <w:sz w:val="28"/>
          <w:szCs w:val="28"/>
        </w:rPr>
      </w:pPr>
      <w:r>
        <w:rPr>
          <w:rFonts w:hint="eastAsia" w:ascii="仿宋" w:hAnsi="仿宋" w:eastAsia="仿宋" w:cs="仿宋"/>
          <w:spacing w:val="5"/>
          <w:sz w:val="28"/>
          <w:szCs w:val="28"/>
        </w:rPr>
        <w:t>该项目年初预算安排资金</w:t>
      </w:r>
      <w:r>
        <w:rPr>
          <w:rFonts w:hint="eastAsia" w:ascii="仿宋" w:hAnsi="仿宋" w:eastAsia="仿宋" w:cs="仿宋"/>
          <w:spacing w:val="-77"/>
          <w:sz w:val="28"/>
          <w:szCs w:val="28"/>
        </w:rPr>
        <w:t xml:space="preserve"> </w:t>
      </w:r>
      <w:r>
        <w:rPr>
          <w:rFonts w:hint="eastAsia" w:ascii="仿宋" w:hAnsi="仿宋" w:eastAsia="仿宋" w:cs="仿宋"/>
          <w:sz w:val="28"/>
          <w:szCs w:val="28"/>
          <w:lang w:val="en-US" w:eastAsia="zh-CN"/>
        </w:rPr>
        <w:t>50</w:t>
      </w:r>
      <w:r>
        <w:rPr>
          <w:rFonts w:hint="eastAsia" w:ascii="仿宋" w:hAnsi="仿宋" w:eastAsia="仿宋" w:cs="仿宋"/>
          <w:spacing w:val="-81"/>
          <w:sz w:val="28"/>
          <w:szCs w:val="28"/>
        </w:rPr>
        <w:t xml:space="preserve"> </w:t>
      </w:r>
      <w:r>
        <w:rPr>
          <w:rFonts w:hint="eastAsia" w:ascii="仿宋" w:hAnsi="仿宋" w:eastAsia="仿宋" w:cs="仿宋"/>
          <w:spacing w:val="4"/>
          <w:sz w:val="28"/>
          <w:szCs w:val="28"/>
        </w:rPr>
        <w:t>万元，执行</w:t>
      </w:r>
      <w:r>
        <w:rPr>
          <w:rFonts w:hint="eastAsia" w:ascii="仿宋" w:hAnsi="仿宋" w:eastAsia="仿宋" w:cs="仿宋"/>
          <w:spacing w:val="4"/>
          <w:sz w:val="28"/>
          <w:szCs w:val="28"/>
          <w:lang w:val="en-US" w:eastAsia="zh-CN"/>
        </w:rPr>
        <w:t>7.17</w:t>
      </w:r>
      <w:r>
        <w:rPr>
          <w:rFonts w:hint="eastAsia" w:ascii="仿宋" w:hAnsi="仿宋" w:eastAsia="仿宋" w:cs="仿宋"/>
          <w:spacing w:val="4"/>
          <w:sz w:val="28"/>
          <w:szCs w:val="28"/>
        </w:rPr>
        <w:t>万元，执</w:t>
      </w:r>
      <w:r>
        <w:rPr>
          <w:rFonts w:hint="eastAsia" w:ascii="仿宋" w:hAnsi="仿宋" w:eastAsia="仿宋" w:cs="仿宋"/>
          <w:sz w:val="28"/>
          <w:szCs w:val="28"/>
        </w:rPr>
        <w:t>行率</w:t>
      </w:r>
      <w:r>
        <w:rPr>
          <w:rFonts w:hint="eastAsia" w:ascii="仿宋" w:hAnsi="仿宋" w:eastAsia="仿宋" w:cs="仿宋"/>
          <w:spacing w:val="-79"/>
          <w:sz w:val="28"/>
          <w:szCs w:val="28"/>
        </w:rPr>
        <w:t xml:space="preserve"> </w:t>
      </w:r>
      <w:r>
        <w:rPr>
          <w:rFonts w:hint="eastAsia" w:ascii="仿宋" w:hAnsi="仿宋" w:eastAsia="仿宋" w:cs="仿宋"/>
          <w:sz w:val="28"/>
          <w:szCs w:val="28"/>
          <w:lang w:val="en-US" w:eastAsia="zh-CN"/>
        </w:rPr>
        <w:t>14.34</w:t>
      </w:r>
      <w:r>
        <w:rPr>
          <w:rFonts w:hint="eastAsia" w:ascii="仿宋" w:hAnsi="仿宋" w:eastAsia="仿宋" w:cs="仿宋"/>
          <w:sz w:val="28"/>
          <w:szCs w:val="28"/>
        </w:rPr>
        <w:t>%，</w:t>
      </w:r>
      <w:r>
        <w:rPr>
          <w:rFonts w:hint="eastAsia" w:ascii="仿宋" w:hAnsi="仿宋" w:eastAsia="仿宋" w:cs="仿宋"/>
          <w:sz w:val="28"/>
          <w:szCs w:val="28"/>
          <w:lang w:val="en-US" w:eastAsia="zh-CN"/>
        </w:rPr>
        <w:t>主分因为因疫情福利彩票销售机构业务费用收入不足。</w:t>
      </w:r>
      <w:r>
        <w:rPr>
          <w:rFonts w:hint="eastAsia" w:ascii="仿宋" w:hAnsi="仿宋" w:eastAsia="仿宋" w:cs="仿宋"/>
          <w:spacing w:val="-4"/>
          <w:sz w:val="28"/>
          <w:szCs w:val="28"/>
        </w:rPr>
        <w:t>该项目年初</w:t>
      </w:r>
      <w:r>
        <w:rPr>
          <w:rFonts w:hint="eastAsia" w:ascii="仿宋" w:hAnsi="仿宋" w:eastAsia="仿宋" w:cs="仿宋"/>
          <w:spacing w:val="-4"/>
          <w:sz w:val="28"/>
          <w:szCs w:val="28"/>
          <w:lang w:val="en-US" w:eastAsia="zh-CN"/>
        </w:rPr>
        <w:t>的产出指标的数量指标市场调研考察预期指标值4次，实际完成值5次，自评得分10分；产出指标的质量指标设备维修及时率预期指标值≥95%，实际完成值100%，自评得分10分；产出指标的时效指标设备维护、通信、劳务完成时间预期指标为2021年12月31日前，实际完成于2021年12月31日前，自评得分10分；产出指标的成本指标福利彩票运营费预期指标值≤50万元，实际完成值7.17万元，自评得分10分；预算执行率指标2021年彩票销售运营费为50万元预期指标值100%，实际完成值14%，自评得分8分；效益指标的经济效益指标销量效益为5.60亿元，实际完成6.63亿元，自评40分；满意度指标服务对象的满意度指标预期为≥95%，实际完成值100%，自评得分10分。综合自评</w:t>
      </w:r>
      <w:r>
        <w:rPr>
          <w:rFonts w:hint="eastAsia" w:ascii="仿宋" w:hAnsi="仿宋" w:eastAsia="仿宋" w:cs="仿宋"/>
          <w:sz w:val="28"/>
          <w:szCs w:val="28"/>
        </w:rPr>
        <w:t>得分</w:t>
      </w:r>
      <w:r>
        <w:rPr>
          <w:rFonts w:hint="eastAsia" w:ascii="仿宋" w:hAnsi="仿宋" w:eastAsia="仿宋" w:cs="仿宋"/>
          <w:spacing w:val="-95"/>
          <w:sz w:val="28"/>
          <w:szCs w:val="28"/>
        </w:rPr>
        <w:t xml:space="preserve"> </w:t>
      </w:r>
      <w:r>
        <w:rPr>
          <w:rFonts w:hint="eastAsia" w:ascii="仿宋" w:hAnsi="仿宋" w:eastAsia="仿宋" w:cs="仿宋"/>
          <w:sz w:val="28"/>
          <w:szCs w:val="28"/>
        </w:rPr>
        <w:t>9</w:t>
      </w:r>
      <w:r>
        <w:rPr>
          <w:rFonts w:hint="eastAsia" w:ascii="仿宋" w:hAnsi="仿宋" w:eastAsia="仿宋" w:cs="仿宋"/>
          <w:sz w:val="28"/>
          <w:szCs w:val="28"/>
          <w:lang w:val="en-US" w:eastAsia="zh-CN"/>
        </w:rPr>
        <w:t>9</w:t>
      </w:r>
      <w:r>
        <w:rPr>
          <w:rFonts w:hint="eastAsia" w:ascii="仿宋" w:hAnsi="仿宋" w:eastAsia="仿宋" w:cs="仿宋"/>
          <w:spacing w:val="-3"/>
          <w:sz w:val="28"/>
          <w:szCs w:val="28"/>
        </w:rPr>
        <w:t>分，</w:t>
      </w:r>
      <w:r>
        <w:rPr>
          <w:rFonts w:hint="eastAsia" w:ascii="仿宋" w:hAnsi="仿宋" w:eastAsia="仿宋" w:cs="仿宋"/>
          <w:spacing w:val="-3"/>
          <w:sz w:val="28"/>
          <w:szCs w:val="28"/>
          <w:lang w:val="en-US" w:eastAsia="zh-CN"/>
        </w:rPr>
        <w:t>该</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pStyle w:val="5"/>
        <w:numPr>
          <w:ilvl w:val="0"/>
          <w:numId w:val="0"/>
        </w:numPr>
        <w:bidi w:val="0"/>
        <w:spacing w:before="155" w:beforeAutospacing="0" w:after="0" w:afterAutospacing="0" w:line="355" w:lineRule="auto"/>
        <w:ind w:right="162"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3、销售厅费用</w:t>
      </w:r>
    </w:p>
    <w:p>
      <w:pPr>
        <w:pStyle w:val="5"/>
        <w:keepNext w:val="0"/>
        <w:keepLines w:val="0"/>
        <w:pageBreakBefore w:val="0"/>
        <w:widowControl w:val="0"/>
        <w:kinsoku/>
        <w:overflowPunct/>
        <w:bidi w:val="0"/>
        <w:snapToGrid/>
        <w:spacing w:before="205" w:beforeAutospacing="0" w:after="0" w:afterAutospacing="0" w:line="357" w:lineRule="auto"/>
        <w:ind w:firstLine="580" w:firstLineChars="200"/>
        <w:jc w:val="left"/>
        <w:textAlignment w:val="auto"/>
        <w:rPr>
          <w:rFonts w:hint="eastAsia" w:ascii="仿宋" w:hAnsi="仿宋" w:eastAsia="仿宋" w:cs="仿宋"/>
          <w:sz w:val="28"/>
          <w:szCs w:val="28"/>
        </w:rPr>
      </w:pPr>
      <w:r>
        <w:rPr>
          <w:rFonts w:hint="eastAsia" w:ascii="仿宋" w:hAnsi="仿宋" w:eastAsia="仿宋" w:cs="仿宋"/>
          <w:spacing w:val="5"/>
          <w:sz w:val="28"/>
          <w:szCs w:val="28"/>
        </w:rPr>
        <w:t>该项目年初预算安排资金</w:t>
      </w:r>
      <w:r>
        <w:rPr>
          <w:rFonts w:hint="eastAsia" w:ascii="仿宋" w:hAnsi="仿宋" w:eastAsia="仿宋" w:cs="仿宋"/>
          <w:spacing w:val="5"/>
          <w:sz w:val="28"/>
          <w:szCs w:val="28"/>
          <w:lang w:val="en-US" w:eastAsia="zh-CN"/>
        </w:rPr>
        <w:t>581.64</w:t>
      </w:r>
      <w:r>
        <w:rPr>
          <w:rFonts w:hint="eastAsia" w:ascii="仿宋" w:hAnsi="仿宋" w:eastAsia="仿宋" w:cs="仿宋"/>
          <w:spacing w:val="5"/>
          <w:sz w:val="28"/>
          <w:szCs w:val="28"/>
        </w:rPr>
        <w:t>万元，执行</w:t>
      </w:r>
      <w:r>
        <w:rPr>
          <w:rFonts w:hint="eastAsia" w:ascii="仿宋" w:hAnsi="仿宋" w:eastAsia="仿宋" w:cs="仿宋"/>
          <w:spacing w:val="5"/>
          <w:sz w:val="28"/>
          <w:szCs w:val="28"/>
          <w:lang w:val="en-US" w:eastAsia="zh-CN"/>
        </w:rPr>
        <w:t>340.69万元</w:t>
      </w:r>
      <w:r>
        <w:rPr>
          <w:rFonts w:hint="eastAsia" w:ascii="仿宋" w:hAnsi="仿宋" w:eastAsia="仿宋" w:cs="仿宋"/>
          <w:spacing w:val="4"/>
          <w:sz w:val="28"/>
          <w:szCs w:val="28"/>
        </w:rPr>
        <w:t>，</w:t>
      </w:r>
      <w:r>
        <w:rPr>
          <w:rFonts w:hint="eastAsia" w:ascii="仿宋" w:hAnsi="仿宋" w:eastAsia="仿宋" w:cs="仿宋"/>
          <w:w w:val="99"/>
          <w:sz w:val="28"/>
          <w:szCs w:val="28"/>
        </w:rPr>
        <w:t xml:space="preserve"> </w:t>
      </w:r>
      <w:r>
        <w:rPr>
          <w:rFonts w:hint="eastAsia" w:ascii="仿宋" w:hAnsi="仿宋" w:eastAsia="仿宋" w:cs="仿宋"/>
          <w:sz w:val="28"/>
          <w:szCs w:val="28"/>
        </w:rPr>
        <w:t>执行率</w:t>
      </w:r>
      <w:r>
        <w:rPr>
          <w:rFonts w:hint="eastAsia" w:ascii="仿宋" w:hAnsi="仿宋" w:eastAsia="仿宋" w:cs="仿宋"/>
          <w:sz w:val="28"/>
          <w:szCs w:val="28"/>
          <w:lang w:val="en-US" w:eastAsia="zh-CN"/>
        </w:rPr>
        <w:t>58.57%</w:t>
      </w:r>
      <w:r>
        <w:rPr>
          <w:rFonts w:hint="eastAsia" w:ascii="仿宋" w:hAnsi="仿宋" w:eastAsia="仿宋" w:cs="仿宋"/>
          <w:spacing w:val="-4"/>
          <w:sz w:val="28"/>
          <w:szCs w:val="28"/>
        </w:rPr>
        <w:t>。</w:t>
      </w:r>
      <w:r>
        <w:rPr>
          <w:rFonts w:hint="eastAsia" w:ascii="仿宋" w:hAnsi="仿宋" w:eastAsia="仿宋" w:cs="仿宋"/>
          <w:spacing w:val="-4"/>
          <w:sz w:val="28"/>
          <w:szCs w:val="28"/>
          <w:lang w:val="en-US" w:eastAsia="zh-CN"/>
        </w:rPr>
        <w:t>产出指标的数量指标劳务派遣人员数量预期指标值≤60人，实际完成值21人，自评得分10分；产出指标的质量指标销售厅正常运转预期指标值销售厅业务正常运转，实际达到了销售厅正常销售运转，自评得分10分；产出指标的时效指标的保障时间预期指标值为1年，实际完成为1年，自评得分10分；产出指标的成本指标销售厅运转总成本预期指标值≤581.64万元，实际完成值340.69万元，自评得分10分；预算执行率指标2021年广告宣传培训费为581.64万元预期指标值100%，实际完成值59%，自评得分6分；效益指标的社会效益指标的销售厅业务正常运转，实现了销售厅工作的正常运转，自评40分；效益指标的满意度指标彩民的满意度指标预期为≥90%，实际完成值99%，自评得分10分。</w:t>
      </w:r>
      <w:r>
        <w:rPr>
          <w:rFonts w:hint="eastAsia" w:ascii="仿宋" w:hAnsi="仿宋" w:eastAsia="仿宋" w:cs="仿宋"/>
          <w:spacing w:val="-4"/>
          <w:sz w:val="28"/>
          <w:szCs w:val="28"/>
        </w:rPr>
        <w:t>该项目年初</w:t>
      </w:r>
      <w:r>
        <w:rPr>
          <w:rFonts w:hint="eastAsia" w:ascii="仿宋" w:hAnsi="仿宋" w:eastAsia="仿宋" w:cs="仿宋"/>
          <w:spacing w:val="-4"/>
          <w:sz w:val="28"/>
          <w:szCs w:val="28"/>
          <w:lang w:val="en-US" w:eastAsia="zh-CN"/>
        </w:rPr>
        <w:t>的产指标、效益指标及满意度指标均达到预期，圆满完成了福利彩票销售的相关任务</w:t>
      </w:r>
      <w:r>
        <w:rPr>
          <w:rFonts w:hint="eastAsia" w:ascii="仿宋" w:hAnsi="仿宋" w:eastAsia="仿宋" w:cs="仿宋"/>
          <w:sz w:val="28"/>
          <w:szCs w:val="28"/>
        </w:rPr>
        <w:t>，得分</w:t>
      </w:r>
      <w:r>
        <w:rPr>
          <w:rFonts w:hint="eastAsia" w:ascii="仿宋" w:hAnsi="仿宋" w:eastAsia="仿宋" w:cs="仿宋"/>
          <w:spacing w:val="-95"/>
          <w:sz w:val="28"/>
          <w:szCs w:val="28"/>
        </w:rPr>
        <w:t xml:space="preserve"> </w:t>
      </w:r>
      <w:r>
        <w:rPr>
          <w:rFonts w:hint="eastAsia" w:ascii="仿宋" w:hAnsi="仿宋" w:eastAsia="仿宋" w:cs="仿宋"/>
          <w:sz w:val="28"/>
          <w:szCs w:val="28"/>
        </w:rPr>
        <w:t>9</w:t>
      </w:r>
      <w:r>
        <w:rPr>
          <w:rFonts w:hint="eastAsia" w:ascii="仿宋" w:hAnsi="仿宋" w:eastAsia="仿宋" w:cs="仿宋"/>
          <w:sz w:val="28"/>
          <w:szCs w:val="28"/>
          <w:lang w:val="en-US" w:eastAsia="zh-CN"/>
        </w:rPr>
        <w:t>6</w:t>
      </w:r>
      <w:r>
        <w:rPr>
          <w:rFonts w:hint="eastAsia" w:ascii="仿宋" w:hAnsi="仿宋" w:eastAsia="仿宋" w:cs="仿宋"/>
          <w:spacing w:val="-3"/>
          <w:sz w:val="28"/>
          <w:szCs w:val="28"/>
        </w:rPr>
        <w:t>分，项目综合绩效评</w:t>
      </w:r>
      <w:r>
        <w:rPr>
          <w:rFonts w:hint="eastAsia" w:ascii="仿宋" w:hAnsi="仿宋" w:eastAsia="仿宋" w:cs="仿宋"/>
          <w:sz w:val="28"/>
          <w:szCs w:val="28"/>
        </w:rPr>
        <w:t>价评为优秀。</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四、评价结论和评价等级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1、广告宣传培训费项目综合自评98分，为优秀等级；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2、销售厅费用项目综合自评96分，为优秀等级；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3、福利彩票销售运营费项目综合自评99分，为优秀等级。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cs="仿宋"/>
          <w:color w:val="auto"/>
          <w:sz w:val="28"/>
          <w:szCs w:val="28"/>
          <w:lang w:val="en-US" w:eastAsia="zh-CN"/>
        </w:rPr>
      </w:pPr>
      <w:r>
        <w:rPr>
          <w:rFonts w:hint="eastAsia" w:cs="仿宋"/>
          <w:color w:val="auto"/>
          <w:sz w:val="28"/>
          <w:szCs w:val="28"/>
          <w:lang w:val="en-US" w:eastAsia="zh-CN"/>
        </w:rPr>
        <w:t>五、预算绩效管理工作开展情况</w:t>
      </w:r>
    </w:p>
    <w:p>
      <w:pPr>
        <w:pStyle w:val="5"/>
        <w:numPr>
          <w:ilvl w:val="0"/>
          <w:numId w:val="0"/>
        </w:numPr>
        <w:bidi w:val="0"/>
        <w:spacing w:before="0" w:beforeAutospacing="0" w:after="0" w:afterAutospacing="0" w:line="240" w:lineRule="auto"/>
        <w:ind w:right="0" w:rightChars="0" w:firstLine="560" w:firstLineChars="200"/>
        <w:jc w:val="left"/>
        <w:rPr>
          <w:rFonts w:hint="default" w:cs="仿宋"/>
          <w:color w:val="auto"/>
          <w:sz w:val="28"/>
          <w:szCs w:val="28"/>
          <w:lang w:val="en-US" w:eastAsia="zh-CN"/>
        </w:rPr>
      </w:pPr>
      <w:r>
        <w:rPr>
          <w:rFonts w:hint="eastAsia" w:cs="仿宋"/>
          <w:color w:val="auto"/>
          <w:sz w:val="28"/>
          <w:szCs w:val="28"/>
          <w:lang w:val="en-US" w:eastAsia="zh-CN"/>
        </w:rPr>
        <w:t>根据预算绩效管理要求，本部门组织对2021年度一般公共预算项目支出全面开展绩效自评，其中一级项目0个，二级项目0个，共涉及奖金0万元。组织对2021年广告宣传培训费、福利彩票销售运营费等3个政府性基金预算项目支出开展绩效自评，共涉及奖金837.86万元，占政府性基金预算项目支出总额的100.00%。</w:t>
      </w:r>
    </w:p>
    <w:p>
      <w:pPr>
        <w:pStyle w:val="5"/>
        <w:numPr>
          <w:ilvl w:val="0"/>
          <w:numId w:val="0"/>
        </w:numPr>
        <w:bidi w:val="0"/>
        <w:spacing w:before="0" w:beforeAutospacing="0" w:after="0" w:afterAutospacing="0" w:line="240" w:lineRule="auto"/>
        <w:ind w:right="0" w:rightChars="0" w:firstLine="560" w:firstLineChars="200"/>
        <w:jc w:val="left"/>
        <w:rPr>
          <w:rFonts w:hint="default" w:ascii="仿宋" w:hAnsi="仿宋" w:eastAsia="仿宋" w:cs="仿宋"/>
          <w:color w:val="auto"/>
          <w:sz w:val="28"/>
          <w:szCs w:val="28"/>
          <w:lang w:val="en-US" w:eastAsia="zh-CN"/>
        </w:rPr>
      </w:pPr>
    </w:p>
    <w:p>
      <w:pPr>
        <w:pStyle w:val="5"/>
        <w:numPr>
          <w:ilvl w:val="0"/>
          <w:numId w:val="0"/>
        </w:numPr>
        <w:bidi w:val="0"/>
        <w:spacing w:before="49" w:beforeAutospacing="0" w:after="0" w:afterAutospacing="0" w:line="355" w:lineRule="auto"/>
        <w:ind w:right="161" w:rightChars="0"/>
        <w:jc w:val="left"/>
        <w:rPr>
          <w:rFonts w:hint="default"/>
          <w:sz w:val="28"/>
          <w:szCs w:val="28"/>
          <w:lang w:val="en-US" w:eastAsia="zh-CN"/>
        </w:rPr>
      </w:pPr>
    </w:p>
    <w:p>
      <w:pPr>
        <w:pStyle w:val="5"/>
        <w:numPr>
          <w:ilvl w:val="0"/>
          <w:numId w:val="0"/>
        </w:numPr>
        <w:bidi w:val="0"/>
        <w:spacing w:before="49" w:beforeAutospacing="0" w:after="0" w:afterAutospacing="0" w:line="355" w:lineRule="auto"/>
        <w:ind w:right="161" w:rightChars="0"/>
        <w:jc w:val="left"/>
        <w:rPr>
          <w:rFonts w:hint="default"/>
          <w:sz w:val="28"/>
          <w:szCs w:val="28"/>
          <w:lang w:val="en-US" w:eastAsia="zh-CN"/>
        </w:rPr>
      </w:pPr>
    </w:p>
    <w:p>
      <w:pPr>
        <w:pStyle w:val="5"/>
        <w:numPr>
          <w:ilvl w:val="0"/>
          <w:numId w:val="0"/>
        </w:numPr>
        <w:bidi w:val="0"/>
        <w:spacing w:before="49" w:beforeAutospacing="0" w:after="0" w:afterAutospacing="0" w:line="355" w:lineRule="auto"/>
        <w:ind w:right="161" w:rightChars="0"/>
        <w:jc w:val="left"/>
        <w:rPr>
          <w:rFonts w:hint="default"/>
          <w:sz w:val="28"/>
          <w:szCs w:val="28"/>
          <w:lang w:val="en-US" w:eastAsia="zh-CN"/>
        </w:rPr>
      </w:pPr>
      <w:bookmarkStart w:id="0" w:name="_GoBack"/>
      <w:bookmarkEnd w:id="0"/>
    </w:p>
    <w:p>
      <w:pPr>
        <w:pStyle w:val="5"/>
        <w:numPr>
          <w:ilvl w:val="0"/>
          <w:numId w:val="0"/>
        </w:numPr>
        <w:bidi w:val="0"/>
        <w:spacing w:before="49" w:beforeAutospacing="0" w:after="0" w:afterAutospacing="0" w:line="355" w:lineRule="auto"/>
        <w:ind w:right="161" w:rightChars="0"/>
        <w:jc w:val="left"/>
        <w:rPr>
          <w:rFonts w:hint="default"/>
          <w:sz w:val="28"/>
          <w:szCs w:val="28"/>
          <w:lang w:val="en-US" w:eastAsia="zh-CN"/>
        </w:rPr>
      </w:pPr>
    </w:p>
    <w:p>
      <w:pPr>
        <w:numPr>
          <w:ilvl w:val="0"/>
          <w:numId w:val="0"/>
        </w:numPr>
        <w:rPr>
          <w:rFonts w:hint="default"/>
          <w:lang w:val="en-US" w:eastAsia="zh-CN"/>
        </w:rPr>
      </w:pPr>
    </w:p>
    <w:p>
      <w:pPr>
        <w:pStyle w:val="2"/>
        <w:rPr>
          <w:rFonts w:hint="default"/>
          <w:lang w:val="en-US" w:eastAsia="zh-CN"/>
        </w:rPr>
      </w:pPr>
    </w:p>
    <w:p>
      <w:pPr>
        <w:pStyle w:val="2"/>
        <w:ind w:firstLine="4480" w:firstLineChars="1600"/>
        <w:rPr>
          <w:rFonts w:hint="eastAsia"/>
          <w:sz w:val="28"/>
          <w:szCs w:val="28"/>
          <w:lang w:val="en-US" w:eastAsia="zh-CN"/>
        </w:rPr>
      </w:pPr>
      <w:r>
        <w:rPr>
          <w:rFonts w:hint="eastAsia"/>
          <w:sz w:val="28"/>
          <w:szCs w:val="28"/>
          <w:lang w:val="en-US" w:eastAsia="zh-CN"/>
        </w:rPr>
        <w:t>石家庄市福利彩票发行中心</w:t>
      </w:r>
    </w:p>
    <w:p>
      <w:pPr>
        <w:pStyle w:val="2"/>
        <w:ind w:firstLine="5320" w:firstLineChars="1900"/>
        <w:rPr>
          <w:rFonts w:hint="default"/>
          <w:sz w:val="28"/>
          <w:szCs w:val="28"/>
          <w:lang w:val="en-US" w:eastAsia="zh-CN"/>
        </w:rPr>
      </w:pPr>
      <w:r>
        <w:rPr>
          <w:rFonts w:hint="eastAsia"/>
          <w:sz w:val="28"/>
          <w:szCs w:val="28"/>
          <w:lang w:val="en-US" w:eastAsia="zh-CN"/>
        </w:rPr>
        <w:t>2022年3月26日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130E67"/>
    <w:multiLevelType w:val="singleLevel"/>
    <w:tmpl w:val="92130E67"/>
    <w:lvl w:ilvl="0" w:tentative="0">
      <w:start w:val="1"/>
      <w:numFmt w:val="chineseCounting"/>
      <w:suff w:val="nothing"/>
      <w:lvlText w:val="（%1）"/>
      <w:lvlJc w:val="left"/>
      <w:rPr>
        <w:rFonts w:hint="eastAsia"/>
      </w:rPr>
    </w:lvl>
  </w:abstractNum>
  <w:abstractNum w:abstractNumId="1">
    <w:nsid w:val="6CC5F654"/>
    <w:multiLevelType w:val="singleLevel"/>
    <w:tmpl w:val="6CC5F654"/>
    <w:lvl w:ilvl="0" w:tentative="0">
      <w:start w:val="1"/>
      <w:numFmt w:val="chineseCounting"/>
      <w:suff w:val="nothing"/>
      <w:lvlText w:val="（%1）"/>
      <w:lvlJc w:val="left"/>
      <w:pPr>
        <w:ind w:left="315" w:leftChars="0" w:firstLine="0" w:firstLineChars="0"/>
      </w:pPr>
      <w:rPr>
        <w:rFonts w:hint="eastAsia"/>
      </w:rPr>
    </w:lvl>
  </w:abstractNum>
  <w:abstractNum w:abstractNumId="2">
    <w:nsid w:val="760D55CD"/>
    <w:multiLevelType w:val="singleLevel"/>
    <w:tmpl w:val="760D55CD"/>
    <w:lvl w:ilvl="0" w:tentative="0">
      <w:start w:val="1"/>
      <w:numFmt w:val="chineseCounting"/>
      <w:suff w:val="nothing"/>
      <w:lvlText w:val="%1、"/>
      <w:lvlJc w:val="left"/>
      <w:pPr>
        <w:ind w:left="42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Q3NTlkNWZlMzdmYmFjM2E5M2MwNWQ0MjI2ZTJmZTQifQ=="/>
  </w:docVars>
  <w:rsids>
    <w:rsidRoot w:val="316C6BEF"/>
    <w:rsid w:val="135E568A"/>
    <w:rsid w:val="26515364"/>
    <w:rsid w:val="316C6BEF"/>
    <w:rsid w:val="3B463BAA"/>
    <w:rsid w:val="3E64244A"/>
    <w:rsid w:val="4DFC35A7"/>
    <w:rsid w:val="5AB9429C"/>
    <w:rsid w:val="5D7F7A8F"/>
    <w:rsid w:val="73A172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0"/>
    <w:pPr>
      <w:spacing w:afterLines="50" w:line="360" w:lineRule="auto"/>
    </w:pPr>
    <w:rPr>
      <w:rFonts w:ascii="仿宋_GB2312" w:hAnsi="宋体" w:eastAsia="仿宋_GB2312"/>
      <w:sz w:val="24"/>
      <w:szCs w:val="20"/>
    </w:rPr>
  </w:style>
  <w:style w:type="paragraph" w:customStyle="1" w:styleId="5">
    <w:name w:val="正文文本1"/>
    <w:basedOn w:val="6"/>
    <w:qFormat/>
    <w:uiPriority w:val="1"/>
    <w:pPr>
      <w:spacing w:before="48" w:beforeAutospacing="0" w:after="0" w:afterAutospacing="0"/>
      <w:ind w:left="111"/>
    </w:pPr>
    <w:rPr>
      <w:rFonts w:ascii="仿宋" w:hAnsi="仿宋" w:eastAsia="仿宋"/>
      <w:sz w:val="32"/>
      <w:szCs w:val="32"/>
    </w:rPr>
  </w:style>
  <w:style w:type="paragraph" w:customStyle="1" w:styleId="6">
    <w:name w:val="正文1"/>
    <w:qFormat/>
    <w:uiPriority w:val="1"/>
    <w:pPr>
      <w:widowControl w:val="0"/>
      <w:suppressAutoHyphens w:val="0"/>
      <w:bidi w:val="0"/>
      <w:spacing w:beforeLines="0" w:beforeAutospacing="0" w:after="0" w:afterAutospacing="0" w:line="240" w:lineRule="auto"/>
    </w:pPr>
    <w:rPr>
      <w:rFonts w:asciiTheme="minorHAnsi" w:hAnsiTheme="minorHAnsi" w:eastAsiaTheme="minorHAnsi" w:cstheme="minorBidi"/>
      <w:color w:val="auto"/>
      <w:kern w:val="0"/>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2485</Words>
  <Characters>2807</Characters>
  <Lines>0</Lines>
  <Paragraphs>0</Paragraphs>
  <TotalTime>42</TotalTime>
  <ScaleCrop>false</ScaleCrop>
  <LinksUpToDate>false</LinksUpToDate>
  <CharactersWithSpaces>2829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2022-03-30T06:52:00Z</dcterms:created>
  <dc:creator>乔</dc:creator>
  <cp:lastModifiedBy>乐壮哥</cp:lastModifiedBy>
  <cp:lastPrinted>2022-03-31T02:35:00Z</cp:lastPrinted>
  <dcterms:modified xsi:type="dcterms:W3CDTF">2023-01-09T09:31:21Z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F57C7F05E4FE4C1C9ED359EE6741D02D</vt:lpwstr>
  </property>
</Properties>
</file>