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val="0"/>
        <w:snapToGrid w:val="0"/>
        <w:spacing w:line="560" w:lineRule="exact"/>
        <w:ind w:left="0" w:leftChars="0" w:right="0"/>
        <w:textAlignment w:val="auto"/>
        <w:outlineLvl w:val="9"/>
        <w:rPr>
          <w:rFonts w:ascii="仿宋_GB2312" w:eastAsia="仿宋_GB2312"/>
          <w:color w:val="auto"/>
          <w:sz w:val="32"/>
          <w:szCs w:val="32"/>
        </w:rPr>
      </w:pPr>
      <w:r>
        <w:rPr>
          <w:rFonts w:hint="eastAsia" w:ascii="仿宋_GB2312" w:eastAsia="仿宋_GB2312"/>
          <w:color w:val="auto"/>
          <w:sz w:val="32"/>
          <w:szCs w:val="32"/>
        </w:rPr>
        <w:t>附件</w:t>
      </w:r>
      <w:r>
        <w:rPr>
          <w:rFonts w:hint="eastAsia" w:ascii="仿宋_GB2312" w:eastAsia="仿宋_GB2312"/>
          <w:color w:val="auto"/>
          <w:sz w:val="32"/>
          <w:szCs w:val="32"/>
          <w:lang w:val="en-US" w:eastAsia="zh-CN"/>
        </w:rPr>
        <w:t>4</w:t>
      </w:r>
    </w:p>
    <w:p>
      <w:pPr>
        <w:widowControl w:val="0"/>
        <w:wordWrap/>
        <w:spacing w:line="560" w:lineRule="exact"/>
        <w:ind w:left="0" w:leftChars="0" w:right="0"/>
        <w:jc w:val="center"/>
        <w:textAlignment w:val="auto"/>
        <w:outlineLvl w:val="9"/>
        <w:rPr>
          <w:rFonts w:hint="eastAsia" w:ascii="宋体" w:hAnsi="宋体" w:cs="宋体"/>
          <w:b/>
          <w:bCs/>
          <w:color w:val="auto"/>
          <w:sz w:val="44"/>
          <w:szCs w:val="44"/>
        </w:rPr>
      </w:pPr>
    </w:p>
    <w:p>
      <w:pPr>
        <w:widowControl w:val="0"/>
        <w:wordWrap/>
        <w:spacing w:line="560" w:lineRule="exact"/>
        <w:ind w:left="0" w:leftChars="0" w:right="0"/>
        <w:jc w:val="center"/>
        <w:textAlignment w:val="auto"/>
        <w:outlineLvl w:val="9"/>
        <w:rPr>
          <w:rFonts w:hint="eastAsia" w:ascii="宋体" w:hAnsi="宋体" w:cs="宋体"/>
          <w:b/>
          <w:bCs/>
          <w:color w:val="auto"/>
          <w:sz w:val="44"/>
          <w:szCs w:val="44"/>
        </w:rPr>
      </w:pPr>
      <w:r>
        <w:rPr>
          <w:rFonts w:hint="eastAsia" w:ascii="宋体" w:hAnsi="宋体" w:cs="宋体"/>
          <w:b/>
          <w:bCs/>
          <w:color w:val="auto"/>
          <w:sz w:val="44"/>
          <w:szCs w:val="44"/>
          <w:lang w:eastAsia="zh-CN"/>
        </w:rPr>
        <w:t>市委网信办</w:t>
      </w:r>
      <w:r>
        <w:rPr>
          <w:rFonts w:hint="eastAsia" w:ascii="宋体" w:hAnsi="宋体" w:cs="宋体"/>
          <w:b/>
          <w:bCs/>
          <w:color w:val="auto"/>
          <w:sz w:val="44"/>
          <w:szCs w:val="44"/>
          <w:lang w:val="en-US" w:eastAsia="zh-CN"/>
        </w:rPr>
        <w:t>2021年度整体支出绩效</w:t>
      </w:r>
      <w:r>
        <w:rPr>
          <w:rFonts w:hint="eastAsia" w:ascii="宋体" w:hAnsi="宋体" w:cs="宋体"/>
          <w:b/>
          <w:bCs/>
          <w:color w:val="auto"/>
          <w:sz w:val="44"/>
          <w:szCs w:val="44"/>
        </w:rPr>
        <w:t>自评报告</w:t>
      </w:r>
    </w:p>
    <w:p>
      <w:pPr>
        <w:widowControl w:val="0"/>
        <w:wordWrap/>
        <w:spacing w:line="560" w:lineRule="exact"/>
        <w:ind w:left="0" w:leftChars="0" w:right="0"/>
        <w:jc w:val="center"/>
        <w:textAlignment w:val="auto"/>
        <w:outlineLvl w:val="9"/>
        <w:rPr>
          <w:rFonts w:ascii="华文楷体" w:eastAsia="华文楷体"/>
          <w:color w:val="auto"/>
          <w:sz w:val="32"/>
          <w:szCs w:val="32"/>
        </w:rPr>
      </w:pPr>
    </w:p>
    <w:p>
      <w:pPr>
        <w:widowControl w:val="0"/>
        <w:wordWrap/>
        <w:adjustRightInd w:val="0"/>
        <w:snapToGrid w:val="0"/>
        <w:spacing w:line="560" w:lineRule="exact"/>
        <w:ind w:left="0" w:leftChars="0" w:right="0" w:firstLine="640" w:firstLineChars="200"/>
        <w:textAlignment w:val="auto"/>
        <w:outlineLvl w:val="9"/>
        <w:rPr>
          <w:rFonts w:ascii="仿宋" w:hAnsi="仿宋" w:eastAsia="仿宋"/>
          <w:color w:val="auto"/>
          <w:sz w:val="32"/>
          <w:szCs w:val="32"/>
        </w:rPr>
      </w:pPr>
      <w:r>
        <w:rPr>
          <w:rFonts w:hint="eastAsia" w:ascii="仿宋" w:hAnsi="仿宋" w:eastAsia="仿宋"/>
          <w:color w:val="auto"/>
          <w:sz w:val="32"/>
          <w:szCs w:val="32"/>
        </w:rPr>
        <w:t>贯彻落实</w:t>
      </w:r>
      <w:r>
        <w:rPr>
          <w:rFonts w:hint="eastAsia" w:ascii="仿宋" w:hAnsi="仿宋" w:eastAsia="仿宋"/>
          <w:color w:val="auto"/>
          <w:sz w:val="32"/>
          <w:szCs w:val="32"/>
          <w:lang w:eastAsia="zh-CN"/>
        </w:rPr>
        <w:t>市委市政府《关于全面落实预算绩效管理的实施意见》（石发﹝</w:t>
      </w:r>
      <w:r>
        <w:rPr>
          <w:rFonts w:hint="eastAsia" w:ascii="仿宋" w:hAnsi="仿宋" w:eastAsia="仿宋"/>
          <w:color w:val="auto"/>
          <w:sz w:val="32"/>
          <w:szCs w:val="32"/>
          <w:lang w:val="en-US" w:eastAsia="zh-CN"/>
        </w:rPr>
        <w:t>2019</w:t>
      </w:r>
      <w:r>
        <w:rPr>
          <w:rFonts w:hint="eastAsia" w:ascii="仿宋" w:hAnsi="仿宋" w:eastAsia="仿宋"/>
          <w:color w:val="auto"/>
          <w:sz w:val="32"/>
          <w:szCs w:val="32"/>
          <w:lang w:eastAsia="zh-CN"/>
        </w:rPr>
        <w:t>﹞</w:t>
      </w:r>
      <w:r>
        <w:rPr>
          <w:rFonts w:hint="eastAsia" w:ascii="仿宋" w:hAnsi="仿宋" w:eastAsia="仿宋"/>
          <w:color w:val="auto"/>
          <w:sz w:val="32"/>
          <w:szCs w:val="32"/>
          <w:lang w:val="en-US" w:eastAsia="zh-CN"/>
        </w:rPr>
        <w:t>8号</w:t>
      </w:r>
      <w:r>
        <w:rPr>
          <w:rFonts w:hint="eastAsia" w:ascii="仿宋" w:hAnsi="仿宋" w:eastAsia="仿宋"/>
          <w:color w:val="auto"/>
          <w:sz w:val="32"/>
          <w:szCs w:val="32"/>
          <w:lang w:eastAsia="zh-CN"/>
        </w:rPr>
        <w:t>）</w:t>
      </w:r>
      <w:r>
        <w:rPr>
          <w:rFonts w:hint="eastAsia" w:ascii="仿宋" w:hAnsi="仿宋" w:eastAsia="仿宋"/>
          <w:color w:val="auto"/>
          <w:sz w:val="32"/>
          <w:szCs w:val="32"/>
        </w:rPr>
        <w:t>文件精神，遵循“科学性、规范性、客观性和公正性”的原则，对</w:t>
      </w:r>
      <w:r>
        <w:rPr>
          <w:rFonts w:hint="eastAsia" w:ascii="仿宋" w:hAnsi="仿宋" w:eastAsia="仿宋"/>
          <w:color w:val="auto"/>
          <w:sz w:val="32"/>
          <w:szCs w:val="32"/>
          <w:lang w:eastAsia="zh-CN"/>
        </w:rPr>
        <w:t>市委网信办</w:t>
      </w:r>
      <w:r>
        <w:rPr>
          <w:rFonts w:hint="eastAsia" w:ascii="仿宋" w:hAnsi="仿宋" w:eastAsia="仿宋"/>
          <w:color w:val="auto"/>
          <w:sz w:val="32"/>
          <w:szCs w:val="32"/>
          <w:lang w:val="en-US" w:eastAsia="zh-CN"/>
        </w:rPr>
        <w:t>2021年</w:t>
      </w:r>
      <w:r>
        <w:rPr>
          <w:rFonts w:hint="eastAsia" w:ascii="仿宋" w:hAnsi="仿宋" w:eastAsia="仿宋"/>
          <w:color w:val="auto"/>
          <w:sz w:val="32"/>
          <w:szCs w:val="32"/>
          <w:lang w:eastAsia="zh-CN"/>
        </w:rPr>
        <w:t>整体支出情况</w:t>
      </w:r>
      <w:r>
        <w:rPr>
          <w:rFonts w:hint="eastAsia" w:ascii="仿宋" w:hAnsi="仿宋" w:eastAsia="仿宋"/>
          <w:color w:val="auto"/>
          <w:sz w:val="32"/>
          <w:szCs w:val="32"/>
        </w:rPr>
        <w:t>实施了财政支出绩效自评价，形成本评价报告。</w:t>
      </w:r>
    </w:p>
    <w:p>
      <w:pPr>
        <w:widowControl w:val="0"/>
        <w:wordWrap/>
        <w:adjustRightInd w:val="0"/>
        <w:snapToGrid w:val="0"/>
        <w:spacing w:line="560" w:lineRule="exact"/>
        <w:ind w:left="0" w:leftChars="0" w:right="0"/>
        <w:textAlignment w:val="auto"/>
        <w:outlineLvl w:val="9"/>
        <w:rPr>
          <w:rFonts w:ascii="黑体" w:hAnsi="黑体" w:eastAsia="黑体"/>
          <w:b/>
          <w:bCs/>
          <w:color w:val="auto"/>
          <w:sz w:val="32"/>
          <w:szCs w:val="36"/>
        </w:rPr>
      </w:pPr>
      <w:r>
        <w:rPr>
          <w:rFonts w:hint="eastAsia" w:ascii="仿宋" w:hAnsi="仿宋" w:eastAsia="仿宋"/>
          <w:color w:val="auto"/>
          <w:sz w:val="32"/>
          <w:szCs w:val="32"/>
        </w:rPr>
        <w:t xml:space="preserve">    </w:t>
      </w:r>
      <w:r>
        <w:rPr>
          <w:rFonts w:hint="eastAsia" w:ascii="黑体" w:hAnsi="黑体" w:eastAsia="黑体"/>
          <w:color w:val="auto"/>
          <w:sz w:val="32"/>
          <w:szCs w:val="32"/>
        </w:rPr>
        <w:t>一、</w:t>
      </w:r>
      <w:r>
        <w:rPr>
          <w:rFonts w:hint="eastAsia" w:ascii="黑体" w:hAnsi="黑体" w:eastAsia="黑体"/>
          <w:color w:val="auto"/>
          <w:sz w:val="32"/>
          <w:szCs w:val="32"/>
          <w:lang w:eastAsia="zh-CN"/>
        </w:rPr>
        <w:t>部门</w:t>
      </w:r>
      <w:r>
        <w:rPr>
          <w:rFonts w:hint="eastAsia" w:ascii="黑体" w:hAnsi="黑体" w:eastAsia="黑体"/>
          <w:color w:val="auto"/>
          <w:sz w:val="32"/>
          <w:szCs w:val="36"/>
        </w:rPr>
        <w:t>基本情况</w:t>
      </w:r>
    </w:p>
    <w:p>
      <w:pPr>
        <w:ind w:firstLine="643" w:firstLineChars="200"/>
        <w:jc w:val="left"/>
        <w:rPr>
          <w:rFonts w:hint="eastAsia" w:ascii="Times New Roman" w:hAnsi="宋体"/>
          <w:b/>
          <w:color w:val="auto"/>
          <w:sz w:val="32"/>
        </w:rPr>
      </w:pPr>
      <w:r>
        <w:rPr>
          <w:rFonts w:hint="eastAsia" w:ascii="方正楷体_GBK" w:eastAsia="方正楷体_GBK"/>
          <w:b/>
          <w:color w:val="auto"/>
          <w:sz w:val="32"/>
        </w:rPr>
        <w:t>部门职责：</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olor w:val="auto"/>
          <w:sz w:val="32"/>
          <w:szCs w:val="32"/>
        </w:rPr>
      </w:pPr>
      <w:r>
        <w:rPr>
          <w:rFonts w:hint="eastAsia" w:ascii="仿宋" w:hAnsi="仿宋" w:eastAsia="仿宋"/>
          <w:color w:val="auto"/>
          <w:sz w:val="32"/>
          <w:szCs w:val="32"/>
        </w:rPr>
        <w:t>根据《中共石家庄市委网络安全和信息化委员会办公室职能配置、内设机构和人员编制规定》， 中共石家庄市委网络安全和信息化委员会办公室的主要职责是：</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olor w:val="auto"/>
          <w:sz w:val="32"/>
          <w:szCs w:val="32"/>
        </w:rPr>
      </w:pPr>
      <w:r>
        <w:rPr>
          <w:rFonts w:hint="eastAsia" w:ascii="仿宋" w:hAnsi="仿宋" w:eastAsia="仿宋"/>
          <w:color w:val="auto"/>
          <w:sz w:val="32"/>
          <w:szCs w:val="32"/>
        </w:rPr>
        <w:t>一、负责处理市委网络安全和信息化委员会日常事务工作。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olor w:val="auto"/>
          <w:sz w:val="32"/>
          <w:szCs w:val="32"/>
        </w:rPr>
      </w:pPr>
      <w:r>
        <w:rPr>
          <w:rFonts w:hint="eastAsia" w:ascii="仿宋" w:hAnsi="仿宋" w:eastAsia="仿宋"/>
          <w:color w:val="auto"/>
          <w:sz w:val="32"/>
          <w:szCs w:val="32"/>
        </w:rPr>
        <w:t>二、贯彻落实网络安全和信息化发展战略、宏观规划和重大政策。</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olor w:val="auto"/>
          <w:sz w:val="32"/>
          <w:szCs w:val="32"/>
        </w:rPr>
      </w:pPr>
      <w:r>
        <w:rPr>
          <w:rFonts w:hint="eastAsia" w:ascii="仿宋" w:hAnsi="仿宋" w:eastAsia="仿宋"/>
          <w:color w:val="auto"/>
          <w:sz w:val="32"/>
          <w:szCs w:val="32"/>
        </w:rPr>
        <w:t>三、负责互联网信息内容管理。</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olor w:val="auto"/>
          <w:sz w:val="32"/>
          <w:szCs w:val="32"/>
        </w:rPr>
      </w:pPr>
      <w:r>
        <w:rPr>
          <w:rFonts w:hint="eastAsia" w:ascii="仿宋" w:hAnsi="仿宋" w:eastAsia="仿宋"/>
          <w:color w:val="auto"/>
          <w:sz w:val="32"/>
          <w:szCs w:val="32"/>
        </w:rPr>
        <w:t>四、负责指导协调全市网络舆情信息工作。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olor w:val="auto"/>
          <w:sz w:val="32"/>
          <w:szCs w:val="32"/>
        </w:rPr>
      </w:pPr>
      <w:r>
        <w:rPr>
          <w:rFonts w:hint="eastAsia" w:ascii="仿宋" w:hAnsi="仿宋" w:eastAsia="仿宋"/>
          <w:color w:val="auto"/>
          <w:sz w:val="32"/>
          <w:szCs w:val="32"/>
        </w:rPr>
        <w:t>五、推动全市网络阵地建设和重点新闻网站规划建设。</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olor w:val="auto"/>
          <w:sz w:val="32"/>
          <w:szCs w:val="32"/>
        </w:rPr>
      </w:pPr>
      <w:r>
        <w:rPr>
          <w:rFonts w:hint="eastAsia" w:ascii="仿宋" w:hAnsi="仿宋" w:eastAsia="仿宋"/>
          <w:color w:val="auto"/>
          <w:sz w:val="32"/>
          <w:szCs w:val="32"/>
        </w:rPr>
        <w:t>六、协调推动全市网络社会工作和网络文化、网络文明建设。</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olor w:val="auto"/>
          <w:sz w:val="32"/>
          <w:szCs w:val="32"/>
        </w:rPr>
      </w:pPr>
      <w:r>
        <w:rPr>
          <w:rFonts w:hint="eastAsia" w:ascii="仿宋" w:hAnsi="仿宋" w:eastAsia="仿宋"/>
          <w:color w:val="auto"/>
          <w:sz w:val="32"/>
          <w:szCs w:val="32"/>
        </w:rPr>
        <w:t>七、组织开展相关领域对外交流合作。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olor w:val="auto"/>
          <w:sz w:val="32"/>
          <w:szCs w:val="32"/>
        </w:rPr>
      </w:pPr>
      <w:r>
        <w:rPr>
          <w:rFonts w:hint="eastAsia" w:ascii="仿宋" w:hAnsi="仿宋" w:eastAsia="仿宋"/>
          <w:color w:val="auto"/>
          <w:sz w:val="32"/>
          <w:szCs w:val="32"/>
        </w:rPr>
        <w:t>八、指导各县（市、区）和有关部门网络安全和信息化工作。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olor w:val="auto"/>
          <w:sz w:val="32"/>
          <w:szCs w:val="32"/>
        </w:rPr>
      </w:pPr>
      <w:r>
        <w:rPr>
          <w:rFonts w:hint="eastAsia" w:ascii="仿宋" w:hAnsi="仿宋" w:eastAsia="仿宋"/>
          <w:color w:val="auto"/>
          <w:sz w:val="32"/>
          <w:szCs w:val="32"/>
        </w:rPr>
        <w:t>九、完成省委网络安全和信息化委员会办公室（省互联网信息办公室）和市委、市政府及市委网络安全和信息化委员会、市委宣传部交办的其他事项。</w:t>
      </w:r>
    </w:p>
    <w:p>
      <w:pPr>
        <w:ind w:firstLine="643" w:firstLineChars="200"/>
        <w:jc w:val="left"/>
        <w:rPr>
          <w:rFonts w:hint="eastAsia" w:ascii="Times New Roman" w:hAnsi="宋体"/>
          <w:b/>
          <w:color w:val="auto"/>
          <w:sz w:val="32"/>
        </w:rPr>
      </w:pPr>
      <w:r>
        <w:rPr>
          <w:rFonts w:hint="eastAsia" w:ascii="方正楷体_GBK" w:eastAsia="方正楷体_GBK"/>
          <w:b/>
          <w:color w:val="auto"/>
          <w:sz w:val="32"/>
        </w:rPr>
        <w:t>机构</w:t>
      </w:r>
      <w:r>
        <w:rPr>
          <w:rFonts w:hint="eastAsia" w:ascii="方正楷体_GBK" w:eastAsia="方正楷体_GBK"/>
          <w:b/>
          <w:color w:val="auto"/>
          <w:sz w:val="32"/>
          <w:lang w:eastAsia="zh-CN"/>
        </w:rPr>
        <w:t>及人员</w:t>
      </w:r>
      <w:r>
        <w:rPr>
          <w:rFonts w:hint="eastAsia" w:ascii="方正楷体_GBK" w:eastAsia="方正楷体_GBK"/>
          <w:b/>
          <w:color w:val="auto"/>
          <w:sz w:val="32"/>
        </w:rPr>
        <w:t>设置：</w:t>
      </w:r>
    </w:p>
    <w:p>
      <w:pPr>
        <w:jc w:val="center"/>
        <w:rPr>
          <w:rFonts w:hint="eastAsia" w:ascii="Times New Roman" w:hAnsi="宋体"/>
          <w:color w:val="auto"/>
          <w:sz w:val="32"/>
        </w:rPr>
      </w:pPr>
      <w:r>
        <w:rPr>
          <w:rFonts w:hint="eastAsia" w:ascii="方正小标宋_GBK" w:eastAsia="方正小标宋_GBK"/>
          <w:color w:val="auto"/>
          <w:sz w:val="32"/>
        </w:rPr>
        <w:t>部门机构设置情况</w:t>
      </w:r>
    </w:p>
    <w:tbl>
      <w:tblPr>
        <w:tblStyle w:val="4"/>
        <w:tblW w:w="9057"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32"/>
        <w:gridCol w:w="788"/>
        <w:gridCol w:w="910"/>
        <w:gridCol w:w="1642"/>
        <w:gridCol w:w="1642"/>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567" w:hRule="atLeast"/>
          <w:tblHeader/>
          <w:jc w:val="center"/>
        </w:trPr>
        <w:tc>
          <w:tcPr>
            <w:tcW w:w="2432" w:type="dxa"/>
            <w:noWrap w:val="0"/>
            <w:vAlign w:val="center"/>
          </w:tcPr>
          <w:p>
            <w:pPr>
              <w:spacing w:line="300" w:lineRule="exact"/>
              <w:jc w:val="center"/>
              <w:rPr>
                <w:rFonts w:ascii="方正书宋_GBK" w:eastAsia="方正书宋_GBK"/>
                <w:b/>
                <w:color w:val="auto"/>
              </w:rPr>
            </w:pPr>
            <w:r>
              <w:rPr>
                <w:rFonts w:hint="eastAsia" w:ascii="方正书宋_GBK" w:eastAsia="方正书宋_GBK"/>
                <w:b/>
                <w:color w:val="auto"/>
              </w:rPr>
              <w:t>单位名称</w:t>
            </w:r>
          </w:p>
        </w:tc>
        <w:tc>
          <w:tcPr>
            <w:tcW w:w="788" w:type="dxa"/>
            <w:noWrap w:val="0"/>
            <w:vAlign w:val="center"/>
          </w:tcPr>
          <w:p>
            <w:pPr>
              <w:spacing w:line="300" w:lineRule="exact"/>
              <w:jc w:val="center"/>
              <w:rPr>
                <w:rFonts w:ascii="方正书宋_GBK" w:eastAsia="方正书宋_GBK"/>
                <w:b/>
                <w:color w:val="auto"/>
              </w:rPr>
            </w:pPr>
            <w:r>
              <w:rPr>
                <w:rFonts w:hint="eastAsia" w:ascii="方正书宋_GBK" w:eastAsia="方正书宋_GBK"/>
                <w:b/>
                <w:color w:val="auto"/>
              </w:rPr>
              <w:t>单位性质</w:t>
            </w:r>
          </w:p>
        </w:tc>
        <w:tc>
          <w:tcPr>
            <w:tcW w:w="910" w:type="dxa"/>
            <w:noWrap w:val="0"/>
            <w:vAlign w:val="center"/>
          </w:tcPr>
          <w:p>
            <w:pPr>
              <w:spacing w:line="300" w:lineRule="exact"/>
              <w:jc w:val="center"/>
              <w:rPr>
                <w:rFonts w:ascii="方正书宋_GBK" w:eastAsia="方正书宋_GBK"/>
                <w:b/>
                <w:color w:val="auto"/>
              </w:rPr>
            </w:pPr>
            <w:r>
              <w:rPr>
                <w:rFonts w:hint="eastAsia" w:ascii="方正书宋_GBK" w:eastAsia="方正书宋_GBK"/>
                <w:b/>
                <w:color w:val="auto"/>
              </w:rPr>
              <w:t>单位规格</w:t>
            </w:r>
          </w:p>
        </w:tc>
        <w:tc>
          <w:tcPr>
            <w:tcW w:w="1642" w:type="dxa"/>
            <w:noWrap w:val="0"/>
            <w:vAlign w:val="center"/>
          </w:tcPr>
          <w:p>
            <w:pPr>
              <w:spacing w:line="300" w:lineRule="exact"/>
              <w:jc w:val="center"/>
              <w:rPr>
                <w:rFonts w:ascii="方正书宋_GBK" w:eastAsia="方正书宋_GBK"/>
                <w:b/>
                <w:color w:val="auto"/>
              </w:rPr>
            </w:pPr>
            <w:r>
              <w:rPr>
                <w:rFonts w:hint="eastAsia" w:ascii="方正书宋_GBK" w:eastAsia="方正书宋_GBK"/>
                <w:b/>
                <w:color w:val="auto"/>
              </w:rPr>
              <w:t>经费保障形式</w:t>
            </w:r>
          </w:p>
        </w:tc>
        <w:tc>
          <w:tcPr>
            <w:tcW w:w="1642" w:type="dxa"/>
            <w:noWrap w:val="0"/>
            <w:vAlign w:val="center"/>
          </w:tcPr>
          <w:p>
            <w:pPr>
              <w:spacing w:line="300" w:lineRule="exact"/>
              <w:jc w:val="center"/>
              <w:rPr>
                <w:rFonts w:hint="eastAsia" w:ascii="方正书宋_GBK" w:eastAsia="方正书宋_GBK"/>
                <w:b/>
                <w:color w:val="auto"/>
                <w:lang w:eastAsia="zh-CN"/>
              </w:rPr>
            </w:pPr>
            <w:r>
              <w:rPr>
                <w:rFonts w:hint="eastAsia" w:ascii="方正书宋_GBK" w:eastAsia="方正书宋_GBK"/>
                <w:b/>
                <w:color w:val="auto"/>
                <w:lang w:eastAsia="zh-CN"/>
              </w:rPr>
              <w:t>编制数</w:t>
            </w:r>
          </w:p>
        </w:tc>
        <w:tc>
          <w:tcPr>
            <w:tcW w:w="1643" w:type="dxa"/>
            <w:noWrap w:val="0"/>
            <w:vAlign w:val="center"/>
          </w:tcPr>
          <w:p>
            <w:pPr>
              <w:spacing w:line="300" w:lineRule="exact"/>
              <w:jc w:val="center"/>
              <w:rPr>
                <w:rFonts w:hint="eastAsia" w:ascii="方正书宋_GBK" w:eastAsia="方正书宋_GBK"/>
                <w:b/>
                <w:color w:val="auto"/>
                <w:lang w:eastAsia="zh-CN"/>
              </w:rPr>
            </w:pPr>
            <w:r>
              <w:rPr>
                <w:rFonts w:hint="eastAsia" w:ascii="方正书宋_GBK" w:eastAsia="方正书宋_GBK"/>
                <w:b/>
                <w:color w:val="auto"/>
                <w:lang w:eastAsia="zh-CN"/>
              </w:rPr>
              <w:t>实有人数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2432" w:type="dxa"/>
            <w:noWrap w:val="0"/>
            <w:vAlign w:val="center"/>
          </w:tcPr>
          <w:p>
            <w:pPr>
              <w:spacing w:line="300" w:lineRule="exact"/>
              <w:jc w:val="left"/>
              <w:rPr>
                <w:rFonts w:ascii="方正书宋_GBK" w:eastAsia="方正书宋_GBK"/>
                <w:color w:val="auto"/>
              </w:rPr>
            </w:pPr>
            <w:r>
              <w:rPr>
                <w:rFonts w:hint="eastAsia" w:ascii="方正书宋_GBK" w:eastAsia="方正书宋_GBK"/>
                <w:color w:val="auto"/>
              </w:rPr>
              <w:t>中共石家庄市委网络安全和信息化委员会办公室本级</w:t>
            </w:r>
          </w:p>
        </w:tc>
        <w:tc>
          <w:tcPr>
            <w:tcW w:w="788" w:type="dxa"/>
            <w:noWrap w:val="0"/>
            <w:vAlign w:val="center"/>
          </w:tcPr>
          <w:p>
            <w:pPr>
              <w:spacing w:line="300" w:lineRule="exact"/>
              <w:jc w:val="center"/>
              <w:rPr>
                <w:rFonts w:ascii="方正书宋_GBK" w:eastAsia="方正书宋_GBK"/>
                <w:color w:val="auto"/>
              </w:rPr>
            </w:pPr>
            <w:r>
              <w:rPr>
                <w:rFonts w:hint="eastAsia" w:ascii="方正书宋_GBK" w:eastAsia="方正书宋_GBK"/>
                <w:color w:val="auto"/>
              </w:rPr>
              <w:t>行政</w:t>
            </w:r>
          </w:p>
        </w:tc>
        <w:tc>
          <w:tcPr>
            <w:tcW w:w="910" w:type="dxa"/>
            <w:noWrap w:val="0"/>
            <w:vAlign w:val="center"/>
          </w:tcPr>
          <w:p>
            <w:pPr>
              <w:spacing w:line="300" w:lineRule="exact"/>
              <w:jc w:val="center"/>
              <w:rPr>
                <w:rFonts w:ascii="方正书宋_GBK" w:eastAsia="方正书宋_GBK"/>
                <w:color w:val="auto"/>
              </w:rPr>
            </w:pPr>
            <w:r>
              <w:rPr>
                <w:rFonts w:hint="eastAsia" w:ascii="方正书宋_GBK" w:eastAsia="方正书宋_GBK"/>
                <w:color w:val="auto"/>
              </w:rPr>
              <w:t>正处（县）级</w:t>
            </w:r>
          </w:p>
        </w:tc>
        <w:tc>
          <w:tcPr>
            <w:tcW w:w="1642" w:type="dxa"/>
            <w:noWrap w:val="0"/>
            <w:vAlign w:val="center"/>
          </w:tcPr>
          <w:p>
            <w:pPr>
              <w:spacing w:line="300" w:lineRule="exact"/>
              <w:jc w:val="center"/>
              <w:rPr>
                <w:rFonts w:ascii="方正书宋_GBK" w:eastAsia="方正书宋_GBK"/>
                <w:color w:val="auto"/>
              </w:rPr>
            </w:pPr>
            <w:r>
              <w:rPr>
                <w:rFonts w:hint="eastAsia" w:ascii="方正书宋_GBK" w:eastAsia="方正书宋_GBK"/>
                <w:color w:val="auto"/>
              </w:rPr>
              <w:t>财政拨款</w:t>
            </w:r>
          </w:p>
        </w:tc>
        <w:tc>
          <w:tcPr>
            <w:tcW w:w="1642" w:type="dxa"/>
            <w:noWrap w:val="0"/>
            <w:vAlign w:val="center"/>
          </w:tcPr>
          <w:p>
            <w:pPr>
              <w:spacing w:line="300" w:lineRule="exact"/>
              <w:jc w:val="center"/>
              <w:rPr>
                <w:rFonts w:hint="default" w:ascii="方正书宋_GBK" w:eastAsia="方正书宋_GBK"/>
                <w:color w:val="auto"/>
                <w:lang w:val="en-US" w:eastAsia="zh-CN"/>
              </w:rPr>
            </w:pPr>
            <w:r>
              <w:rPr>
                <w:rFonts w:hint="eastAsia" w:ascii="方正书宋_GBK" w:eastAsia="方正书宋_GBK"/>
                <w:color w:val="auto"/>
                <w:lang w:val="en-US" w:eastAsia="zh-CN"/>
              </w:rPr>
              <w:t>34</w:t>
            </w:r>
          </w:p>
        </w:tc>
        <w:tc>
          <w:tcPr>
            <w:tcW w:w="1643" w:type="dxa"/>
            <w:noWrap w:val="0"/>
            <w:vAlign w:val="center"/>
          </w:tcPr>
          <w:p>
            <w:pPr>
              <w:spacing w:line="300" w:lineRule="exact"/>
              <w:jc w:val="center"/>
              <w:rPr>
                <w:rFonts w:hint="default" w:ascii="方正书宋_GBK" w:eastAsia="方正书宋_GBK"/>
                <w:color w:val="auto"/>
                <w:lang w:val="en-US" w:eastAsia="zh-CN"/>
              </w:rPr>
            </w:pPr>
            <w:r>
              <w:rPr>
                <w:rFonts w:hint="eastAsia" w:ascii="方正书宋_GBK" w:eastAsia="方正书宋_GBK"/>
                <w:color w:val="auto"/>
                <w:lang w:val="en-US" w:eastAsia="zh-CN"/>
              </w:rPr>
              <w:t>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2432" w:type="dxa"/>
            <w:noWrap w:val="0"/>
            <w:vAlign w:val="center"/>
          </w:tcPr>
          <w:p>
            <w:pPr>
              <w:spacing w:line="300" w:lineRule="exact"/>
              <w:jc w:val="left"/>
              <w:rPr>
                <w:rFonts w:hint="eastAsia" w:ascii="方正书宋_GBK"/>
                <w:color w:val="auto"/>
              </w:rPr>
            </w:pPr>
            <w:r>
              <w:rPr>
                <w:rFonts w:hint="eastAsia" w:ascii="方正书宋_GBK"/>
                <w:color w:val="auto"/>
              </w:rPr>
              <w:t>石家庄市互联网舆情信息中心</w:t>
            </w:r>
          </w:p>
        </w:tc>
        <w:tc>
          <w:tcPr>
            <w:tcW w:w="788" w:type="dxa"/>
            <w:noWrap w:val="0"/>
            <w:vAlign w:val="center"/>
          </w:tcPr>
          <w:p>
            <w:pPr>
              <w:spacing w:line="300" w:lineRule="exact"/>
              <w:jc w:val="center"/>
              <w:rPr>
                <w:rFonts w:hint="eastAsia" w:ascii="方正书宋_GBK" w:eastAsia="方正书宋_GBK"/>
                <w:color w:val="auto"/>
              </w:rPr>
            </w:pPr>
            <w:r>
              <w:rPr>
                <w:rFonts w:hint="eastAsia" w:ascii="宋体" w:hAnsi="宋体"/>
                <w:color w:val="auto"/>
              </w:rPr>
              <w:t>事业</w:t>
            </w:r>
          </w:p>
        </w:tc>
        <w:tc>
          <w:tcPr>
            <w:tcW w:w="910" w:type="dxa"/>
            <w:noWrap w:val="0"/>
            <w:vAlign w:val="center"/>
          </w:tcPr>
          <w:p>
            <w:pPr>
              <w:spacing w:line="300" w:lineRule="exact"/>
              <w:jc w:val="center"/>
              <w:rPr>
                <w:rFonts w:hint="eastAsia" w:ascii="方正书宋_GBK"/>
                <w:color w:val="auto"/>
              </w:rPr>
            </w:pPr>
            <w:r>
              <w:rPr>
                <w:rFonts w:hint="eastAsia" w:ascii="方正书宋_GBK"/>
                <w:color w:val="auto"/>
              </w:rPr>
              <w:t>正科（乡）级</w:t>
            </w:r>
          </w:p>
        </w:tc>
        <w:tc>
          <w:tcPr>
            <w:tcW w:w="1642" w:type="dxa"/>
            <w:noWrap w:val="0"/>
            <w:vAlign w:val="center"/>
          </w:tcPr>
          <w:p>
            <w:pPr>
              <w:spacing w:line="300" w:lineRule="exact"/>
              <w:jc w:val="center"/>
              <w:rPr>
                <w:rFonts w:hint="eastAsia" w:ascii="方正书宋_GBK"/>
                <w:color w:val="auto"/>
              </w:rPr>
            </w:pPr>
            <w:r>
              <w:rPr>
                <w:rFonts w:hint="eastAsia" w:ascii="方正书宋_GBK"/>
                <w:color w:val="auto"/>
              </w:rPr>
              <w:t>财政性资金基本保证</w:t>
            </w:r>
          </w:p>
        </w:tc>
        <w:tc>
          <w:tcPr>
            <w:tcW w:w="1642" w:type="dxa"/>
            <w:noWrap w:val="0"/>
            <w:vAlign w:val="center"/>
          </w:tcPr>
          <w:p>
            <w:pPr>
              <w:spacing w:line="300" w:lineRule="exact"/>
              <w:jc w:val="center"/>
              <w:rPr>
                <w:rFonts w:hint="default" w:ascii="方正书宋_GBK" w:eastAsia="宋体"/>
                <w:color w:val="auto"/>
                <w:lang w:val="en-US" w:eastAsia="zh-CN"/>
              </w:rPr>
            </w:pPr>
            <w:r>
              <w:rPr>
                <w:rFonts w:hint="eastAsia" w:ascii="方正书宋_GBK"/>
                <w:color w:val="auto"/>
                <w:lang w:val="en-US" w:eastAsia="zh-CN"/>
              </w:rPr>
              <w:t>20</w:t>
            </w:r>
          </w:p>
        </w:tc>
        <w:tc>
          <w:tcPr>
            <w:tcW w:w="1643" w:type="dxa"/>
            <w:noWrap w:val="0"/>
            <w:vAlign w:val="center"/>
          </w:tcPr>
          <w:p>
            <w:pPr>
              <w:spacing w:line="300" w:lineRule="exact"/>
              <w:jc w:val="center"/>
              <w:rPr>
                <w:rFonts w:hint="default" w:ascii="方正书宋_GBK" w:eastAsia="宋体"/>
                <w:color w:val="auto"/>
                <w:lang w:val="en-US" w:eastAsia="zh-CN"/>
              </w:rPr>
            </w:pPr>
            <w:r>
              <w:rPr>
                <w:rFonts w:hint="eastAsia" w:ascii="方正书宋_GBK"/>
                <w:color w:val="auto"/>
                <w:lang w:val="en-US" w:eastAsia="zh-CN"/>
              </w:rPr>
              <w:t>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785" w:hRule="atLeast"/>
          <w:jc w:val="center"/>
        </w:trPr>
        <w:tc>
          <w:tcPr>
            <w:tcW w:w="2432" w:type="dxa"/>
            <w:noWrap w:val="0"/>
            <w:vAlign w:val="center"/>
          </w:tcPr>
          <w:p>
            <w:pPr>
              <w:spacing w:line="300" w:lineRule="exact"/>
              <w:jc w:val="left"/>
              <w:rPr>
                <w:rFonts w:hint="eastAsia" w:ascii="方正书宋_GBK"/>
                <w:color w:val="auto"/>
              </w:rPr>
            </w:pPr>
            <w:r>
              <w:rPr>
                <w:rFonts w:hint="eastAsia" w:ascii="方正书宋_GBK"/>
                <w:color w:val="auto"/>
              </w:rPr>
              <w:t>石家庄市信息安全测评中心</w:t>
            </w:r>
          </w:p>
        </w:tc>
        <w:tc>
          <w:tcPr>
            <w:tcW w:w="788" w:type="dxa"/>
            <w:noWrap w:val="0"/>
            <w:vAlign w:val="center"/>
          </w:tcPr>
          <w:p>
            <w:pPr>
              <w:spacing w:line="300" w:lineRule="exact"/>
              <w:jc w:val="center"/>
              <w:rPr>
                <w:rFonts w:hint="eastAsia" w:ascii="方正书宋_GBK" w:eastAsia="方正书宋_GBK"/>
                <w:color w:val="auto"/>
              </w:rPr>
            </w:pPr>
            <w:r>
              <w:rPr>
                <w:rFonts w:hint="eastAsia" w:ascii="宋体" w:hAnsi="宋体"/>
                <w:color w:val="auto"/>
              </w:rPr>
              <w:t>事业</w:t>
            </w:r>
          </w:p>
        </w:tc>
        <w:tc>
          <w:tcPr>
            <w:tcW w:w="910" w:type="dxa"/>
            <w:noWrap w:val="0"/>
            <w:vAlign w:val="center"/>
          </w:tcPr>
          <w:p>
            <w:pPr>
              <w:spacing w:line="300" w:lineRule="exact"/>
              <w:jc w:val="center"/>
              <w:rPr>
                <w:rFonts w:hint="eastAsia" w:ascii="方正书宋_GBK"/>
                <w:color w:val="auto"/>
              </w:rPr>
            </w:pPr>
            <w:r>
              <w:rPr>
                <w:rFonts w:hint="eastAsia" w:ascii="方正书宋_GBK"/>
                <w:color w:val="auto"/>
              </w:rPr>
              <w:t>正科（乡）级</w:t>
            </w:r>
          </w:p>
        </w:tc>
        <w:tc>
          <w:tcPr>
            <w:tcW w:w="1642" w:type="dxa"/>
            <w:noWrap w:val="0"/>
            <w:vAlign w:val="center"/>
          </w:tcPr>
          <w:p>
            <w:pPr>
              <w:spacing w:line="300" w:lineRule="exact"/>
              <w:jc w:val="center"/>
              <w:rPr>
                <w:rFonts w:hint="eastAsia" w:ascii="方正书宋_GBK" w:eastAsia="方正书宋_GBK"/>
                <w:color w:val="auto"/>
              </w:rPr>
            </w:pPr>
            <w:r>
              <w:rPr>
                <w:rFonts w:hint="eastAsia" w:ascii="方正书宋_GBK"/>
                <w:color w:val="auto"/>
              </w:rPr>
              <w:t>财政性资金基本保证</w:t>
            </w:r>
          </w:p>
        </w:tc>
        <w:tc>
          <w:tcPr>
            <w:tcW w:w="1642" w:type="dxa"/>
            <w:noWrap w:val="0"/>
            <w:vAlign w:val="center"/>
          </w:tcPr>
          <w:p>
            <w:pPr>
              <w:spacing w:line="300" w:lineRule="exact"/>
              <w:jc w:val="center"/>
              <w:rPr>
                <w:rFonts w:hint="default" w:ascii="方正书宋_GBK" w:eastAsia="宋体"/>
                <w:color w:val="auto"/>
                <w:lang w:val="en-US" w:eastAsia="zh-CN"/>
              </w:rPr>
            </w:pPr>
            <w:r>
              <w:rPr>
                <w:rFonts w:hint="eastAsia" w:ascii="方正书宋_GBK"/>
                <w:color w:val="auto"/>
                <w:lang w:val="en-US" w:eastAsia="zh-CN"/>
              </w:rPr>
              <w:t>10</w:t>
            </w:r>
          </w:p>
        </w:tc>
        <w:tc>
          <w:tcPr>
            <w:tcW w:w="1643" w:type="dxa"/>
            <w:noWrap w:val="0"/>
            <w:vAlign w:val="center"/>
          </w:tcPr>
          <w:p>
            <w:pPr>
              <w:spacing w:line="300" w:lineRule="exact"/>
              <w:jc w:val="center"/>
              <w:rPr>
                <w:rFonts w:hint="default" w:ascii="方正书宋_GBK" w:eastAsia="宋体"/>
                <w:color w:val="auto"/>
                <w:lang w:val="en-US" w:eastAsia="zh-CN"/>
              </w:rPr>
            </w:pPr>
            <w:r>
              <w:rPr>
                <w:rFonts w:hint="eastAsia" w:ascii="方正书宋_GBK"/>
                <w:color w:val="auto"/>
                <w:lang w:val="en-US" w:eastAsia="zh-CN"/>
              </w:rPr>
              <w:t>10</w:t>
            </w:r>
          </w:p>
        </w:tc>
      </w:tr>
    </w:tbl>
    <w:p>
      <w:pPr>
        <w:widowControl w:val="0"/>
        <w:wordWrap/>
        <w:adjustRightInd w:val="0"/>
        <w:snapToGrid w:val="0"/>
        <w:spacing w:line="560" w:lineRule="exact"/>
        <w:ind w:right="0"/>
        <w:textAlignment w:val="auto"/>
        <w:outlineLvl w:val="9"/>
        <w:rPr>
          <w:rFonts w:hint="eastAsia" w:ascii="仿宋" w:hAnsi="仿宋" w:eastAsia="仿宋" w:cs="楷体_GB2312"/>
          <w:b/>
          <w:bCs/>
          <w:color w:val="auto"/>
          <w:sz w:val="32"/>
          <w:szCs w:val="32"/>
        </w:rPr>
      </w:pPr>
    </w:p>
    <w:p>
      <w:pPr>
        <w:widowControl w:val="0"/>
        <w:numPr>
          <w:ilvl w:val="0"/>
          <w:numId w:val="1"/>
        </w:numPr>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color w:val="auto"/>
          <w:sz w:val="32"/>
          <w:szCs w:val="32"/>
          <w:lang w:eastAsia="zh-CN"/>
        </w:rPr>
      </w:pPr>
      <w:r>
        <w:rPr>
          <w:rFonts w:hint="eastAsia" w:ascii="仿宋" w:hAnsi="仿宋" w:eastAsia="仿宋" w:cs="楷体_GB2312"/>
          <w:b/>
          <w:bCs/>
          <w:color w:val="auto"/>
          <w:sz w:val="32"/>
          <w:szCs w:val="32"/>
          <w:lang w:eastAsia="zh-CN"/>
        </w:rPr>
        <w:t>部门收支预决算情况</w:t>
      </w:r>
    </w:p>
    <w:p>
      <w:pPr>
        <w:widowControl w:val="0"/>
        <w:numPr>
          <w:ilvl w:val="0"/>
          <w:numId w:val="0"/>
        </w:numPr>
        <w:wordWrap/>
        <w:adjustRightInd w:val="0"/>
        <w:snapToGrid w:val="0"/>
        <w:spacing w:line="560" w:lineRule="exact"/>
        <w:ind w:right="0" w:rightChars="0" w:firstLine="640" w:firstLineChars="200"/>
        <w:textAlignment w:val="auto"/>
        <w:outlineLvl w:val="9"/>
        <w:rPr>
          <w:rFonts w:hint="eastAsia" w:ascii="仿宋_GB2312" w:hAnsi="仿宋_GB2312" w:eastAsia="仿宋_GB2312" w:cs="仿宋_GB2312"/>
          <w:b w:val="0"/>
          <w:bCs w:val="0"/>
          <w:i w:val="0"/>
          <w:caps w:val="0"/>
          <w:color w:val="auto"/>
          <w:spacing w:val="0"/>
          <w:kern w:val="0"/>
          <w:sz w:val="32"/>
          <w:szCs w:val="32"/>
          <w:shd w:val="clear" w:color="auto" w:fill="FFFFFF"/>
          <w:lang w:val="en-US" w:eastAsia="zh-CN" w:bidi="ar"/>
        </w:rPr>
      </w:pPr>
      <w:r>
        <w:rPr>
          <w:rFonts w:hint="eastAsia" w:ascii="仿宋" w:hAnsi="仿宋" w:eastAsia="仿宋"/>
          <w:color w:val="auto"/>
          <w:sz w:val="32"/>
          <w:szCs w:val="32"/>
          <w:lang w:val="en-US" w:eastAsia="zh-CN"/>
        </w:rPr>
        <w:t>本部门2021年度专项项目5个，预算数为1000万元，预算调整数为963.54023万元，财政拨款收入963.54023万元，支出进度100%，均为一般公共预算项目支出。</w:t>
      </w:r>
    </w:p>
    <w:p>
      <w:pPr>
        <w:widowControl w:val="0"/>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color w:val="auto"/>
          <w:sz w:val="32"/>
          <w:szCs w:val="32"/>
          <w:lang w:eastAsia="zh-CN"/>
        </w:rPr>
      </w:pPr>
      <w:r>
        <w:rPr>
          <w:rFonts w:hint="eastAsia" w:ascii="仿宋" w:hAnsi="仿宋" w:eastAsia="仿宋" w:cs="楷体_GB2312"/>
          <w:b/>
          <w:bCs/>
          <w:color w:val="auto"/>
          <w:sz w:val="32"/>
          <w:szCs w:val="32"/>
          <w:lang w:eastAsia="zh-CN"/>
        </w:rPr>
        <w:t>（三）部门整体支出绩效目标、指标</w:t>
      </w:r>
    </w:p>
    <w:p>
      <w:pPr>
        <w:widowControl w:val="0"/>
        <w:numPr>
          <w:ilvl w:val="0"/>
          <w:numId w:val="0"/>
        </w:numPr>
        <w:wordWrap/>
        <w:adjustRightInd w:val="0"/>
        <w:snapToGrid w:val="0"/>
        <w:spacing w:line="560" w:lineRule="exact"/>
        <w:ind w:right="0" w:rightChars="0" w:firstLine="640" w:firstLineChars="200"/>
        <w:textAlignment w:val="auto"/>
        <w:outlineLvl w:val="9"/>
        <w:rPr>
          <w:rFonts w:hint="eastAsia" w:ascii="仿宋" w:hAnsi="仿宋" w:eastAsia="仿宋"/>
          <w:color w:val="auto"/>
          <w:sz w:val="32"/>
          <w:szCs w:val="32"/>
          <w:lang w:val="en-US" w:eastAsia="zh-CN"/>
        </w:rPr>
      </w:pPr>
      <w:r>
        <w:rPr>
          <w:rFonts w:hint="eastAsia" w:ascii="仿宋" w:hAnsi="仿宋" w:eastAsia="仿宋"/>
          <w:color w:val="auto"/>
          <w:sz w:val="32"/>
          <w:szCs w:val="32"/>
          <w:lang w:val="en-US" w:eastAsia="zh-CN"/>
        </w:rPr>
        <w:t>以习近平新时代中国特色社会主义思想特别是习近平总书记关于网络强国的重要思想为指导，深入贯彻落实中央网信委、省委网信委和市委网信委有关会议精神，不忘初心、牢记使命，准确把握网信工作面临的新形势新任务，统筹推进全市网络安全和信息化建设，全面提高网络综合治理能力，构建网上网下同心圆，为新时代建设现代省会、经济强市提供重要网上支撑。开展网络安全宣传周活动1次，组织全市网信系统培训1次，加强与重点新闻网站和商业网站主题宣传合作，开设宣传专题专栏，积极开展网络社会公益活动。</w:t>
      </w:r>
    </w:p>
    <w:p>
      <w:pPr>
        <w:widowControl w:val="0"/>
        <w:wordWrap/>
        <w:adjustRightInd w:val="0"/>
        <w:snapToGrid w:val="0"/>
        <w:spacing w:line="560" w:lineRule="exact"/>
        <w:ind w:left="0" w:leftChars="0" w:right="0" w:firstLine="640" w:firstLineChars="200"/>
        <w:textAlignment w:val="auto"/>
        <w:outlineLvl w:val="9"/>
        <w:rPr>
          <w:rFonts w:ascii="黑体" w:hAnsi="黑体" w:eastAsia="黑体"/>
          <w:color w:val="auto"/>
          <w:sz w:val="32"/>
          <w:szCs w:val="32"/>
        </w:rPr>
      </w:pPr>
      <w:r>
        <w:rPr>
          <w:rFonts w:hint="eastAsia" w:ascii="黑体" w:hAnsi="黑体" w:eastAsia="黑体"/>
          <w:color w:val="auto"/>
          <w:sz w:val="32"/>
          <w:szCs w:val="32"/>
        </w:rPr>
        <w:t>二、自评工作</w:t>
      </w:r>
      <w:r>
        <w:rPr>
          <w:rFonts w:hint="eastAsia" w:ascii="黑体" w:hAnsi="黑体" w:eastAsia="黑体"/>
          <w:color w:val="auto"/>
          <w:sz w:val="32"/>
          <w:szCs w:val="32"/>
          <w:lang w:eastAsia="zh-CN"/>
        </w:rPr>
        <w:t>开展</w:t>
      </w:r>
      <w:r>
        <w:rPr>
          <w:rFonts w:hint="eastAsia" w:ascii="黑体" w:hAnsi="黑体" w:eastAsia="黑体"/>
          <w:color w:val="auto"/>
          <w:sz w:val="32"/>
          <w:szCs w:val="32"/>
        </w:rPr>
        <w:t>情况</w:t>
      </w:r>
    </w:p>
    <w:p>
      <w:pPr>
        <w:widowControl w:val="0"/>
        <w:wordWrap/>
        <w:spacing w:line="560" w:lineRule="exact"/>
        <w:ind w:left="0" w:leftChars="0" w:right="0"/>
        <w:textAlignment w:val="auto"/>
        <w:outlineLvl w:val="9"/>
        <w:rPr>
          <w:rFonts w:ascii="仿宋" w:hAnsi="仿宋" w:eastAsia="仿宋" w:cs="楷体_GB2312"/>
          <w:color w:val="auto"/>
          <w:sz w:val="32"/>
          <w:szCs w:val="32"/>
        </w:rPr>
      </w:pPr>
      <w:r>
        <w:rPr>
          <w:rFonts w:hint="eastAsia" w:ascii="仿宋" w:hAnsi="仿宋" w:eastAsia="仿宋"/>
          <w:color w:val="auto"/>
          <w:sz w:val="32"/>
          <w:szCs w:val="32"/>
        </w:rPr>
        <w:t xml:space="preserve">    </w:t>
      </w:r>
      <w:r>
        <w:rPr>
          <w:rFonts w:hint="eastAsia" w:ascii="仿宋" w:hAnsi="仿宋" w:eastAsia="仿宋" w:cs="楷体_GB2312"/>
          <w:b/>
          <w:bCs/>
          <w:color w:val="auto"/>
          <w:sz w:val="32"/>
          <w:szCs w:val="32"/>
        </w:rPr>
        <w:t>（一）自评的组织工作</w:t>
      </w:r>
    </w:p>
    <w:p>
      <w:pPr>
        <w:spacing w:line="360" w:lineRule="auto"/>
        <w:ind w:firstLine="645"/>
        <w:rPr>
          <w:rFonts w:ascii="仿宋" w:hAnsi="仿宋" w:eastAsia="仿宋"/>
          <w:color w:val="auto"/>
          <w:sz w:val="32"/>
          <w:szCs w:val="32"/>
        </w:rPr>
      </w:pPr>
      <w:r>
        <w:rPr>
          <w:rFonts w:hint="eastAsia" w:ascii="仿宋_GB2312" w:eastAsia="仿宋_GB2312"/>
          <w:color w:val="auto"/>
          <w:sz w:val="32"/>
          <w:szCs w:val="32"/>
        </w:rPr>
        <w:t>为保证绩效评价工作顺利开展，成立了绩效评价工作小组，负责绩效评价的组织管理和实施工作，工作组各成员按照任务分工和时间安排开展相关工作。</w:t>
      </w:r>
    </w:p>
    <w:p>
      <w:pPr>
        <w:widowControl w:val="0"/>
        <w:numPr>
          <w:ilvl w:val="0"/>
          <w:numId w:val="2"/>
        </w:numPr>
        <w:wordWrap/>
        <w:spacing w:line="560" w:lineRule="exact"/>
        <w:ind w:left="642" w:leftChars="0" w:right="0" w:firstLine="0" w:firstLineChars="0"/>
        <w:textAlignment w:val="auto"/>
        <w:outlineLvl w:val="9"/>
        <w:rPr>
          <w:rFonts w:hint="eastAsia" w:ascii="仿宋" w:hAnsi="仿宋" w:eastAsia="仿宋" w:cs="楷体_GB2312"/>
          <w:b/>
          <w:bCs/>
          <w:color w:val="auto"/>
          <w:sz w:val="32"/>
          <w:szCs w:val="32"/>
        </w:rPr>
      </w:pPr>
      <w:r>
        <w:rPr>
          <w:rFonts w:hint="eastAsia" w:ascii="仿宋" w:hAnsi="仿宋" w:eastAsia="仿宋" w:cs="楷体_GB2312"/>
          <w:b/>
          <w:bCs/>
          <w:color w:val="auto"/>
          <w:sz w:val="32"/>
          <w:szCs w:val="32"/>
        </w:rPr>
        <w:t>自评的方法和过程</w:t>
      </w:r>
    </w:p>
    <w:p>
      <w:pPr>
        <w:spacing w:line="360" w:lineRule="auto"/>
        <w:ind w:firstLine="640" w:firstLineChars="200"/>
        <w:rPr>
          <w:rFonts w:ascii="仿宋_GB2312" w:eastAsia="仿宋_GB2312"/>
          <w:color w:val="auto"/>
          <w:sz w:val="32"/>
          <w:szCs w:val="32"/>
        </w:rPr>
      </w:pPr>
      <w:r>
        <w:rPr>
          <w:rFonts w:hint="eastAsia" w:ascii="仿宋_GB2312" w:eastAsia="仿宋_GB2312"/>
          <w:color w:val="auto"/>
          <w:sz w:val="32"/>
          <w:szCs w:val="32"/>
        </w:rPr>
        <w:t>1、评价方法</w:t>
      </w:r>
    </w:p>
    <w:p>
      <w:pPr>
        <w:spacing w:line="360" w:lineRule="auto"/>
        <w:ind w:firstLine="640" w:firstLineChars="200"/>
        <w:rPr>
          <w:rFonts w:ascii="仿宋_GB2312" w:eastAsia="仿宋_GB2312"/>
          <w:color w:val="auto"/>
          <w:sz w:val="32"/>
          <w:szCs w:val="32"/>
        </w:rPr>
      </w:pPr>
      <w:r>
        <w:rPr>
          <w:rFonts w:hint="eastAsia" w:ascii="仿宋_GB2312" w:eastAsia="仿宋_GB2312"/>
          <w:color w:val="auto"/>
          <w:sz w:val="32"/>
          <w:szCs w:val="32"/>
        </w:rPr>
        <w:t>采取定量分析与定性分析相结合，运用因素分析法、比较法、现场核查法、访谈等基本方法开展评价工作。</w:t>
      </w:r>
    </w:p>
    <w:p>
      <w:pPr>
        <w:spacing w:line="360" w:lineRule="auto"/>
        <w:ind w:firstLine="640" w:firstLineChars="200"/>
        <w:rPr>
          <w:rFonts w:ascii="仿宋_GB2312" w:eastAsia="仿宋_GB2312"/>
          <w:color w:val="auto"/>
          <w:sz w:val="32"/>
        </w:rPr>
      </w:pPr>
      <w:r>
        <w:rPr>
          <w:rFonts w:hint="eastAsia" w:ascii="仿宋_GB2312" w:eastAsia="仿宋_GB2312"/>
          <w:color w:val="auto"/>
          <w:sz w:val="32"/>
        </w:rPr>
        <w:t>（1）因素分析法。通过列举分析影响绩效目标实现、实施效果的内外因素，评价绩效目标实现程度。</w:t>
      </w:r>
    </w:p>
    <w:p>
      <w:pPr>
        <w:spacing w:line="360" w:lineRule="auto"/>
        <w:ind w:firstLine="640" w:firstLineChars="200"/>
        <w:rPr>
          <w:rFonts w:ascii="仿宋_GB2312" w:eastAsia="仿宋_GB2312"/>
          <w:color w:val="auto"/>
          <w:sz w:val="32"/>
        </w:rPr>
      </w:pPr>
      <w:r>
        <w:rPr>
          <w:rFonts w:hint="eastAsia" w:ascii="仿宋_GB2312" w:eastAsia="仿宋_GB2312"/>
          <w:color w:val="auto"/>
          <w:sz w:val="32"/>
        </w:rPr>
        <w:t>（2）比较法。通过对项目当期实际产生的项目效益结果与预期目标进行分析对比和定性分析、定量分析，分析完成（或未完成）目标的因素，从而评价财政支出绩效。</w:t>
      </w:r>
    </w:p>
    <w:p>
      <w:pPr>
        <w:spacing w:line="360" w:lineRule="auto"/>
        <w:ind w:firstLine="640"/>
        <w:rPr>
          <w:rFonts w:ascii="仿宋_GB2312" w:eastAsia="仿宋_GB2312"/>
          <w:color w:val="auto"/>
          <w:sz w:val="32"/>
          <w:szCs w:val="32"/>
        </w:rPr>
      </w:pPr>
      <w:r>
        <w:rPr>
          <w:rFonts w:hint="eastAsia" w:ascii="仿宋_GB2312" w:eastAsia="仿宋_GB2312"/>
          <w:color w:val="auto"/>
          <w:sz w:val="32"/>
        </w:rPr>
        <w:t>（3）</w:t>
      </w:r>
      <w:r>
        <w:rPr>
          <w:rFonts w:hint="eastAsia" w:ascii="仿宋_GB2312" w:hAnsi="仿宋" w:eastAsia="仿宋_GB2312"/>
          <w:color w:val="auto"/>
          <w:sz w:val="32"/>
          <w:szCs w:val="32"/>
        </w:rPr>
        <w:t>现场核查法。现场对项目进行核实，实事求是检查其财务情况和绩效表现等相关资料。</w:t>
      </w:r>
    </w:p>
    <w:p>
      <w:pPr>
        <w:spacing w:line="360" w:lineRule="auto"/>
        <w:ind w:firstLine="640"/>
        <w:rPr>
          <w:rFonts w:ascii="仿宋_GB2312" w:eastAsia="仿宋_GB2312"/>
          <w:color w:val="auto"/>
          <w:sz w:val="32"/>
          <w:szCs w:val="32"/>
        </w:rPr>
      </w:pPr>
      <w:r>
        <w:rPr>
          <w:rFonts w:hint="eastAsia" w:ascii="仿宋_GB2312" w:eastAsia="仿宋_GB2312"/>
          <w:color w:val="auto"/>
          <w:sz w:val="32"/>
          <w:szCs w:val="32"/>
        </w:rPr>
        <w:t>（4）访谈。通过与相关人员进行面谈，针对项目的不同特点和关键问题，直接听取项目管理者、实施人员的意见。</w:t>
      </w:r>
    </w:p>
    <w:p>
      <w:pPr>
        <w:spacing w:line="360" w:lineRule="auto"/>
        <w:ind w:firstLine="640"/>
        <w:rPr>
          <w:rFonts w:ascii="仿宋_GB2312" w:eastAsia="仿宋_GB2312"/>
          <w:color w:val="auto"/>
          <w:sz w:val="32"/>
          <w:szCs w:val="32"/>
        </w:rPr>
      </w:pPr>
      <w:r>
        <w:rPr>
          <w:rFonts w:hint="eastAsia" w:ascii="仿宋_GB2312" w:eastAsia="仿宋_GB2312"/>
          <w:color w:val="auto"/>
          <w:sz w:val="32"/>
          <w:szCs w:val="32"/>
        </w:rPr>
        <w:t>2、评价工作过程</w:t>
      </w:r>
    </w:p>
    <w:p>
      <w:pPr>
        <w:spacing w:line="360" w:lineRule="auto"/>
        <w:ind w:firstLine="640"/>
        <w:rPr>
          <w:rFonts w:ascii="仿宋_GB2312" w:eastAsia="仿宋_GB2312"/>
          <w:color w:val="auto"/>
          <w:sz w:val="32"/>
          <w:szCs w:val="32"/>
        </w:rPr>
      </w:pPr>
      <w:r>
        <w:rPr>
          <w:rFonts w:hint="eastAsia" w:ascii="仿宋_GB2312" w:eastAsia="仿宋_GB2312"/>
          <w:color w:val="auto"/>
          <w:sz w:val="32"/>
          <w:szCs w:val="32"/>
        </w:rPr>
        <w:t>本次绩效评价工作过程包括前期准备、组织实施、撰写评价报告三个阶段。</w:t>
      </w:r>
    </w:p>
    <w:p>
      <w:pPr>
        <w:spacing w:line="360" w:lineRule="auto"/>
        <w:ind w:firstLine="640"/>
        <w:rPr>
          <w:rFonts w:ascii="仿宋_GB2312" w:eastAsia="仿宋_GB2312"/>
          <w:color w:val="auto"/>
          <w:sz w:val="32"/>
        </w:rPr>
      </w:pPr>
      <w:r>
        <w:rPr>
          <w:rFonts w:hint="eastAsia" w:ascii="仿宋_GB2312" w:eastAsia="仿宋_GB2312"/>
          <w:color w:val="auto"/>
          <w:sz w:val="32"/>
        </w:rPr>
        <w:t>（1）前期准备</w:t>
      </w:r>
    </w:p>
    <w:p>
      <w:pPr>
        <w:spacing w:line="360" w:lineRule="auto"/>
        <w:ind w:firstLine="640"/>
        <w:rPr>
          <w:rFonts w:ascii="仿宋_GB2312" w:eastAsia="仿宋_GB2312"/>
          <w:color w:val="auto"/>
          <w:sz w:val="32"/>
          <w:szCs w:val="32"/>
        </w:rPr>
      </w:pPr>
      <w:r>
        <w:rPr>
          <w:rFonts w:hint="eastAsia" w:ascii="仿宋_GB2312" w:eastAsia="仿宋_GB2312"/>
          <w:color w:val="auto"/>
          <w:sz w:val="32"/>
          <w:szCs w:val="32"/>
        </w:rPr>
        <w:t>首先与项目负责人沟通，明确绩效评价的内容和范围。</w:t>
      </w:r>
      <w:r>
        <w:rPr>
          <w:rFonts w:hint="eastAsia" w:ascii="仿宋_GB2312" w:eastAsia="仿宋_GB2312"/>
          <w:color w:val="auto"/>
          <w:sz w:val="32"/>
          <w:szCs w:val="32"/>
          <w:lang w:eastAsia="zh-CN"/>
        </w:rPr>
        <w:t>二</w:t>
      </w:r>
      <w:r>
        <w:rPr>
          <w:rFonts w:hint="eastAsia" w:ascii="仿宋_GB2312" w:eastAsia="仿宋_GB2312"/>
          <w:color w:val="auto"/>
          <w:sz w:val="32"/>
          <w:szCs w:val="32"/>
        </w:rPr>
        <w:t>是通知各相关处室提供与之相关的资料，主要包括收集财务资料、部门职责、规划、项目管理、相关管理制度、资金使用等相关资料，为实施评价工作奠定了基础。</w:t>
      </w:r>
    </w:p>
    <w:p>
      <w:pPr>
        <w:spacing w:line="360" w:lineRule="auto"/>
        <w:ind w:firstLine="640"/>
        <w:rPr>
          <w:rFonts w:ascii="仿宋_GB2312" w:eastAsia="仿宋_GB2312"/>
          <w:color w:val="auto"/>
          <w:sz w:val="32"/>
          <w:szCs w:val="32"/>
        </w:rPr>
      </w:pPr>
      <w:r>
        <w:rPr>
          <w:rFonts w:hint="eastAsia" w:ascii="仿宋_GB2312" w:eastAsia="仿宋_GB2312"/>
          <w:color w:val="auto"/>
          <w:sz w:val="32"/>
        </w:rPr>
        <w:t>（2）</w:t>
      </w:r>
      <w:r>
        <w:rPr>
          <w:rFonts w:hint="eastAsia" w:ascii="仿宋_GB2312" w:eastAsia="仿宋_GB2312"/>
          <w:color w:val="auto"/>
          <w:sz w:val="32"/>
          <w:szCs w:val="32"/>
        </w:rPr>
        <w:t>组织实施</w:t>
      </w:r>
    </w:p>
    <w:p>
      <w:pPr>
        <w:spacing w:line="360" w:lineRule="auto"/>
        <w:ind w:firstLine="640"/>
        <w:rPr>
          <w:rFonts w:ascii="仿宋_GB2312" w:eastAsia="仿宋_GB2312"/>
          <w:color w:val="auto"/>
          <w:sz w:val="32"/>
          <w:szCs w:val="32"/>
        </w:rPr>
      </w:pPr>
      <w:r>
        <w:rPr>
          <w:rFonts w:hint="eastAsia" w:ascii="仿宋_GB2312" w:eastAsia="仿宋_GB2312"/>
          <w:color w:val="auto"/>
          <w:sz w:val="32"/>
          <w:szCs w:val="32"/>
        </w:rPr>
        <w:t>评价工作小组对所涉及该项目绩效目标的相关佐证材料进行收集、梳理。首先，对相关资料进行查阅并进行分析、核实，确保所提供数据和资料真实、可靠。其次，将项目资料按照评价体系指标分类，形成资料清单。再次，逐一梳理各文件内容，将存在的问题以批注形式予以说明，同时梳理资料过程中将项目资料依照资料清单顺序排序编码。最后，在与相关人员沟通过程中，直接对照资料清单核实，随时删除已核实的批注问题，即时更新备注信息，确保项目已提交及待补充的资料名称、实施流程、存在的问题及重点信息同时展现。</w:t>
      </w:r>
    </w:p>
    <w:p>
      <w:pPr>
        <w:spacing w:line="360" w:lineRule="auto"/>
        <w:ind w:firstLine="640"/>
        <w:rPr>
          <w:rFonts w:ascii="仿宋_GB2312" w:eastAsia="仿宋_GB2312"/>
          <w:color w:val="auto"/>
          <w:sz w:val="32"/>
          <w:szCs w:val="32"/>
        </w:rPr>
      </w:pPr>
      <w:r>
        <w:rPr>
          <w:rFonts w:hint="eastAsia" w:ascii="仿宋_GB2312" w:eastAsia="仿宋_GB2312"/>
          <w:color w:val="auto"/>
          <w:sz w:val="32"/>
          <w:szCs w:val="32"/>
        </w:rPr>
        <w:t>在自评过程中广泛征求意见，并按反馈意见对评价工作方案进行修改，进一步完善项目绩效评价方案。之后，小组成员根据收集的数据、资料进行核对、比较、计算，对项目的实施进行评分。</w:t>
      </w:r>
    </w:p>
    <w:p>
      <w:pPr>
        <w:spacing w:line="360" w:lineRule="auto"/>
        <w:ind w:firstLine="640"/>
        <w:rPr>
          <w:rFonts w:ascii="仿宋_GB2312" w:eastAsia="仿宋_GB2312"/>
          <w:color w:val="auto"/>
          <w:sz w:val="32"/>
          <w:szCs w:val="32"/>
        </w:rPr>
      </w:pPr>
      <w:r>
        <w:rPr>
          <w:rFonts w:hint="eastAsia" w:ascii="仿宋_GB2312" w:eastAsia="仿宋_GB2312"/>
          <w:color w:val="auto"/>
          <w:sz w:val="32"/>
        </w:rPr>
        <w:t>（3）</w:t>
      </w:r>
      <w:r>
        <w:rPr>
          <w:rFonts w:hint="eastAsia" w:ascii="仿宋_GB2312" w:hAnsi="宋体" w:eastAsia="仿宋_GB2312" w:cs="Times New Roman"/>
          <w:color w:val="auto"/>
          <w:sz w:val="32"/>
          <w:szCs w:val="32"/>
          <w:u w:color="000000"/>
        </w:rPr>
        <w:t>撰写绩效评价报告</w:t>
      </w:r>
    </w:p>
    <w:p>
      <w:pPr>
        <w:spacing w:line="360" w:lineRule="auto"/>
        <w:ind w:firstLine="640"/>
        <w:rPr>
          <w:rFonts w:hint="eastAsia" w:ascii="仿宋" w:hAnsi="仿宋" w:eastAsia="仿宋" w:cs="楷体_GB2312"/>
          <w:b/>
          <w:bCs/>
          <w:color w:val="auto"/>
          <w:sz w:val="32"/>
          <w:szCs w:val="32"/>
        </w:rPr>
      </w:pPr>
      <w:r>
        <w:rPr>
          <w:rFonts w:hint="eastAsia" w:ascii="仿宋_GB2312" w:eastAsia="仿宋_GB2312"/>
          <w:color w:val="auto"/>
          <w:sz w:val="32"/>
          <w:szCs w:val="32"/>
        </w:rPr>
        <w:t>根据项目评价结果，</w:t>
      </w:r>
      <w:r>
        <w:rPr>
          <w:rFonts w:hint="eastAsia" w:ascii="仿宋_GB2312" w:hAnsi="宋体" w:eastAsia="仿宋_GB2312" w:cs="Times New Roman"/>
          <w:color w:val="auto"/>
          <w:sz w:val="32"/>
          <w:szCs w:val="32"/>
          <w:u w:color="000000"/>
        </w:rPr>
        <w:t>撰写绩效评价报告，</w:t>
      </w:r>
      <w:r>
        <w:rPr>
          <w:rFonts w:hint="eastAsia" w:ascii="仿宋_GB2312" w:eastAsia="仿宋_GB2312"/>
          <w:color w:val="auto"/>
          <w:sz w:val="32"/>
          <w:szCs w:val="32"/>
        </w:rPr>
        <w:t>并形成绩效评价档案。</w:t>
      </w:r>
    </w:p>
    <w:p>
      <w:pPr>
        <w:widowControl w:val="0"/>
        <w:wordWrap/>
        <w:spacing w:line="560" w:lineRule="exact"/>
        <w:ind w:left="0" w:leftChars="0" w:right="0"/>
        <w:textAlignment w:val="auto"/>
        <w:outlineLvl w:val="9"/>
        <w:rPr>
          <w:rFonts w:hint="eastAsia" w:ascii="黑体" w:hAnsi="黑体" w:eastAsia="黑体"/>
          <w:b/>
          <w:bCs/>
          <w:color w:val="auto"/>
          <w:sz w:val="32"/>
          <w:szCs w:val="32"/>
          <w:lang w:eastAsia="zh-CN"/>
        </w:rPr>
      </w:pPr>
      <w:r>
        <w:rPr>
          <w:rFonts w:hint="eastAsia" w:ascii="仿宋" w:hAnsi="仿宋" w:eastAsia="仿宋" w:cs="楷体_GB2312"/>
          <w:b/>
          <w:bCs/>
          <w:color w:val="auto"/>
          <w:sz w:val="32"/>
          <w:szCs w:val="32"/>
        </w:rPr>
        <w:t xml:space="preserve">    </w:t>
      </w:r>
      <w:r>
        <w:rPr>
          <w:rFonts w:hint="eastAsia" w:ascii="仿宋" w:hAnsi="仿宋" w:eastAsia="仿宋"/>
          <w:b/>
          <w:bCs/>
          <w:color w:val="auto"/>
          <w:sz w:val="32"/>
          <w:szCs w:val="32"/>
        </w:rPr>
        <w:t xml:space="preserve"> </w:t>
      </w:r>
      <w:r>
        <w:rPr>
          <w:rFonts w:hint="eastAsia" w:ascii="黑体" w:hAnsi="黑体" w:eastAsia="黑体"/>
          <w:color w:val="auto"/>
          <w:sz w:val="32"/>
          <w:szCs w:val="32"/>
        </w:rPr>
        <w:t>三、</w:t>
      </w:r>
      <w:r>
        <w:rPr>
          <w:rFonts w:hint="eastAsia" w:ascii="黑体" w:hAnsi="黑体" w:eastAsia="黑体"/>
          <w:color w:val="auto"/>
          <w:sz w:val="32"/>
          <w:szCs w:val="32"/>
          <w:lang w:eastAsia="zh-CN"/>
        </w:rPr>
        <w:t>部门整体支出</w:t>
      </w:r>
      <w:r>
        <w:rPr>
          <w:rFonts w:hint="eastAsia" w:ascii="黑体" w:hAnsi="黑体" w:eastAsia="黑体"/>
          <w:color w:val="auto"/>
          <w:sz w:val="32"/>
          <w:szCs w:val="32"/>
        </w:rPr>
        <w:t>绩效</w:t>
      </w:r>
      <w:r>
        <w:rPr>
          <w:rFonts w:hint="eastAsia" w:ascii="黑体" w:hAnsi="黑体" w:eastAsia="黑体"/>
          <w:color w:val="auto"/>
          <w:sz w:val="32"/>
          <w:szCs w:val="32"/>
          <w:lang w:eastAsia="zh-CN"/>
        </w:rPr>
        <w:t>目标实现情况及指标分析</w:t>
      </w:r>
    </w:p>
    <w:p>
      <w:pPr>
        <w:widowControl w:val="0"/>
        <w:numPr>
          <w:ilvl w:val="0"/>
          <w:numId w:val="3"/>
        </w:numPr>
        <w:wordWrap/>
        <w:spacing w:line="560" w:lineRule="exact"/>
        <w:ind w:left="0" w:leftChars="0" w:right="0" w:firstLine="643" w:firstLineChars="200"/>
        <w:textAlignment w:val="auto"/>
        <w:outlineLvl w:val="9"/>
        <w:rPr>
          <w:rFonts w:hint="eastAsia" w:ascii="仿宋" w:hAnsi="仿宋" w:eastAsia="仿宋"/>
          <w:color w:val="auto"/>
          <w:sz w:val="32"/>
          <w:szCs w:val="32"/>
          <w:lang w:eastAsia="zh-CN"/>
        </w:rPr>
      </w:pPr>
      <w:r>
        <w:rPr>
          <w:rFonts w:hint="eastAsia" w:ascii="仿宋" w:hAnsi="仿宋" w:eastAsia="仿宋" w:cs="楷体_GB2312"/>
          <w:b/>
          <w:bCs/>
          <w:color w:val="auto"/>
          <w:sz w:val="32"/>
          <w:szCs w:val="32"/>
          <w:lang w:eastAsia="zh-CN"/>
        </w:rPr>
        <w:t>总体绩效目标实现情况</w:t>
      </w:r>
    </w:p>
    <w:p>
      <w:pPr>
        <w:spacing w:line="360" w:lineRule="auto"/>
        <w:ind w:firstLine="640"/>
        <w:rPr>
          <w:rFonts w:hint="eastAsia" w:ascii="仿宋_GB2312" w:eastAsia="仿宋_GB2312"/>
          <w:color w:val="auto"/>
          <w:sz w:val="32"/>
          <w:szCs w:val="32"/>
        </w:rPr>
      </w:pPr>
      <w:r>
        <w:rPr>
          <w:rFonts w:hint="eastAsia" w:ascii="仿宋_GB2312" w:eastAsia="仿宋_GB2312"/>
          <w:color w:val="auto"/>
          <w:sz w:val="32"/>
          <w:szCs w:val="32"/>
        </w:rPr>
        <w:t>深入贯彻落实中央网信委、省委网信委和市委网信委有关会议精神，不忘初心、牢记使命，准确把握网信工作面临的新形势新任务，统筹推进全市网络安全和信息化建设，全面提高网络综合治理能力，构建网上网下同心圆。开展网络安全宣传周活动1次，组织全市网信系统培训1次，加强与重点新闻网站和商业网站主题宣传合作，开设宣传专题专栏，</w:t>
      </w:r>
      <w:r>
        <w:rPr>
          <w:rFonts w:hint="eastAsia" w:ascii="仿宋_GB2312" w:eastAsia="仿宋_GB2312"/>
          <w:color w:val="auto"/>
          <w:sz w:val="32"/>
          <w:szCs w:val="32"/>
          <w:lang w:eastAsia="zh-CN"/>
        </w:rPr>
        <w:t>进行#现代化国际化美丽石家庄#话题互动宣传，开展“我为建设现代化国际化美丽省会城市献一计”网络民意征集活动，举办“发现石家庄之美”网络主题推介活动和“美丽石家庄”系列网络评选活动，打造“城市名片”，</w:t>
      </w:r>
      <w:r>
        <w:rPr>
          <w:rFonts w:hint="eastAsia" w:ascii="仿宋_GB2312" w:eastAsia="仿宋_GB2312"/>
          <w:color w:val="auto"/>
          <w:sz w:val="32"/>
          <w:szCs w:val="32"/>
        </w:rPr>
        <w:t>积极开展网络社会公益活动。</w:t>
      </w:r>
    </w:p>
    <w:p>
      <w:pPr>
        <w:widowControl w:val="0"/>
        <w:wordWrap/>
        <w:spacing w:line="560" w:lineRule="exact"/>
        <w:ind w:left="0" w:leftChars="0" w:right="0"/>
        <w:textAlignment w:val="auto"/>
        <w:outlineLvl w:val="9"/>
        <w:rPr>
          <w:rFonts w:hint="eastAsia" w:ascii="仿宋" w:hAnsi="仿宋" w:eastAsia="仿宋"/>
          <w:b/>
          <w:bCs/>
          <w:color w:val="auto"/>
          <w:sz w:val="32"/>
          <w:szCs w:val="32"/>
          <w:lang w:eastAsia="zh-CN"/>
        </w:rPr>
      </w:pPr>
      <w:r>
        <w:rPr>
          <w:rFonts w:hint="eastAsia" w:ascii="仿宋" w:hAnsi="仿宋" w:eastAsia="仿宋"/>
          <w:b/>
          <w:bCs/>
          <w:color w:val="auto"/>
          <w:sz w:val="32"/>
          <w:szCs w:val="32"/>
        </w:rPr>
        <w:t xml:space="preserve">   </w:t>
      </w:r>
      <w:r>
        <w:rPr>
          <w:rFonts w:hint="eastAsia" w:ascii="仿宋" w:hAnsi="仿宋" w:eastAsia="仿宋" w:cs="楷体_GB2312"/>
          <w:b/>
          <w:bCs/>
          <w:color w:val="auto"/>
          <w:sz w:val="32"/>
          <w:szCs w:val="32"/>
        </w:rPr>
        <w:t xml:space="preserve"> （二）</w:t>
      </w:r>
      <w:r>
        <w:rPr>
          <w:rFonts w:hint="eastAsia" w:ascii="仿宋" w:hAnsi="仿宋" w:eastAsia="仿宋" w:cs="楷体_GB2312"/>
          <w:b/>
          <w:bCs/>
          <w:color w:val="auto"/>
          <w:sz w:val="32"/>
          <w:szCs w:val="32"/>
          <w:lang w:eastAsia="zh-CN"/>
        </w:rPr>
        <w:t>分项绩效目标实现情况及指标分析</w:t>
      </w:r>
    </w:p>
    <w:p>
      <w:pPr>
        <w:spacing w:line="600" w:lineRule="exact"/>
        <w:ind w:firstLine="640" w:firstLineChars="200"/>
        <w:jc w:val="both"/>
        <w:rPr>
          <w:rFonts w:hint="eastAsia" w:ascii="仿宋_GB2312" w:hAnsi="仿宋_GB2312" w:eastAsia="楷体_GB2312" w:cs="仿宋_GB2312"/>
          <w:color w:val="auto"/>
          <w:sz w:val="32"/>
          <w:szCs w:val="32"/>
          <w:lang w:eastAsia="zh-CN"/>
        </w:rPr>
      </w:pPr>
      <w:r>
        <w:rPr>
          <w:rFonts w:hint="eastAsia" w:ascii="楷体_GB2312" w:hAnsi="楷体_GB2312" w:eastAsia="楷体_GB2312" w:cs="楷体_GB2312"/>
          <w:color w:val="auto"/>
          <w:sz w:val="32"/>
          <w:szCs w:val="32"/>
        </w:rPr>
        <w:t>（</w:t>
      </w:r>
      <w:r>
        <w:rPr>
          <w:rFonts w:hint="eastAsia" w:ascii="楷体_GB2312" w:hAnsi="楷体_GB2312" w:eastAsia="楷体_GB2312" w:cs="楷体_GB2312"/>
          <w:color w:val="auto"/>
          <w:sz w:val="32"/>
          <w:szCs w:val="32"/>
          <w:lang w:val="en-US" w:eastAsia="zh-CN"/>
        </w:rPr>
        <w:t>1</w:t>
      </w:r>
      <w:r>
        <w:rPr>
          <w:rFonts w:hint="eastAsia" w:ascii="楷体_GB2312" w:hAnsi="楷体_GB2312" w:eastAsia="楷体_GB2312" w:cs="楷体_GB2312"/>
          <w:color w:val="auto"/>
          <w:sz w:val="32"/>
          <w:szCs w:val="32"/>
        </w:rPr>
        <w:t>）增强网络安全整体保障能力</w:t>
      </w:r>
      <w:r>
        <w:rPr>
          <w:rFonts w:hint="eastAsia" w:ascii="楷体_GB2312" w:hAnsi="楷体_GB2312" w:eastAsia="楷体_GB2312" w:cs="楷体_GB2312"/>
          <w:color w:val="auto"/>
          <w:sz w:val="32"/>
          <w:szCs w:val="32"/>
          <w:lang w:eastAsia="zh-CN"/>
        </w:rPr>
        <w:t>（</w:t>
      </w:r>
      <w:r>
        <w:rPr>
          <w:rFonts w:hint="eastAsia" w:ascii="楷体_GB2312" w:hAnsi="楷体_GB2312" w:eastAsia="楷体_GB2312" w:cs="楷体_GB2312"/>
          <w:color w:val="auto"/>
          <w:sz w:val="32"/>
          <w:szCs w:val="32"/>
          <w:lang w:val="en-US" w:eastAsia="zh-CN"/>
        </w:rPr>
        <w:t>30分</w:t>
      </w:r>
      <w:r>
        <w:rPr>
          <w:rFonts w:hint="eastAsia" w:ascii="楷体_GB2312" w:hAnsi="楷体_GB2312" w:eastAsia="楷体_GB2312" w:cs="楷体_GB2312"/>
          <w:color w:val="auto"/>
          <w:sz w:val="32"/>
          <w:szCs w:val="32"/>
          <w:lang w:eastAsia="zh-CN"/>
        </w:rPr>
        <w:t>）</w:t>
      </w:r>
    </w:p>
    <w:p>
      <w:pPr>
        <w:spacing w:line="360" w:lineRule="auto"/>
        <w:ind w:firstLine="640"/>
        <w:rPr>
          <w:rFonts w:hint="eastAsia" w:ascii="仿宋_GB2312" w:eastAsia="仿宋_GB2312"/>
          <w:color w:val="auto"/>
          <w:sz w:val="32"/>
          <w:szCs w:val="32"/>
        </w:rPr>
      </w:pPr>
      <w:r>
        <w:rPr>
          <w:rFonts w:hint="eastAsia" w:ascii="仿宋_GB2312" w:eastAsia="仿宋_GB2312"/>
          <w:color w:val="auto"/>
          <w:sz w:val="32"/>
          <w:szCs w:val="32"/>
        </w:rPr>
        <w:t>绩效目标：网络安全工作责任制进一步落实，网络安全工作体制机制逐步完善，网络安全支撑力量不断拓展，网络安全基础工作更加扎实，网络安全防护能力有效提升。全市属地网站和自媒体基础管理进一步规范，网信队伍建设水平进一步提升。</w:t>
      </w:r>
    </w:p>
    <w:p>
      <w:pPr>
        <w:spacing w:line="360" w:lineRule="auto"/>
        <w:ind w:firstLine="640"/>
        <w:rPr>
          <w:rFonts w:hint="eastAsia" w:ascii="仿宋_GB2312" w:eastAsia="仿宋_GB2312"/>
          <w:color w:val="auto"/>
          <w:sz w:val="32"/>
          <w:szCs w:val="32"/>
        </w:rPr>
      </w:pPr>
      <w:r>
        <w:rPr>
          <w:rFonts w:hint="eastAsia" w:ascii="仿宋_GB2312" w:eastAsia="仿宋_GB2312"/>
          <w:color w:val="auto"/>
          <w:sz w:val="32"/>
          <w:szCs w:val="32"/>
        </w:rPr>
        <w:t>绩效指标：统筹网络安全，加强党政机关网络平台及关键信息基础设施网络安全监测和预警，组织全市网信系统培训1次。</w:t>
      </w:r>
    </w:p>
    <w:p>
      <w:pPr>
        <w:spacing w:line="360" w:lineRule="auto"/>
        <w:ind w:firstLine="640" w:firstLineChars="200"/>
        <w:rPr>
          <w:rFonts w:hint="default" w:ascii="仿宋_GB2312" w:eastAsia="仿宋_GB2312"/>
          <w:color w:val="auto"/>
          <w:sz w:val="32"/>
          <w:szCs w:val="32"/>
          <w:lang w:val="en-US" w:eastAsia="zh-CN"/>
        </w:rPr>
      </w:pPr>
      <w:r>
        <w:rPr>
          <w:rFonts w:hint="eastAsia" w:ascii="仿宋_GB2312" w:eastAsia="仿宋_GB2312"/>
          <w:color w:val="auto"/>
          <w:sz w:val="32"/>
          <w:szCs w:val="32"/>
          <w:lang w:eastAsia="zh-CN"/>
        </w:rPr>
        <w:t>完成情况：</w:t>
      </w:r>
      <w:r>
        <w:rPr>
          <w:rFonts w:hint="eastAsia" w:ascii="仿宋_GB2312" w:eastAsia="仿宋_GB2312"/>
          <w:color w:val="auto"/>
          <w:sz w:val="32"/>
          <w:szCs w:val="32"/>
          <w:lang w:val="en-US" w:eastAsia="zh-CN"/>
        </w:rPr>
        <w:t>对全市重点网站及信息系统开展网络安全监测；提供了网络安全威胁情报，发现处置多起网页篡改事件；组建了石家庄市网络安全专家库，并召开了专家会议；协助开展了覆盖所有县（市、区）和重点部门等网络安全检查，对检查出的网络安全漏洞、管理问题进行处置，开展了数据安全事件监测，仍有部分尾款因服务期限未满未能结清，尾款依据合同于2022年拨付。共</w:t>
      </w:r>
      <w:r>
        <w:rPr>
          <w:rFonts w:hint="eastAsia" w:ascii="仿宋_GB2312" w:eastAsia="仿宋_GB2312"/>
          <w:color w:val="auto"/>
          <w:sz w:val="32"/>
          <w:szCs w:val="32"/>
        </w:rPr>
        <w:t>得分</w:t>
      </w:r>
      <w:r>
        <w:rPr>
          <w:rFonts w:hint="eastAsia" w:ascii="仿宋_GB2312" w:eastAsia="仿宋_GB2312"/>
          <w:color w:val="auto"/>
          <w:sz w:val="32"/>
          <w:szCs w:val="32"/>
          <w:lang w:val="en-US" w:eastAsia="zh-CN"/>
        </w:rPr>
        <w:t>29</w:t>
      </w:r>
      <w:r>
        <w:rPr>
          <w:rFonts w:hint="eastAsia" w:ascii="仿宋_GB2312" w:eastAsia="仿宋_GB2312"/>
          <w:color w:val="auto"/>
          <w:sz w:val="32"/>
          <w:szCs w:val="32"/>
        </w:rPr>
        <w:t>分</w:t>
      </w:r>
      <w:r>
        <w:rPr>
          <w:rFonts w:hint="eastAsia" w:ascii="仿宋_GB2312" w:eastAsia="仿宋_GB2312"/>
          <w:color w:val="auto"/>
          <w:sz w:val="32"/>
          <w:szCs w:val="32"/>
          <w:lang w:eastAsia="zh-CN"/>
        </w:rPr>
        <w:t>。</w:t>
      </w:r>
    </w:p>
    <w:p>
      <w:pPr>
        <w:spacing w:line="600" w:lineRule="exact"/>
        <w:ind w:firstLine="640" w:firstLineChars="200"/>
        <w:jc w:val="both"/>
        <w:rPr>
          <w:rFonts w:hint="eastAsia" w:ascii="楷体_GB2312" w:hAnsi="楷体_GB2312" w:eastAsia="楷体_GB2312" w:cs="楷体_GB2312"/>
          <w:color w:val="auto"/>
          <w:sz w:val="32"/>
          <w:szCs w:val="32"/>
        </w:rPr>
      </w:pPr>
      <w:r>
        <w:rPr>
          <w:rFonts w:hint="eastAsia" w:ascii="楷体_GB2312" w:hAnsi="楷体_GB2312" w:eastAsia="楷体_GB2312" w:cs="楷体_GB2312"/>
          <w:color w:val="auto"/>
          <w:sz w:val="32"/>
          <w:szCs w:val="32"/>
        </w:rPr>
        <w:t>（</w:t>
      </w:r>
      <w:r>
        <w:rPr>
          <w:rFonts w:hint="eastAsia" w:ascii="楷体_GB2312" w:hAnsi="楷体_GB2312" w:eastAsia="楷体_GB2312" w:cs="楷体_GB2312"/>
          <w:color w:val="auto"/>
          <w:sz w:val="32"/>
          <w:szCs w:val="32"/>
          <w:lang w:val="en-US" w:eastAsia="zh-CN"/>
        </w:rPr>
        <w:t>2</w:t>
      </w:r>
      <w:r>
        <w:rPr>
          <w:rFonts w:hint="eastAsia" w:ascii="楷体_GB2312" w:hAnsi="楷体_GB2312" w:eastAsia="楷体_GB2312" w:cs="楷体_GB2312"/>
          <w:color w:val="auto"/>
          <w:sz w:val="32"/>
          <w:szCs w:val="32"/>
        </w:rPr>
        <w:t>）</w:t>
      </w:r>
      <w:r>
        <w:rPr>
          <w:rFonts w:hint="eastAsia" w:ascii="楷体_GB2312" w:hAnsi="楷体_GB2312" w:eastAsia="楷体_GB2312" w:cs="楷体_GB2312"/>
          <w:color w:val="auto"/>
          <w:sz w:val="32"/>
          <w:szCs w:val="32"/>
          <w:lang w:eastAsia="zh-CN"/>
        </w:rPr>
        <w:t>提升</w:t>
      </w:r>
      <w:r>
        <w:rPr>
          <w:rFonts w:hint="eastAsia" w:ascii="楷体_GB2312" w:hAnsi="楷体_GB2312" w:eastAsia="楷体_GB2312" w:cs="楷体_GB2312"/>
          <w:color w:val="auto"/>
          <w:sz w:val="32"/>
          <w:szCs w:val="32"/>
        </w:rPr>
        <w:t>互联网宣传管理效果</w:t>
      </w:r>
      <w:r>
        <w:rPr>
          <w:rFonts w:hint="eastAsia" w:ascii="楷体_GB2312" w:hAnsi="楷体_GB2312" w:eastAsia="楷体_GB2312" w:cs="楷体_GB2312"/>
          <w:color w:val="auto"/>
          <w:sz w:val="32"/>
          <w:szCs w:val="32"/>
          <w:lang w:eastAsia="zh-CN"/>
        </w:rPr>
        <w:t>（</w:t>
      </w:r>
      <w:r>
        <w:rPr>
          <w:rFonts w:hint="eastAsia" w:ascii="楷体_GB2312" w:hAnsi="楷体_GB2312" w:eastAsia="楷体_GB2312" w:cs="楷体_GB2312"/>
          <w:color w:val="auto"/>
          <w:sz w:val="32"/>
          <w:szCs w:val="32"/>
          <w:lang w:val="en-US" w:eastAsia="zh-CN"/>
        </w:rPr>
        <w:t>35分</w:t>
      </w:r>
      <w:r>
        <w:rPr>
          <w:rFonts w:hint="eastAsia" w:ascii="楷体_GB2312" w:hAnsi="楷体_GB2312" w:eastAsia="楷体_GB2312" w:cs="楷体_GB2312"/>
          <w:color w:val="auto"/>
          <w:sz w:val="32"/>
          <w:szCs w:val="32"/>
          <w:lang w:eastAsia="zh-CN"/>
        </w:rPr>
        <w:t>）</w:t>
      </w:r>
    </w:p>
    <w:p>
      <w:pPr>
        <w:spacing w:line="360" w:lineRule="auto"/>
        <w:ind w:firstLine="640"/>
        <w:rPr>
          <w:rFonts w:hint="eastAsia" w:ascii="仿宋_GB2312" w:eastAsia="仿宋_GB2312"/>
          <w:color w:val="auto"/>
          <w:sz w:val="32"/>
          <w:szCs w:val="32"/>
        </w:rPr>
      </w:pPr>
      <w:r>
        <w:rPr>
          <w:rFonts w:hint="eastAsia" w:ascii="仿宋_GB2312" w:eastAsia="仿宋_GB2312"/>
          <w:color w:val="auto"/>
          <w:sz w:val="32"/>
          <w:szCs w:val="32"/>
        </w:rPr>
        <w:t>绩效目标：全市重大主题、重大典型和重大活动等互联网宣传教育活动效果进一步提升，网络综合治理效果进一步提升，网络社会公益活动有效开展，网络文化建设能力进一步加强。</w:t>
      </w:r>
    </w:p>
    <w:p>
      <w:pPr>
        <w:spacing w:line="360" w:lineRule="auto"/>
        <w:ind w:firstLine="640"/>
        <w:rPr>
          <w:rFonts w:hint="eastAsia" w:ascii="仿宋_GB2312" w:eastAsia="仿宋_GB2312"/>
          <w:color w:val="auto"/>
          <w:sz w:val="32"/>
          <w:szCs w:val="32"/>
        </w:rPr>
      </w:pPr>
      <w:r>
        <w:rPr>
          <w:rFonts w:hint="eastAsia" w:ascii="仿宋_GB2312" w:eastAsia="仿宋_GB2312"/>
          <w:color w:val="auto"/>
          <w:sz w:val="32"/>
          <w:szCs w:val="32"/>
        </w:rPr>
        <w:t>绩效指标：全市重大主题、重大典型和重大活动等互联网宣传教育活动有效开展，加强与重点新闻网站和商业网站开设专题专栏，形成网上舆论强势，唱响石家庄好声音。</w:t>
      </w:r>
    </w:p>
    <w:p>
      <w:pPr>
        <w:spacing w:line="360" w:lineRule="auto"/>
        <w:ind w:firstLine="640"/>
        <w:rPr>
          <w:rFonts w:hint="default" w:ascii="仿宋_GB2312" w:eastAsia="仿宋_GB2312"/>
          <w:color w:val="auto"/>
          <w:sz w:val="32"/>
          <w:szCs w:val="32"/>
          <w:lang w:val="en-US" w:eastAsia="zh-CN"/>
        </w:rPr>
      </w:pPr>
      <w:r>
        <w:rPr>
          <w:rFonts w:hint="eastAsia" w:ascii="仿宋_GB2312" w:eastAsia="仿宋_GB2312"/>
          <w:color w:val="auto"/>
          <w:sz w:val="32"/>
          <w:szCs w:val="32"/>
          <w:lang w:eastAsia="zh-CN"/>
        </w:rPr>
        <w:t>完成情况：做好2021年互联网传播精品扶持工作，为</w:t>
      </w:r>
      <w:r>
        <w:rPr>
          <w:rFonts w:hint="eastAsia" w:ascii="仿宋_GB2312" w:eastAsia="仿宋_GB2312"/>
          <w:color w:val="auto"/>
          <w:sz w:val="32"/>
          <w:szCs w:val="32"/>
          <w:lang w:val="en-US" w:eastAsia="zh-CN"/>
        </w:rPr>
        <w:t>29个单位及新闻网站给予资金支出，持续做好“发现石家庄之美”宣传活动和“美丽石家庄”网络评选活动，加强与重点新闻网站的联络。积极看展互联网行业党建工作，购买图书资料，举办党日活动。成功组织“网聚石家庄 喜看新变化”活动。积极看展“我为建设美丽省会献一计”网络民意征集活动。筹建互联网信息内容执法管理实训基地，三大运营商的专线服务、云视频会议系统、保密设备的采购等工作内容。</w:t>
      </w:r>
      <w:r>
        <w:rPr>
          <w:rFonts w:hint="eastAsia" w:ascii="仿宋_GB2312" w:hAnsi="仿宋_GB2312" w:eastAsia="仿宋_GB2312" w:cs="仿宋_GB2312"/>
          <w:b w:val="0"/>
          <w:bCs w:val="0"/>
          <w:color w:val="auto"/>
          <w:kern w:val="0"/>
          <w:sz w:val="32"/>
          <w:szCs w:val="32"/>
          <w:lang w:val="en-US" w:eastAsia="zh-CN"/>
        </w:rPr>
        <w:t>与重点新闻网站开展主题宣传合作，开设专题专栏，聚合正能量图文、音视频稿件；围绕市委、市政府中心工作，组织开展“网聚石家庄 触摸新发展”重点网络媒体行以及形式多样的网络宣传活动；面向全市征集在我市和全国、全省产生较大传播影响的网络传播产品，经过作品初评、专家评审、公示等，评选出重点支持和引导支持作品，给予鼓励和扶持；开展“我爱石家庄”“石家庄好网民”“文化石家庄”等话题宣传、专题宣传，引导广大网民传播网络正能量；开展优秀新媒体作品征集展示活动，引导全市自媒体、广大网民参与网络文明内容创作和传播，生产更多优质新媒体传播作品。加强“新媒体实践创新基地”建设，面向广大网友特别是青少年开展网络素养线上线下教育培训</w:t>
      </w:r>
      <w:r>
        <w:rPr>
          <w:rFonts w:hint="eastAsia" w:ascii="仿宋_GB2312" w:eastAsia="仿宋_GB2312"/>
          <w:color w:val="auto"/>
          <w:sz w:val="32"/>
          <w:szCs w:val="32"/>
          <w:lang w:val="en-US" w:eastAsia="zh-CN"/>
        </w:rPr>
        <w:t>。共得分34分。</w:t>
      </w:r>
    </w:p>
    <w:p>
      <w:pPr>
        <w:spacing w:line="600" w:lineRule="exact"/>
        <w:ind w:firstLine="640" w:firstLineChars="200"/>
        <w:jc w:val="both"/>
        <w:rPr>
          <w:rFonts w:hint="eastAsia" w:ascii="楷体_GB2312" w:hAnsi="楷体_GB2312" w:eastAsia="楷体_GB2312" w:cs="楷体_GB2312"/>
          <w:color w:val="auto"/>
          <w:sz w:val="32"/>
          <w:szCs w:val="32"/>
        </w:rPr>
      </w:pPr>
      <w:r>
        <w:rPr>
          <w:rFonts w:hint="eastAsia" w:ascii="楷体_GB2312" w:hAnsi="楷体_GB2312" w:eastAsia="楷体_GB2312" w:cs="楷体_GB2312"/>
          <w:color w:val="auto"/>
          <w:sz w:val="32"/>
          <w:szCs w:val="32"/>
        </w:rPr>
        <w:t>（</w:t>
      </w:r>
      <w:r>
        <w:rPr>
          <w:rFonts w:hint="eastAsia" w:ascii="楷体_GB2312" w:hAnsi="楷体_GB2312" w:eastAsia="楷体_GB2312" w:cs="楷体_GB2312"/>
          <w:color w:val="auto"/>
          <w:sz w:val="32"/>
          <w:szCs w:val="32"/>
          <w:lang w:val="en-US" w:eastAsia="zh-CN"/>
        </w:rPr>
        <w:t>3</w:t>
      </w:r>
      <w:r>
        <w:rPr>
          <w:rFonts w:hint="eastAsia" w:ascii="楷体_GB2312" w:hAnsi="楷体_GB2312" w:eastAsia="楷体_GB2312" w:cs="楷体_GB2312"/>
          <w:color w:val="auto"/>
          <w:sz w:val="32"/>
          <w:szCs w:val="32"/>
        </w:rPr>
        <w:t>）</w:t>
      </w:r>
      <w:r>
        <w:rPr>
          <w:rFonts w:hint="eastAsia" w:ascii="楷体_GB2312" w:hAnsi="楷体_GB2312" w:eastAsia="楷体_GB2312" w:cs="楷体_GB2312"/>
          <w:color w:val="auto"/>
          <w:sz w:val="32"/>
          <w:szCs w:val="32"/>
          <w:lang w:eastAsia="zh-CN"/>
        </w:rPr>
        <w:t>提高</w:t>
      </w:r>
      <w:r>
        <w:rPr>
          <w:rFonts w:hint="eastAsia" w:ascii="楷体_GB2312" w:hAnsi="楷体_GB2312" w:eastAsia="楷体_GB2312" w:cs="楷体_GB2312"/>
          <w:color w:val="auto"/>
          <w:sz w:val="32"/>
          <w:szCs w:val="32"/>
        </w:rPr>
        <w:t>网络舆情监测应对能力</w:t>
      </w:r>
      <w:r>
        <w:rPr>
          <w:rFonts w:hint="eastAsia" w:ascii="楷体_GB2312" w:hAnsi="楷体_GB2312" w:eastAsia="楷体_GB2312" w:cs="楷体_GB2312"/>
          <w:color w:val="auto"/>
          <w:sz w:val="32"/>
          <w:szCs w:val="32"/>
          <w:lang w:eastAsia="zh-CN"/>
        </w:rPr>
        <w:t>（</w:t>
      </w:r>
      <w:r>
        <w:rPr>
          <w:rFonts w:hint="eastAsia" w:ascii="楷体_GB2312" w:hAnsi="楷体_GB2312" w:eastAsia="楷体_GB2312" w:cs="楷体_GB2312"/>
          <w:color w:val="auto"/>
          <w:sz w:val="32"/>
          <w:szCs w:val="32"/>
          <w:lang w:val="en-US" w:eastAsia="zh-CN"/>
        </w:rPr>
        <w:t>35分</w:t>
      </w:r>
      <w:r>
        <w:rPr>
          <w:rFonts w:hint="eastAsia" w:ascii="楷体_GB2312" w:hAnsi="楷体_GB2312" w:eastAsia="楷体_GB2312" w:cs="楷体_GB2312"/>
          <w:color w:val="auto"/>
          <w:sz w:val="32"/>
          <w:szCs w:val="32"/>
          <w:lang w:eastAsia="zh-CN"/>
        </w:rPr>
        <w:t>）</w:t>
      </w:r>
    </w:p>
    <w:p>
      <w:pPr>
        <w:spacing w:line="360" w:lineRule="auto"/>
        <w:ind w:firstLine="640"/>
        <w:rPr>
          <w:rFonts w:hint="eastAsia" w:ascii="仿宋_GB2312" w:eastAsia="仿宋_GB2312"/>
          <w:color w:val="auto"/>
          <w:sz w:val="32"/>
          <w:szCs w:val="32"/>
          <w:lang w:eastAsia="zh-CN"/>
        </w:rPr>
      </w:pPr>
      <w:r>
        <w:rPr>
          <w:rFonts w:hint="eastAsia" w:ascii="仿宋_GB2312" w:eastAsia="仿宋_GB2312"/>
          <w:color w:val="auto"/>
          <w:sz w:val="32"/>
          <w:szCs w:val="32"/>
        </w:rPr>
        <w:t>绩效目标：切实提升网络舆情监测和应急处置能力</w:t>
      </w:r>
      <w:r>
        <w:rPr>
          <w:rFonts w:hint="eastAsia" w:ascii="仿宋_GB2312" w:eastAsia="仿宋_GB2312"/>
          <w:color w:val="auto"/>
          <w:sz w:val="32"/>
          <w:szCs w:val="32"/>
          <w:lang w:eastAsia="zh-CN"/>
        </w:rPr>
        <w:t>。</w:t>
      </w:r>
    </w:p>
    <w:p>
      <w:pPr>
        <w:spacing w:line="360" w:lineRule="auto"/>
        <w:ind w:firstLine="640" w:firstLineChars="200"/>
        <w:rPr>
          <w:rFonts w:hint="default" w:ascii="仿宋_GB2312" w:eastAsia="仿宋_GB2312"/>
          <w:color w:val="auto"/>
          <w:sz w:val="32"/>
          <w:szCs w:val="32"/>
          <w:lang w:val="en-US" w:eastAsia="zh-CN"/>
        </w:rPr>
      </w:pPr>
      <w:r>
        <w:rPr>
          <w:rFonts w:hint="eastAsia" w:ascii="仿宋_GB2312" w:eastAsia="仿宋_GB2312"/>
          <w:color w:val="auto"/>
          <w:sz w:val="32"/>
          <w:szCs w:val="32"/>
          <w:lang w:eastAsia="zh-CN"/>
        </w:rPr>
        <w:t>完成情况：</w:t>
      </w:r>
      <w:r>
        <w:rPr>
          <w:rFonts w:hint="eastAsia" w:ascii="仿宋_GB2312" w:eastAsia="仿宋_GB2312"/>
          <w:color w:val="auto"/>
          <w:sz w:val="32"/>
          <w:szCs w:val="32"/>
          <w:lang w:val="en-US" w:eastAsia="zh-CN"/>
        </w:rPr>
        <w:t>仍有部分尾款因服务期限未满未能结清，尾款依据合同于2022年拨付。</w:t>
      </w:r>
      <w:r>
        <w:rPr>
          <w:rFonts w:hint="eastAsia" w:ascii="仿宋_GB2312" w:eastAsia="仿宋_GB2312"/>
          <w:color w:val="auto"/>
          <w:sz w:val="32"/>
          <w:szCs w:val="32"/>
        </w:rPr>
        <w:t>得分</w:t>
      </w:r>
      <w:r>
        <w:rPr>
          <w:rFonts w:hint="eastAsia" w:ascii="仿宋_GB2312" w:eastAsia="仿宋_GB2312"/>
          <w:color w:val="auto"/>
          <w:sz w:val="32"/>
          <w:szCs w:val="32"/>
          <w:lang w:val="en-US" w:eastAsia="zh-CN"/>
        </w:rPr>
        <w:t>32</w:t>
      </w:r>
      <w:r>
        <w:rPr>
          <w:rFonts w:hint="eastAsia" w:ascii="仿宋_GB2312" w:eastAsia="仿宋_GB2312"/>
          <w:color w:val="auto"/>
          <w:sz w:val="32"/>
          <w:szCs w:val="32"/>
        </w:rPr>
        <w:t>分</w:t>
      </w:r>
      <w:r>
        <w:rPr>
          <w:rFonts w:hint="eastAsia" w:ascii="仿宋_GB2312" w:eastAsia="仿宋_GB2312"/>
          <w:color w:val="auto"/>
          <w:sz w:val="32"/>
          <w:szCs w:val="32"/>
          <w:lang w:eastAsia="zh-CN"/>
        </w:rPr>
        <w:t>。</w:t>
      </w:r>
    </w:p>
    <w:p>
      <w:pPr>
        <w:widowControl w:val="0"/>
        <w:wordWrap/>
        <w:spacing w:line="560" w:lineRule="exact"/>
        <w:ind w:left="0" w:leftChars="0" w:right="0" w:firstLine="640" w:firstLineChars="200"/>
        <w:textAlignment w:val="auto"/>
        <w:outlineLvl w:val="9"/>
        <w:rPr>
          <w:rFonts w:ascii="黑体" w:hAnsi="黑体" w:eastAsia="黑体"/>
          <w:color w:val="auto"/>
          <w:sz w:val="32"/>
          <w:szCs w:val="32"/>
        </w:rPr>
      </w:pPr>
      <w:r>
        <w:rPr>
          <w:rFonts w:hint="eastAsia" w:ascii="黑体" w:hAnsi="黑体" w:eastAsia="黑体"/>
          <w:color w:val="auto"/>
          <w:sz w:val="32"/>
          <w:szCs w:val="32"/>
        </w:rPr>
        <w:t>四、评价结论和评价等级</w:t>
      </w:r>
    </w:p>
    <w:p>
      <w:pPr>
        <w:widowControl w:val="0"/>
        <w:wordWrap/>
        <w:spacing w:line="560" w:lineRule="exact"/>
        <w:ind w:left="0" w:leftChars="0" w:right="0" w:firstLine="640" w:firstLineChars="200"/>
        <w:textAlignment w:val="auto"/>
        <w:outlineLvl w:val="9"/>
        <w:rPr>
          <w:rFonts w:hint="eastAsia" w:ascii="仿宋" w:hAnsi="仿宋" w:eastAsia="仿宋"/>
          <w:color w:val="auto"/>
          <w:sz w:val="32"/>
          <w:szCs w:val="32"/>
        </w:rPr>
      </w:pPr>
      <w:r>
        <w:rPr>
          <w:rFonts w:hint="eastAsia" w:ascii="仿宋" w:hAnsi="仿宋" w:eastAsia="仿宋"/>
          <w:color w:val="auto"/>
          <w:sz w:val="32"/>
          <w:szCs w:val="32"/>
        </w:rPr>
        <w:t>根据项目执行情况和项目绩效情况，</w:t>
      </w:r>
      <w:r>
        <w:rPr>
          <w:rFonts w:hint="eastAsia" w:ascii="仿宋_GB2312" w:eastAsia="仿宋_GB2312"/>
          <w:color w:val="auto"/>
          <w:sz w:val="32"/>
          <w:szCs w:val="32"/>
        </w:rPr>
        <w:t>该项目最终绩效评价得分</w:t>
      </w:r>
      <w:r>
        <w:rPr>
          <w:rFonts w:hint="eastAsia" w:ascii="仿宋_GB2312" w:eastAsia="仿宋_GB2312"/>
          <w:color w:val="auto"/>
          <w:sz w:val="32"/>
          <w:szCs w:val="32"/>
          <w:lang w:val="en-US" w:eastAsia="zh-CN"/>
        </w:rPr>
        <w:t>95</w:t>
      </w:r>
      <w:r>
        <w:rPr>
          <w:rFonts w:hint="eastAsia" w:ascii="仿宋_GB2312" w:eastAsia="仿宋_GB2312"/>
          <w:color w:val="auto"/>
          <w:sz w:val="32"/>
          <w:szCs w:val="32"/>
        </w:rPr>
        <w:t>分，我们认为该项目总体绩效评价等级为“优秀”。</w:t>
      </w:r>
    </w:p>
    <w:p>
      <w:pPr>
        <w:widowControl w:val="0"/>
        <w:wordWrap/>
        <w:spacing w:line="560" w:lineRule="exact"/>
        <w:ind w:left="0" w:leftChars="0" w:right="0" w:firstLine="640" w:firstLineChars="200"/>
        <w:textAlignment w:val="auto"/>
        <w:outlineLvl w:val="9"/>
        <w:rPr>
          <w:rFonts w:hint="eastAsia" w:ascii="仿宋" w:hAnsi="仿宋" w:eastAsia="仿宋"/>
          <w:b/>
          <w:bCs/>
          <w:color w:val="auto"/>
          <w:sz w:val="32"/>
          <w:szCs w:val="32"/>
        </w:rPr>
      </w:pPr>
      <w:r>
        <w:rPr>
          <w:rFonts w:hint="eastAsia" w:ascii="黑体" w:hAnsi="黑体" w:eastAsia="黑体"/>
          <w:color w:val="auto"/>
          <w:sz w:val="32"/>
          <w:szCs w:val="32"/>
        </w:rPr>
        <w:t>五、存在的问题及改进措施</w:t>
      </w:r>
    </w:p>
    <w:p>
      <w:pPr>
        <w:widowControl w:val="0"/>
        <w:wordWrap/>
        <w:spacing w:line="560" w:lineRule="exact"/>
        <w:ind w:left="0" w:leftChars="0" w:right="0" w:firstLine="643" w:firstLineChars="200"/>
        <w:textAlignment w:val="auto"/>
        <w:outlineLvl w:val="9"/>
        <w:rPr>
          <w:rFonts w:hint="eastAsia" w:ascii="仿宋" w:hAnsi="仿宋" w:eastAsia="仿宋"/>
          <w:b/>
          <w:bCs/>
          <w:color w:val="auto"/>
          <w:sz w:val="32"/>
          <w:szCs w:val="32"/>
        </w:rPr>
      </w:pPr>
      <w:r>
        <w:rPr>
          <w:rFonts w:hint="eastAsia" w:ascii="仿宋" w:hAnsi="仿宋" w:eastAsia="仿宋"/>
          <w:b/>
          <w:bCs/>
          <w:color w:val="auto"/>
          <w:sz w:val="32"/>
          <w:szCs w:val="32"/>
        </w:rPr>
        <w:t>（一）存在的主要问题</w:t>
      </w:r>
    </w:p>
    <w:p>
      <w:pPr>
        <w:widowControl w:val="0"/>
        <w:wordWrap/>
        <w:spacing w:line="560" w:lineRule="exact"/>
        <w:ind w:left="0" w:leftChars="0" w:right="0" w:firstLine="640" w:firstLineChars="200"/>
        <w:textAlignment w:val="auto"/>
        <w:outlineLvl w:val="9"/>
        <w:rPr>
          <w:rFonts w:hint="eastAsia" w:ascii="仿宋" w:hAnsi="仿宋" w:eastAsia="仿宋"/>
          <w:b/>
          <w:bCs/>
          <w:color w:val="auto"/>
          <w:sz w:val="32"/>
          <w:szCs w:val="32"/>
        </w:rPr>
      </w:pPr>
      <w:r>
        <w:rPr>
          <w:rFonts w:hint="eastAsia" w:ascii="仿宋" w:hAnsi="仿宋" w:eastAsia="仿宋"/>
          <w:color w:val="auto"/>
          <w:sz w:val="32"/>
          <w:szCs w:val="32"/>
        </w:rPr>
        <w:t>个别项目验收材料有待规范，导致验收记录信息不完整。</w:t>
      </w:r>
    </w:p>
    <w:p>
      <w:pPr>
        <w:widowControl w:val="0"/>
        <w:wordWrap/>
        <w:spacing w:line="560" w:lineRule="exact"/>
        <w:ind w:left="0" w:leftChars="0" w:right="0" w:firstLine="643" w:firstLineChars="200"/>
        <w:textAlignment w:val="auto"/>
        <w:outlineLvl w:val="9"/>
        <w:rPr>
          <w:rFonts w:hint="eastAsia" w:ascii="仿宋" w:hAnsi="仿宋" w:eastAsia="仿宋"/>
          <w:b/>
          <w:bCs/>
          <w:color w:val="auto"/>
          <w:sz w:val="32"/>
          <w:szCs w:val="32"/>
        </w:rPr>
      </w:pPr>
      <w:r>
        <w:rPr>
          <w:rFonts w:hint="eastAsia" w:ascii="仿宋" w:hAnsi="仿宋" w:eastAsia="仿宋"/>
          <w:b/>
          <w:bCs/>
          <w:color w:val="auto"/>
          <w:sz w:val="32"/>
          <w:szCs w:val="32"/>
        </w:rPr>
        <w:t>（二）针对问题提出具体的改进措施或建议</w:t>
      </w:r>
    </w:p>
    <w:p>
      <w:pPr>
        <w:spacing w:line="600" w:lineRule="exact"/>
        <w:ind w:firstLine="640" w:firstLineChars="200"/>
        <w:jc w:val="both"/>
        <w:rPr>
          <w:rFonts w:hint="eastAsia" w:ascii="仿宋_GB2312" w:eastAsia="仿宋_GB2312"/>
          <w:color w:val="auto"/>
          <w:sz w:val="32"/>
          <w:szCs w:val="32"/>
        </w:rPr>
      </w:pPr>
      <w:r>
        <w:rPr>
          <w:rFonts w:hint="eastAsia" w:ascii="楷体_GB2312" w:hAnsi="楷体_GB2312" w:eastAsia="楷体_GB2312" w:cs="楷体_GB2312"/>
          <w:color w:val="auto"/>
          <w:sz w:val="32"/>
          <w:szCs w:val="32"/>
        </w:rPr>
        <w:t>（</w:t>
      </w:r>
      <w:r>
        <w:rPr>
          <w:rFonts w:hint="eastAsia" w:ascii="楷体_GB2312" w:hAnsi="楷体_GB2312" w:eastAsia="楷体_GB2312" w:cs="楷体_GB2312"/>
          <w:color w:val="auto"/>
          <w:sz w:val="32"/>
          <w:szCs w:val="32"/>
          <w:lang w:val="en-US" w:eastAsia="zh-CN"/>
        </w:rPr>
        <w:t>1</w:t>
      </w:r>
      <w:r>
        <w:rPr>
          <w:rFonts w:hint="eastAsia" w:ascii="楷体_GB2312" w:hAnsi="楷体_GB2312" w:eastAsia="楷体_GB2312" w:cs="楷体_GB2312"/>
          <w:color w:val="auto"/>
          <w:sz w:val="32"/>
          <w:szCs w:val="32"/>
        </w:rPr>
        <w:t>）完善制度建设。</w:t>
      </w:r>
      <w:r>
        <w:rPr>
          <w:rFonts w:hint="eastAsia" w:ascii="仿宋_GB2312" w:eastAsia="仿宋_GB2312"/>
          <w:color w:val="auto"/>
          <w:sz w:val="32"/>
          <w:szCs w:val="32"/>
        </w:rPr>
        <w:t>根据工作实际，制定、完善或加强执行本部门的财务管理制度、网络安全和信息化经费管理制度，为全年预算绩效目标的实现奠定制度基础。</w:t>
      </w:r>
    </w:p>
    <w:p>
      <w:pPr>
        <w:spacing w:line="600" w:lineRule="exact"/>
        <w:ind w:firstLine="640" w:firstLineChars="200"/>
        <w:jc w:val="both"/>
        <w:rPr>
          <w:rFonts w:hint="eastAsia" w:ascii="仿宋_GB2312" w:eastAsia="仿宋_GB2312"/>
          <w:color w:val="auto"/>
          <w:sz w:val="32"/>
          <w:szCs w:val="32"/>
        </w:rPr>
      </w:pPr>
      <w:r>
        <w:rPr>
          <w:rFonts w:hint="eastAsia" w:ascii="楷体_GB2312" w:hAnsi="楷体_GB2312" w:eastAsia="楷体_GB2312" w:cs="楷体_GB2312"/>
          <w:color w:val="auto"/>
          <w:sz w:val="32"/>
          <w:szCs w:val="32"/>
        </w:rPr>
        <w:t>（</w:t>
      </w:r>
      <w:r>
        <w:rPr>
          <w:rFonts w:hint="eastAsia" w:ascii="楷体_GB2312" w:hAnsi="楷体_GB2312" w:eastAsia="楷体_GB2312" w:cs="楷体_GB2312"/>
          <w:color w:val="auto"/>
          <w:sz w:val="32"/>
          <w:szCs w:val="32"/>
          <w:lang w:val="en-US" w:eastAsia="zh-CN"/>
        </w:rPr>
        <w:t>2</w:t>
      </w:r>
      <w:r>
        <w:rPr>
          <w:rFonts w:hint="eastAsia" w:ascii="楷体_GB2312" w:hAnsi="楷体_GB2312" w:eastAsia="楷体_GB2312" w:cs="楷体_GB2312"/>
          <w:color w:val="auto"/>
          <w:sz w:val="32"/>
          <w:szCs w:val="32"/>
        </w:rPr>
        <w:t>）加强预算绩效管理。</w:t>
      </w:r>
      <w:r>
        <w:rPr>
          <w:rFonts w:hint="eastAsia" w:ascii="仿宋_GB2312" w:eastAsia="仿宋_GB2312"/>
          <w:color w:val="auto"/>
          <w:sz w:val="32"/>
          <w:szCs w:val="32"/>
        </w:rPr>
        <w:t>年初统筹规划，编实编细项目预算。开展绩效运行监控，加强对重点、难点绩效指标的运行监控，及时梳理分析执行中问题，及时采取措施，保障绩效目标如期顺利完成。开展上年度预算绩效自评和重点评价工作，对评价中发现的问题及时有效整改，不断调整优化支出结构，提高财政资金使用效益。</w:t>
      </w:r>
    </w:p>
    <w:p>
      <w:pPr>
        <w:widowControl w:val="0"/>
        <w:wordWrap/>
        <w:spacing w:line="560" w:lineRule="exact"/>
        <w:ind w:left="0" w:leftChars="0" w:right="0" w:firstLine="640" w:firstLineChars="200"/>
        <w:textAlignment w:val="auto"/>
        <w:outlineLvl w:val="9"/>
        <w:rPr>
          <w:rFonts w:hint="eastAsia" w:ascii="仿宋_GB2312" w:eastAsia="仿宋_GB2312"/>
          <w:color w:val="auto"/>
          <w:sz w:val="32"/>
          <w:szCs w:val="32"/>
        </w:rPr>
      </w:pPr>
      <w:r>
        <w:rPr>
          <w:rFonts w:hint="eastAsia" w:ascii="楷体_GB2312" w:hAnsi="楷体_GB2312" w:eastAsia="楷体_GB2312" w:cs="楷体_GB2312"/>
          <w:color w:val="auto"/>
          <w:sz w:val="32"/>
          <w:szCs w:val="32"/>
        </w:rPr>
        <w:t>（</w:t>
      </w:r>
      <w:r>
        <w:rPr>
          <w:rFonts w:hint="eastAsia" w:ascii="楷体_GB2312" w:hAnsi="楷体_GB2312" w:eastAsia="楷体_GB2312" w:cs="楷体_GB2312"/>
          <w:color w:val="auto"/>
          <w:sz w:val="32"/>
          <w:szCs w:val="32"/>
          <w:lang w:val="en-US" w:eastAsia="zh-CN"/>
        </w:rPr>
        <w:t>3</w:t>
      </w:r>
      <w:r>
        <w:rPr>
          <w:rFonts w:hint="eastAsia" w:ascii="楷体_GB2312" w:hAnsi="楷体_GB2312" w:eastAsia="楷体_GB2312" w:cs="楷体_GB2312"/>
          <w:color w:val="auto"/>
          <w:sz w:val="32"/>
          <w:szCs w:val="32"/>
        </w:rPr>
        <w:t>）加强内部管理和监督。</w:t>
      </w:r>
      <w:r>
        <w:rPr>
          <w:rFonts w:hint="eastAsia" w:ascii="仿宋_GB2312" w:eastAsia="仿宋_GB2312"/>
          <w:color w:val="auto"/>
          <w:sz w:val="32"/>
          <w:szCs w:val="32"/>
        </w:rPr>
        <w:t>对照最新政策要求，及时完善本部门的财务管理制度。按照制度要求，严格预算资金安排和支出审批程序，加强固定资产登记、使用和报废处置管理。对会计资料进行内部审计，并配合做好审计、财政监督等外部监督工作，保障财政资金安全有效。</w:t>
      </w:r>
    </w:p>
    <w:p>
      <w:pPr>
        <w:widowControl w:val="0"/>
        <w:wordWrap/>
        <w:adjustRightInd w:val="0"/>
        <w:snapToGrid w:val="0"/>
        <w:spacing w:line="560" w:lineRule="exact"/>
        <w:ind w:left="0" w:leftChars="0" w:right="0" w:firstLine="640" w:firstLineChars="200"/>
        <w:textAlignment w:val="auto"/>
        <w:outlineLvl w:val="9"/>
        <w:rPr>
          <w:rFonts w:hint="eastAsia" w:ascii="黑体" w:hAnsi="黑体" w:eastAsia="黑体" w:cs="黑体"/>
          <w:color w:val="auto"/>
          <w:sz w:val="32"/>
          <w:szCs w:val="32"/>
        </w:rPr>
      </w:pPr>
      <w:r>
        <w:rPr>
          <w:rFonts w:hint="eastAsia" w:ascii="黑体" w:hAnsi="黑体" w:eastAsia="黑体" w:cs="黑体"/>
          <w:color w:val="auto"/>
          <w:sz w:val="32"/>
          <w:szCs w:val="32"/>
        </w:rPr>
        <w:t>六、评价工作组人员名单及签字（姓名、工作单位、职务、职称）</w:t>
      </w:r>
    </w:p>
    <w:p>
      <w:pPr>
        <w:adjustRightInd w:val="0"/>
        <w:snapToGrid w:val="0"/>
        <w:spacing w:line="360" w:lineRule="auto"/>
        <w:ind w:firstLine="640" w:firstLineChars="200"/>
        <w:rPr>
          <w:rFonts w:hint="eastAsia" w:ascii="仿宋_GB2312" w:eastAsia="仿宋_GB2312"/>
          <w:color w:val="auto"/>
          <w:sz w:val="32"/>
          <w:szCs w:val="32"/>
          <w:lang w:val="en-US" w:eastAsia="zh-CN"/>
        </w:rPr>
      </w:pPr>
      <w:r>
        <w:rPr>
          <w:rFonts w:hint="eastAsia" w:ascii="仿宋_GB2312" w:eastAsia="仿宋_GB2312"/>
          <w:color w:val="auto"/>
          <w:sz w:val="32"/>
          <w:szCs w:val="32"/>
          <w:lang w:val="en-US" w:eastAsia="zh-CN"/>
        </w:rPr>
        <w:t>刘伟璐 市委网信办综合科</w:t>
      </w:r>
    </w:p>
    <w:p>
      <w:pPr>
        <w:adjustRightInd w:val="0"/>
        <w:snapToGrid w:val="0"/>
        <w:spacing w:line="360" w:lineRule="auto"/>
        <w:ind w:firstLine="640" w:firstLineChars="200"/>
        <w:rPr>
          <w:rFonts w:hint="eastAsia" w:ascii="仿宋_GB2312" w:eastAsia="仿宋_GB2312"/>
          <w:color w:val="auto"/>
          <w:sz w:val="32"/>
          <w:szCs w:val="32"/>
          <w:lang w:val="en-US" w:eastAsia="zh-CN"/>
        </w:rPr>
      </w:pPr>
      <w:r>
        <w:rPr>
          <w:rFonts w:hint="eastAsia" w:ascii="仿宋_GB2312" w:eastAsia="仿宋_GB2312"/>
          <w:color w:val="auto"/>
          <w:sz w:val="32"/>
          <w:szCs w:val="32"/>
          <w:lang w:val="en-US" w:eastAsia="zh-CN"/>
        </w:rPr>
        <w:t>张冬青 市委网信办综合科</w:t>
      </w:r>
    </w:p>
    <w:p>
      <w:pPr>
        <w:adjustRightInd w:val="0"/>
        <w:snapToGrid w:val="0"/>
        <w:spacing w:line="360" w:lineRule="auto"/>
        <w:ind w:firstLine="640" w:firstLineChars="200"/>
        <w:rPr>
          <w:rFonts w:ascii="仿宋" w:hAnsi="仿宋" w:eastAsia="仿宋"/>
          <w:color w:val="auto"/>
        </w:rPr>
      </w:pPr>
      <w:r>
        <w:rPr>
          <w:rFonts w:hint="eastAsia" w:ascii="仿宋_GB2312" w:eastAsia="仿宋_GB2312"/>
          <w:color w:val="auto"/>
          <w:sz w:val="32"/>
          <w:szCs w:val="32"/>
          <w:lang w:val="en-US" w:eastAsia="zh-CN"/>
        </w:rPr>
        <w:t>李雨阳 市委网信办综合科</w:t>
      </w:r>
      <w:bookmarkStart w:id="0" w:name="_GoBack"/>
      <w:bookmarkEnd w:id="0"/>
    </w:p>
    <w:sectPr>
      <w:footerReference r:id="rId3" w:type="default"/>
      <w:pgSz w:w="11906" w:h="16838"/>
      <w:pgMar w:top="1440" w:right="1474" w:bottom="1440"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方正楷体_GBK">
    <w:altName w:val="宋体"/>
    <w:panose1 w:val="00000000000000000000"/>
    <w:charset w:val="86"/>
    <w:family w:val="roman"/>
    <w:pitch w:val="default"/>
    <w:sig w:usb0="00000000" w:usb1="00000000" w:usb2="00000000" w:usb3="00000000" w:csb0="00040001" w:csb1="00000000"/>
  </w:font>
  <w:font w:name="方正小标宋_GBK">
    <w:altName w:val="宋体"/>
    <w:panose1 w:val="00000000000000000000"/>
    <w:charset w:val="86"/>
    <w:family w:val="roman"/>
    <w:pitch w:val="default"/>
    <w:sig w:usb0="00000000" w:usb1="00000000" w:usb2="00000000" w:usb3="00000000" w:csb0="00040001" w:csb1="00000000"/>
  </w:font>
  <w:font w:name="方正书宋_GBK">
    <w:altName w:val="宋体"/>
    <w:panose1 w:val="00000000000000000000"/>
    <w:charset w:val="86"/>
    <w:family w:val="roman"/>
    <w:pitch w:val="default"/>
    <w:sig w:usb0="00000000" w:usb1="00000000" w:usb2="00000000"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rFonts w:ascii="Calibri" w:hAnsi="Calibri" w:eastAsia="宋体" w:cs="黑体"/>
        <w:kern w:val="2"/>
        <w:sz w:val="18"/>
        <w:szCs w:val="22"/>
        <w:lang w:val="en-US" w:eastAsia="zh-CN" w:bidi="ar-SA"/>
      </w:rPr>
      <w:pict>
        <v:shape id="Quad Arrow 3073" o:spid="_x0000_s4097" o:spt="202" type="#_x0000_t202" style="position:absolute;left:0pt;margin-top:0pt;height:144pt;width:144pt;mso-position-horizontal:center;mso-position-horizontal-relative:margin;mso-wrap-style:none;z-index:251659264;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6AA81"/>
    <w:multiLevelType w:val="singleLevel"/>
    <w:tmpl w:val="0516AA81"/>
    <w:lvl w:ilvl="0" w:tentative="0">
      <w:start w:val="2"/>
      <w:numFmt w:val="chineseCounting"/>
      <w:suff w:val="nothing"/>
      <w:lvlText w:val="（%1）"/>
      <w:lvlJc w:val="left"/>
      <w:pPr>
        <w:ind w:left="642" w:leftChars="0" w:firstLine="0" w:firstLineChars="0"/>
      </w:pPr>
      <w:rPr>
        <w:rFonts w:hint="eastAsia"/>
      </w:rPr>
    </w:lvl>
  </w:abstractNum>
  <w:abstractNum w:abstractNumId="1">
    <w:nsid w:val="0DEA5C08"/>
    <w:multiLevelType w:val="singleLevel"/>
    <w:tmpl w:val="0DEA5C08"/>
    <w:lvl w:ilvl="0" w:tentative="0">
      <w:start w:val="2"/>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EBD2122"/>
    <w:rsid w:val="007E6C1F"/>
    <w:rsid w:val="00AF566A"/>
    <w:rsid w:val="00B6553A"/>
    <w:rsid w:val="01B104CA"/>
    <w:rsid w:val="02106AB0"/>
    <w:rsid w:val="02B43A28"/>
    <w:rsid w:val="046F331E"/>
    <w:rsid w:val="07956271"/>
    <w:rsid w:val="09721397"/>
    <w:rsid w:val="0BB63BED"/>
    <w:rsid w:val="0EB97A43"/>
    <w:rsid w:val="0EBD2122"/>
    <w:rsid w:val="0F214EAE"/>
    <w:rsid w:val="11B71E6A"/>
    <w:rsid w:val="12B220A4"/>
    <w:rsid w:val="14A0057A"/>
    <w:rsid w:val="1501468E"/>
    <w:rsid w:val="19A979DD"/>
    <w:rsid w:val="1AAF0063"/>
    <w:rsid w:val="1BE140DE"/>
    <w:rsid w:val="1D036E47"/>
    <w:rsid w:val="1F972653"/>
    <w:rsid w:val="248C197D"/>
    <w:rsid w:val="252959AF"/>
    <w:rsid w:val="277A6671"/>
    <w:rsid w:val="292D35B7"/>
    <w:rsid w:val="33EB6CFF"/>
    <w:rsid w:val="35A12947"/>
    <w:rsid w:val="36CE4181"/>
    <w:rsid w:val="37387040"/>
    <w:rsid w:val="3B625C0A"/>
    <w:rsid w:val="3CEE1963"/>
    <w:rsid w:val="40AA0B28"/>
    <w:rsid w:val="4C637D89"/>
    <w:rsid w:val="4C9C27FE"/>
    <w:rsid w:val="4EF17234"/>
    <w:rsid w:val="4F241259"/>
    <w:rsid w:val="512260B4"/>
    <w:rsid w:val="52BD6ACB"/>
    <w:rsid w:val="55537534"/>
    <w:rsid w:val="561A74F1"/>
    <w:rsid w:val="597244E8"/>
    <w:rsid w:val="5ABD659C"/>
    <w:rsid w:val="5EB71C30"/>
    <w:rsid w:val="620B447A"/>
    <w:rsid w:val="66AF0CE5"/>
    <w:rsid w:val="6AC537CF"/>
    <w:rsid w:val="6DBA03A9"/>
    <w:rsid w:val="6E5B14A6"/>
    <w:rsid w:val="711B255E"/>
    <w:rsid w:val="7BB51E06"/>
    <w:rsid w:val="7C387F7C"/>
    <w:rsid w:val="7D3068ED"/>
    <w:rsid w:val="7DC61A37"/>
    <w:rsid w:val="7FE8342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unhideWhenUsed/>
    <w:qFormat/>
    <w:uiPriority w:val="1"/>
  </w:style>
  <w:style w:type="table" w:default="1" w:styleId="4">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8</Pages>
  <Words>3756</Words>
  <Characters>3813</Characters>
  <Lines>7</Lines>
  <Paragraphs>2</Paragraphs>
  <TotalTime>0</TotalTime>
  <ScaleCrop>false</ScaleCrop>
  <LinksUpToDate>false</LinksUpToDate>
  <CharactersWithSpaces>3836</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薄荷绿</cp:lastModifiedBy>
  <cp:lastPrinted>2022-04-29T03:16:00Z</cp:lastPrinted>
  <dcterms:modified xsi:type="dcterms:W3CDTF">2022-04-29T07:39:16Z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y fmtid="{D5CDD505-2E9C-101B-9397-08002B2CF9AE}" pid="3" name="ICV">
    <vt:lpwstr>21D989B3BF0743E4A8B21D11AD696132</vt:lpwstr>
  </property>
</Properties>
</file>