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outlineLvl w:val="0"/>
        <w:rPr>
          <w:rFonts w:ascii="仿宋_GB2312" w:eastAsia="仿宋_GB2312"/>
          <w:sz w:val="32"/>
          <w:szCs w:val="32"/>
        </w:rPr>
      </w:pPr>
    </w:p>
    <w:p>
      <w:pPr>
        <w:spacing w:line="360" w:lineRule="auto"/>
        <w:jc w:val="center"/>
        <w:outlineLvl w:val="0"/>
        <w:rPr>
          <w:rFonts w:hint="eastAsia"/>
          <w:lang w:val="en-US" w:eastAsia="zh-CN"/>
        </w:rPr>
      </w:pPr>
      <w:r>
        <w:rPr>
          <w:rFonts w:hint="eastAsia" w:ascii="宋体" w:hAnsi="宋体" w:cs="宋体"/>
          <w:b/>
          <w:bCs/>
          <w:sz w:val="44"/>
          <w:szCs w:val="44"/>
          <w:lang w:val="en-US" w:eastAsia="zh-CN"/>
        </w:rPr>
        <w:t>公益节目购买制作费</w:t>
      </w:r>
    </w:p>
    <w:p>
      <w:pPr>
        <w:spacing w:line="360" w:lineRule="auto"/>
        <w:jc w:val="center"/>
        <w:outlineLvl w:val="0"/>
        <w:rPr>
          <w:rFonts w:ascii="宋体" w:hAnsi="宋体" w:cs="宋体"/>
          <w:b/>
          <w:bCs/>
          <w:sz w:val="44"/>
          <w:szCs w:val="44"/>
        </w:rPr>
      </w:pPr>
      <w:r>
        <w:rPr>
          <w:rFonts w:hint="eastAsia" w:ascii="宋体" w:hAnsi="宋体" w:cs="宋体"/>
          <w:b/>
          <w:bCs/>
          <w:sz w:val="44"/>
          <w:szCs w:val="44"/>
        </w:rPr>
        <w:t>项目自评报告</w:t>
      </w:r>
    </w:p>
    <w:p>
      <w:pPr>
        <w:spacing w:line="360" w:lineRule="auto"/>
        <w:jc w:val="center"/>
        <w:rPr>
          <w:rFonts w:ascii="华文楷体" w:eastAsia="华文楷体"/>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根据《石家庄市财政支出绩效评价办法》（石财绩[2013]2号），遵循“科学性、规范性、客观性和公正性”的原则，对新闻综合频道项目实施了财政支出绩效自评价，形成本评价报告。</w:t>
      </w:r>
    </w:p>
    <w:p>
      <w:pPr>
        <w:adjustRightInd w:val="0"/>
        <w:snapToGrid w:val="0"/>
        <w:spacing w:line="360" w:lineRule="auto"/>
        <w:outlineLvl w:val="0"/>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3" w:firstLineChars="200"/>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pPr>
        <w:adjustRightInd w:val="0"/>
        <w:snapToGrid w:val="0"/>
        <w:spacing w:line="360" w:lineRule="auto"/>
        <w:ind w:firstLine="640" w:firstLineChars="200"/>
        <w:outlineLvl w:val="2"/>
        <w:rPr>
          <w:rFonts w:ascii="仿宋_GB2312" w:eastAsia="仿宋_GB2312"/>
          <w:sz w:val="32"/>
          <w:szCs w:val="32"/>
        </w:rPr>
      </w:pPr>
      <w:r>
        <w:rPr>
          <w:rFonts w:hint="eastAsia" w:ascii="仿宋_GB2312" w:eastAsia="仿宋_GB2312"/>
          <w:sz w:val="32"/>
          <w:szCs w:val="32"/>
        </w:rPr>
        <w:t>1、项目实施单位及项目立项等基本情况；</w:t>
      </w:r>
    </w:p>
    <w:p>
      <w:pPr>
        <w:adjustRightInd w:val="0"/>
        <w:snapToGrid w:val="0"/>
        <w:spacing w:line="360" w:lineRule="auto"/>
        <w:ind w:firstLine="640" w:firstLineChars="200"/>
        <w:rPr>
          <w:rFonts w:hint="eastAsia" w:ascii="仿宋_GB2312" w:eastAsia="仿宋_GB2312"/>
          <w:b/>
          <w:bCs/>
          <w:sz w:val="32"/>
          <w:szCs w:val="32"/>
        </w:rPr>
      </w:pPr>
      <w:r>
        <w:rPr>
          <w:rFonts w:hint="eastAsia" w:ascii="仿宋_GB2312" w:eastAsia="仿宋_GB2312"/>
          <w:sz w:val="32"/>
          <w:szCs w:val="32"/>
        </w:rPr>
        <w:t>石家庄广播电视台是市委直属正县级事业单位，于2010年6月，由市文化体制改革领导小组撤并石家庄人民广播电台、石家庄电视台、石家庄交通信息台成立。拥有新闻综合、娱乐、生活、都市、地铁移动5个电视频道，新闻、经济、音乐、农村、交通5个广播频率，1个新媒体中心。广播自办节目53个，电视自办节目32个，开办《石家庄新闻》《新闻882》《民生关注》《小吴帮忙》《电视问政》《行风热线》《天天说交通》《946早高峰》等一批品牌栏目，以无线石家庄APP、石家庄发布为引擎，74个端微号构建起强大的新媒体传播矩阵，粉丝累计突破1500万。广播电视、新媒体，辅以户外大屏，形成了全媒体、全覆盖、立体化的传播格局。广播调频、电视播控基本实现了数字化、高清化、智能化，新闻综合频道在全省率先实现了全面高清化。石家庄广电传媒集团有限公司是台属、台管、台控的国有独资企</w:t>
      </w:r>
      <w:r>
        <w:rPr>
          <w:rFonts w:hint="eastAsia" w:ascii="仿宋_GB2312" w:eastAsia="仿宋_GB2312"/>
          <w:b w:val="0"/>
          <w:bCs w:val="0"/>
          <w:sz w:val="32"/>
          <w:szCs w:val="32"/>
        </w:rPr>
        <w:t>业，下辖8个全资子公司和7个控参股公司。全台现有职工1004人，在编正式员工304人，岗位聘用员工700人。</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近两年来，我台在市委市政府、市委宣传部正确领导下，积极应对严峻的生存压力和发展挑战，努力改革创新、开拓进取。始终坚持新闻立台、政治家办台理念，围绕中心，服务大局，舆论引导正确有力；推进节目创新创优，时政、民生类栏目品质不断提升，一批广播电视作品获得国家、省市奖项；开展各类媒体活动，不断扩大广电影响力；稳固广播广告收入,改革激发了电视广告创收潜力；积极探索产业项目，推进广电转型发展；媒体融合经验受到省市领导表扬，在全省予以推广；广播调频、电视播控基本实现了数字化、网络化、高清化，强化技术保障，确保了市委市政府各项重要活动安全优质播出；加强队伍建设，全台形成了风清气正、干事创业的良好氛围；荣获第五届全国文明单位称号，成为我台历史上的最高荣誉。</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default" w:ascii="仿宋_GB2312" w:eastAsia="仿宋_GB2312"/>
          <w:color w:val="auto"/>
          <w:sz w:val="32"/>
          <w:szCs w:val="32"/>
          <w:u w:val="none"/>
          <w:lang w:val="en-US" w:eastAsia="zh-CN"/>
        </w:rPr>
      </w:pPr>
      <w:r>
        <w:rPr>
          <w:rFonts w:hint="eastAsia" w:ascii="仿宋_GB2312" w:eastAsia="仿宋_GB2312"/>
          <w:sz w:val="32"/>
          <w:szCs w:val="32"/>
        </w:rPr>
        <w:t>项目立项基本情况：新闻综合频道以新闻树立频道品牌形象，辅以电视剧、财经、养生科普等丰富多彩的节目内容，更加符合受众多元化的收视要求。</w:t>
      </w:r>
      <w:r>
        <w:rPr>
          <w:rFonts w:hint="eastAsia" w:ascii="仿宋_GB2312" w:eastAsia="仿宋_GB2312"/>
          <w:sz w:val="32"/>
          <w:szCs w:val="32"/>
          <w:lang w:eastAsia="zh-CN"/>
        </w:rPr>
        <w:t>负责ＦＭ１０６</w:t>
      </w:r>
      <w:r>
        <w:rPr>
          <w:rFonts w:hint="eastAsia" w:ascii="仿宋_GB2312" w:eastAsia="仿宋_GB2312"/>
          <w:sz w:val="32"/>
          <w:szCs w:val="32"/>
          <w:lang w:val="en-US" w:eastAsia="zh-CN"/>
        </w:rPr>
        <w:t>.７石家庄音乐广播全年安全无事故播出，锁定20-45岁之间的受众群体，各时段的节目定位精准，线上节目与品牌活动符合私家车群体、都市白领、学生族的需求。</w:t>
      </w:r>
    </w:p>
    <w:p>
      <w:pPr>
        <w:spacing w:line="360" w:lineRule="auto"/>
        <w:ind w:firstLine="570"/>
        <w:rPr>
          <w:rFonts w:hint="eastAsia" w:ascii="仿宋_GB2312" w:eastAsia="仿宋_GB2312"/>
          <w:sz w:val="32"/>
          <w:szCs w:val="32"/>
        </w:rPr>
      </w:pPr>
    </w:p>
    <w:p>
      <w:pPr>
        <w:adjustRightInd w:val="0"/>
        <w:spacing w:line="360" w:lineRule="auto"/>
        <w:ind w:firstLine="640" w:firstLineChars="200"/>
        <w:rPr>
          <w:rFonts w:ascii="仿宋_GB2312" w:eastAsia="仿宋_GB2312"/>
          <w:sz w:val="32"/>
          <w:szCs w:val="32"/>
        </w:rPr>
      </w:pPr>
      <w:r>
        <w:rPr>
          <w:rFonts w:hint="eastAsia" w:ascii="仿宋_GB2312" w:eastAsia="仿宋_GB2312"/>
          <w:sz w:val="32"/>
          <w:szCs w:val="32"/>
        </w:rPr>
        <w:t>2、项目主要实施内容和范围；</w:t>
      </w:r>
    </w:p>
    <w:p>
      <w:pPr>
        <w:spacing w:line="360" w:lineRule="auto"/>
        <w:ind w:firstLine="570"/>
        <w:rPr>
          <w:rFonts w:hint="eastAsia" w:ascii="仿宋_GB2312" w:eastAsia="仿宋_GB2312"/>
          <w:sz w:val="32"/>
          <w:szCs w:val="32"/>
        </w:rPr>
      </w:pPr>
      <w:r>
        <w:rPr>
          <w:rFonts w:hint="eastAsia" w:ascii="仿宋_GB2312" w:eastAsia="仿宋_GB2312"/>
          <w:sz w:val="32"/>
          <w:szCs w:val="32"/>
        </w:rPr>
        <w:t>2021年，新闻综合频道除了常规时政新闻、民生新闻以及全国全世界新闻热点整合发布之外，还身担重担，举办了一系列直播活动和专题报道。</w:t>
      </w:r>
    </w:p>
    <w:p>
      <w:pPr>
        <w:spacing w:line="360" w:lineRule="auto"/>
        <w:ind w:firstLine="570"/>
        <w:rPr>
          <w:rFonts w:hint="eastAsia" w:ascii="仿宋_GB2312" w:eastAsia="仿宋_GB2312"/>
          <w:sz w:val="32"/>
          <w:szCs w:val="32"/>
        </w:rPr>
      </w:pPr>
      <w:r>
        <w:rPr>
          <w:rFonts w:hint="eastAsia" w:ascii="仿宋_GB2312" w:eastAsia="仿宋_GB2312"/>
          <w:sz w:val="32"/>
          <w:szCs w:val="32"/>
        </w:rPr>
        <w:t>1月6日开始，连续43天的“抗疫进行时 加油石家庄”全媒体直播，累计直播时长超过1200小时，《民生关注》时段最高收视率突破5.4%，创下10年来的峰值；在全媒体平台发布相关短视频5000余条，累计浏览量超4亿。在这场特殊的战斗中，新闻综合频道通过对权威消息的及时准确的发布，维护了社会稳定，增强了市民抗疫的决心和信心，同时，对重大公共卫生事件应急报道也体现了新闻频道强大的公信力和竞争力。</w:t>
      </w:r>
    </w:p>
    <w:p>
      <w:pPr>
        <w:ind w:firstLine="640" w:firstLineChars="200"/>
        <w:rPr>
          <w:rFonts w:ascii="仿宋_GB2312" w:eastAsia="仿宋_GB2312"/>
          <w:sz w:val="32"/>
          <w:szCs w:val="32"/>
        </w:rPr>
      </w:pPr>
      <w:r>
        <w:rPr>
          <w:rFonts w:hint="eastAsia" w:ascii="仿宋_GB2312" w:eastAsia="仿宋_GB2312"/>
          <w:sz w:val="32"/>
          <w:szCs w:val="32"/>
        </w:rPr>
        <w:t>6月10日，新闻频道与河北卫视并机直播，承接大型全媒体直播“今日河北”的首期报道，在11地市大联播中取得首播开门红，随后新闻频道又自主策划实施了“奋进吧 红色之城”全媒体直播，唱响了主旋律，弘扬了正能量。</w:t>
      </w:r>
    </w:p>
    <w:p>
      <w:pPr>
        <w:rPr>
          <w:rFonts w:hint="eastAsia" w:ascii="仿宋_GB2312" w:eastAsia="仿宋_GB2312"/>
          <w:sz w:val="32"/>
          <w:szCs w:val="32"/>
        </w:rPr>
      </w:pPr>
      <w:r>
        <w:rPr>
          <w:rFonts w:hint="eastAsia" w:ascii="仿宋_GB2312" w:eastAsia="仿宋_GB2312"/>
          <w:sz w:val="32"/>
          <w:szCs w:val="32"/>
        </w:rPr>
        <w:t xml:space="preserve">    联合市文明办、市民政局共同启动《民生关注社区服务促进中心》，现已运行四个站点，并完成非公社会组织--“左邻右里”志愿服务中心的手续审批，成为我市承担公益志愿服务和慈善募捐双重功能的第五家慈善组织。</w:t>
      </w:r>
    </w:p>
    <w:p>
      <w:pPr>
        <w:pStyle w:val="2"/>
        <w:ind w:firstLine="640"/>
        <w:rPr>
          <w:rFonts w:hint="eastAsia" w:ascii="仿宋_GB2312" w:hAnsi="Calibri" w:eastAsia="仿宋_GB2312"/>
          <w:sz w:val="32"/>
          <w:szCs w:val="32"/>
        </w:rPr>
      </w:pPr>
      <w:r>
        <w:rPr>
          <w:rFonts w:hint="eastAsia" w:ascii="仿宋_GB2312" w:hAnsi="Calibri" w:eastAsia="仿宋_GB2312"/>
          <w:sz w:val="32"/>
          <w:szCs w:val="32"/>
        </w:rPr>
        <w:t xml:space="preserve">  同年，2021广电美食文创行大型媒体活动，助力省会夜经济；电视问政持续发力，搭建公共对话平台，为百姓排忧解难，为政府献策献言；联合新闻频率，新媒体中心，全媒体报道《直通党代会》、《直通两会》，讲好石家庄故事，传好石家庄声音。</w:t>
      </w:r>
    </w:p>
    <w:p>
      <w:pPr>
        <w:pStyle w:val="2"/>
        <w:ind w:firstLine="640"/>
        <w:rPr>
          <w:rFonts w:hint="eastAsia" w:ascii="仿宋_GB2312" w:hAnsi="Calibri" w:eastAsia="仿宋_GB2312"/>
          <w:sz w:val="32"/>
          <w:szCs w:val="32"/>
        </w:rPr>
      </w:pPr>
      <w:r>
        <w:rPr>
          <w:rFonts w:hint="eastAsia" w:ascii="仿宋_GB2312" w:eastAsia="仿宋_GB2312"/>
          <w:sz w:val="32"/>
          <w:szCs w:val="32"/>
          <w:lang w:val="en-US" w:eastAsia="zh-CN"/>
        </w:rPr>
        <w:t>收听数据要求，及时掌握受众满意度和舆论反映，须保证音乐广播在由索福瑞数据调查公司提供的石家庄上空18家广播市场调查中所有场所市场份额排名不低于前5名，义务承担全年不少于70条公益广告的撰写、录制、播出工作。</w:t>
      </w:r>
    </w:p>
    <w:p>
      <w:pPr>
        <w:adjustRightInd w:val="0"/>
        <w:snapToGrid w:val="0"/>
        <w:spacing w:line="360" w:lineRule="auto"/>
        <w:ind w:left="420" w:leftChars="200" w:firstLine="320" w:firstLineChars="100"/>
        <w:outlineLvl w:val="2"/>
        <w:rPr>
          <w:rFonts w:ascii="仿宋_GB2312" w:eastAsia="仿宋_GB2312"/>
          <w:sz w:val="32"/>
          <w:szCs w:val="32"/>
        </w:rPr>
      </w:pPr>
      <w:r>
        <w:rPr>
          <w:rFonts w:hint="eastAsia" w:ascii="仿宋_GB2312" w:eastAsia="仿宋_GB2312"/>
          <w:sz w:val="32"/>
          <w:szCs w:val="32"/>
        </w:rPr>
        <w:t>3、项目资金投入情况（资金数量、资金结构、资金来源渠道等）</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项目资金共拨付</w:t>
      </w:r>
      <w:r>
        <w:rPr>
          <w:rFonts w:hint="eastAsia" w:ascii="仿宋_GB2312" w:eastAsia="仿宋_GB2312"/>
          <w:sz w:val="32"/>
          <w:szCs w:val="32"/>
          <w:lang w:val="en-US" w:eastAsia="zh-CN"/>
        </w:rPr>
        <w:t>2000</w:t>
      </w:r>
      <w:r>
        <w:rPr>
          <w:rFonts w:hint="eastAsia" w:ascii="仿宋_GB2312" w:eastAsia="仿宋_GB2312"/>
          <w:sz w:val="32"/>
          <w:szCs w:val="32"/>
        </w:rPr>
        <w:t>万元，</w:t>
      </w:r>
      <w:r>
        <w:rPr>
          <w:rFonts w:hint="eastAsia" w:ascii="仿宋_GB2312" w:eastAsia="仿宋_GB2312"/>
          <w:color w:val="auto"/>
          <w:sz w:val="32"/>
          <w:szCs w:val="32"/>
          <w:u w:val="none"/>
          <w:lang w:val="en-US" w:eastAsia="zh-CN"/>
        </w:rPr>
        <w:t>用于项目公益节目购买制作费，</w:t>
      </w:r>
      <w:r>
        <w:rPr>
          <w:rFonts w:hint="eastAsia" w:ascii="仿宋_GB2312" w:eastAsia="仿宋_GB2312"/>
          <w:sz w:val="32"/>
          <w:szCs w:val="32"/>
        </w:rPr>
        <w:t>频道部分日常运营，活动宣传片制作及现场物料等费用，资金来源为全额财政拨款。</w:t>
      </w:r>
    </w:p>
    <w:p>
      <w:pPr>
        <w:adjustRightInd w:val="0"/>
        <w:snapToGrid w:val="0"/>
        <w:spacing w:line="360" w:lineRule="auto"/>
        <w:ind w:firstLine="643" w:firstLineChars="200"/>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（二）项目预期绩效目标</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项目预期绩效目标和指标：通过常规节目和专题报道直播报道，宣传时代精神，弘扬社会主义核心价值观，占领宣传主阵地，提高传统主流媒体影响力，切实提高党的新闻舆论传播力、引导力、影响力、公信力。</w:t>
      </w:r>
      <w:r>
        <w:rPr>
          <w:rFonts w:ascii="仿宋_GB2312" w:eastAsia="仿宋_GB2312"/>
          <w:sz w:val="32"/>
          <w:szCs w:val="32"/>
        </w:rPr>
        <w:t xml:space="preserve"> </w:t>
      </w:r>
      <w:r>
        <w:rPr>
          <w:rFonts w:hint="eastAsia" w:ascii="仿宋_GB2312" w:eastAsia="仿宋_GB2312"/>
          <w:sz w:val="32"/>
          <w:szCs w:val="32"/>
          <w:lang w:eastAsia="zh-CN"/>
        </w:rPr>
        <w:t>音乐广播全天24小时播音，除标明可录播节目外均为直播节目。每档节目要求有正确的舆论导向，符合音乐广播专业定位。</w:t>
      </w:r>
    </w:p>
    <w:p>
      <w:pPr>
        <w:adjustRightInd w:val="0"/>
        <w:snapToGrid w:val="0"/>
        <w:spacing w:line="360" w:lineRule="auto"/>
        <w:ind w:firstLine="640" w:firstLineChars="200"/>
        <w:outlineLvl w:val="0"/>
        <w:rPr>
          <w:rFonts w:ascii="黑体" w:hAnsi="黑体" w:eastAsia="黑体"/>
          <w:sz w:val="32"/>
          <w:szCs w:val="32"/>
        </w:rPr>
      </w:pPr>
      <w:r>
        <w:rPr>
          <w:rFonts w:hint="eastAsia" w:ascii="黑体" w:hAnsi="黑体" w:eastAsia="黑体"/>
          <w:sz w:val="32"/>
          <w:szCs w:val="32"/>
        </w:rPr>
        <w:t>二、自评工作情况</w:t>
      </w:r>
    </w:p>
    <w:p>
      <w:pPr>
        <w:spacing w:line="360" w:lineRule="auto"/>
        <w:outlineLvl w:val="1"/>
        <w:rPr>
          <w:rFonts w:ascii="楷体_GB2312" w:hAnsi="楷体_GB2312" w:eastAsia="楷体_GB2312" w:cs="楷体_GB2312"/>
          <w:sz w:val="32"/>
          <w:szCs w:val="32"/>
        </w:rPr>
      </w:pPr>
      <w:r>
        <w:rPr>
          <w:rFonts w:hint="eastAsia" w:ascii="楷体_GB2312" w:hAnsi="楷体_GB2312" w:eastAsia="楷体_GB2312" w:cs="楷体_GB2312"/>
          <w:b/>
          <w:bCs/>
          <w:sz w:val="32"/>
          <w:szCs w:val="32"/>
        </w:rPr>
        <w:t>（一）自评的组织工作</w:t>
      </w:r>
    </w:p>
    <w:p>
      <w:pPr>
        <w:widowControl w:val="0"/>
        <w:numPr>
          <w:ilvl w:val="0"/>
          <w:numId w:val="0"/>
        </w:numPr>
        <w:wordWrap/>
        <w:spacing w:line="360" w:lineRule="auto"/>
        <w:ind w:left="0" w:leftChars="0" w:right="0" w:firstLine="640"/>
        <w:textAlignment w:val="auto"/>
        <w:outlineLvl w:val="9"/>
        <w:rPr>
          <w:rFonts w:hint="eastAsia" w:ascii="仿宋_GB2312" w:eastAsia="仿宋_GB2312"/>
          <w:color w:val="auto"/>
          <w:sz w:val="32"/>
          <w:szCs w:val="32"/>
          <w:u w:val="none"/>
        </w:rPr>
      </w:pPr>
      <w:r>
        <w:rPr>
          <w:rFonts w:hint="eastAsia" w:ascii="仿宋_GB2312" w:eastAsia="仿宋_GB2312"/>
          <w:sz w:val="32"/>
          <w:szCs w:val="32"/>
        </w:rPr>
        <w:t>我台对项目评价工作非常重视，成立了石家庄广播电视绩效自评工作组。由商业南副台长同志任组长。成员包括财务部主任申媛和陶丽宏、新闻综合频道总监韩涛同志、新闻综合频道副总监邵猛同志。</w:t>
      </w:r>
      <w:r>
        <w:rPr>
          <w:rFonts w:hint="eastAsia" w:ascii="仿宋_GB2312" w:eastAsia="仿宋_GB2312"/>
          <w:sz w:val="32"/>
          <w:szCs w:val="32"/>
          <w:u w:val="none"/>
        </w:rPr>
        <w:t>成立了石家庄广播电视台</w:t>
      </w:r>
      <w:r>
        <w:rPr>
          <w:rFonts w:hint="eastAsia" w:ascii="仿宋_GB2312" w:eastAsia="仿宋_GB2312"/>
          <w:sz w:val="32"/>
          <w:szCs w:val="32"/>
          <w:u w:val="none"/>
          <w:lang w:eastAsia="zh-CN"/>
        </w:rPr>
        <w:t>《音乐广播节目制作》</w:t>
      </w:r>
      <w:r>
        <w:rPr>
          <w:rFonts w:hint="eastAsia" w:ascii="仿宋_GB2312" w:eastAsia="仿宋_GB2312"/>
          <w:sz w:val="32"/>
          <w:szCs w:val="32"/>
          <w:u w:val="none"/>
        </w:rPr>
        <w:t>项目绩效自评工作组。</w:t>
      </w:r>
      <w:r>
        <w:rPr>
          <w:rFonts w:hint="eastAsia" w:ascii="仿宋_GB2312" w:eastAsia="仿宋_GB2312"/>
          <w:color w:val="auto"/>
          <w:sz w:val="32"/>
          <w:szCs w:val="32"/>
          <w:u w:val="none"/>
        </w:rPr>
        <w:t>工作组及时召开专门会议，组织有关技术人员进行了认真学习相关法律文件。并按照要求逐项搞好资料检查和现场调查，收集相关评价资料。</w:t>
      </w:r>
    </w:p>
    <w:p>
      <w:pPr>
        <w:spacing w:line="360" w:lineRule="auto"/>
        <w:ind w:firstLine="640"/>
        <w:rPr>
          <w:rFonts w:ascii="仿宋_GB2312" w:eastAsia="仿宋_GB2312"/>
          <w:sz w:val="32"/>
          <w:szCs w:val="32"/>
        </w:rPr>
      </w:pPr>
    </w:p>
    <w:p>
      <w:pPr>
        <w:numPr>
          <w:ilvl w:val="0"/>
          <w:numId w:val="1"/>
        </w:numPr>
        <w:spacing w:line="360" w:lineRule="auto"/>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自评的方法和过程</w:t>
      </w:r>
    </w:p>
    <w:p>
      <w:pPr>
        <w:spacing w:line="360" w:lineRule="auto"/>
        <w:ind w:firstLine="640"/>
        <w:outlineLvl w:val="2"/>
        <w:rPr>
          <w:rFonts w:ascii="仿宋_GB2312" w:eastAsia="仿宋_GB2312"/>
          <w:sz w:val="32"/>
          <w:szCs w:val="32"/>
        </w:rPr>
      </w:pPr>
      <w:r>
        <w:rPr>
          <w:rFonts w:hint="eastAsia" w:ascii="仿宋_GB2312" w:eastAsia="仿宋_GB2312"/>
          <w:sz w:val="32"/>
          <w:szCs w:val="32"/>
        </w:rPr>
        <w:t>1、制定了项目绩效自评打分标准和项目绩效自评打分表。</w:t>
      </w:r>
    </w:p>
    <w:p>
      <w:pPr>
        <w:spacing w:line="360" w:lineRule="auto"/>
        <w:ind w:firstLine="640"/>
        <w:outlineLvl w:val="2"/>
        <w:rPr>
          <w:rFonts w:ascii="仿宋_GB2312" w:eastAsia="仿宋_GB2312"/>
          <w:sz w:val="32"/>
          <w:szCs w:val="32"/>
        </w:rPr>
      </w:pPr>
      <w:r>
        <w:rPr>
          <w:rFonts w:hint="eastAsia" w:ascii="仿宋_GB2312" w:eastAsia="仿宋_GB2312"/>
          <w:sz w:val="32"/>
          <w:szCs w:val="32"/>
        </w:rPr>
        <w:t>2、评价工作组采用对照方法，按财政要求从项目产出指标、预算执行率指标、效益指标、满意度指标四个方面，对照实际执行情况进行评价打分。</w:t>
      </w:r>
    </w:p>
    <w:p>
      <w:pPr>
        <w:spacing w:line="360" w:lineRule="auto"/>
        <w:ind w:firstLine="640"/>
        <w:outlineLvl w:val="2"/>
        <w:rPr>
          <w:rFonts w:ascii="仿宋_GB2312" w:eastAsia="仿宋_GB2312"/>
          <w:sz w:val="32"/>
          <w:szCs w:val="32"/>
        </w:rPr>
      </w:pPr>
      <w:r>
        <w:rPr>
          <w:rFonts w:hint="eastAsia" w:ascii="仿宋_GB2312" w:eastAsia="仿宋_GB2312"/>
          <w:sz w:val="32"/>
          <w:szCs w:val="32"/>
        </w:rPr>
        <w:t>3、评价工作组根据绩效评价结果撰写绩效评价报告。</w:t>
      </w:r>
    </w:p>
    <w:p>
      <w:pPr>
        <w:spacing w:line="360" w:lineRule="auto"/>
        <w:outlineLvl w:val="1"/>
        <w:rPr>
          <w:rFonts w:ascii="仿宋_GB2312" w:eastAsia="仿宋_GB2312"/>
          <w:b/>
          <w:bCs/>
          <w:sz w:val="32"/>
          <w:szCs w:val="32"/>
        </w:rPr>
      </w:pPr>
      <w:r>
        <w:rPr>
          <w:rFonts w:hint="eastAsia" w:ascii="楷体_GB2312" w:hAnsi="楷体_GB2312" w:eastAsia="楷体_GB2312" w:cs="楷体_GB2312"/>
          <w:b/>
          <w:bCs/>
          <w:sz w:val="32"/>
          <w:szCs w:val="32"/>
        </w:rPr>
        <w:t xml:space="preserve">    （三）建立绩效评价指标体系</w:t>
      </w:r>
    </w:p>
    <w:p>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制定了项目绩效自评打分标准并完成了项目绩效自评打分表。</w:t>
      </w:r>
    </w:p>
    <w:p>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项目绩效评价指标体系</w:t>
      </w:r>
    </w:p>
    <w:tbl>
      <w:tblPr>
        <w:tblStyle w:val="8"/>
        <w:tblW w:w="8360" w:type="dxa"/>
        <w:tblInd w:w="93" w:type="dxa"/>
        <w:tblLayout w:type="fixed"/>
        <w:tblCellMar>
          <w:top w:w="0" w:type="dxa"/>
          <w:left w:w="108" w:type="dxa"/>
          <w:bottom w:w="0" w:type="dxa"/>
          <w:right w:w="108" w:type="dxa"/>
        </w:tblCellMar>
      </w:tblPr>
      <w:tblGrid>
        <w:gridCol w:w="880"/>
        <w:gridCol w:w="1000"/>
        <w:gridCol w:w="2360"/>
        <w:gridCol w:w="1920"/>
        <w:gridCol w:w="1020"/>
        <w:gridCol w:w="1180"/>
      </w:tblGrid>
      <w:tr>
        <w:tblPrEx>
          <w:tblLayout w:type="fixed"/>
          <w:tblCellMar>
            <w:top w:w="0" w:type="dxa"/>
            <w:left w:w="108" w:type="dxa"/>
            <w:bottom w:w="0" w:type="dxa"/>
            <w:right w:w="108" w:type="dxa"/>
          </w:tblCellMar>
        </w:tblPrEx>
        <w:trPr>
          <w:trHeight w:val="270" w:hRule="atLeast"/>
        </w:trPr>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一级指标</w:t>
            </w:r>
          </w:p>
        </w:tc>
        <w:tc>
          <w:tcPr>
            <w:tcW w:w="1000"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二级指标</w:t>
            </w:r>
          </w:p>
        </w:tc>
        <w:tc>
          <w:tcPr>
            <w:tcW w:w="2360"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三级指标</w:t>
            </w:r>
          </w:p>
        </w:tc>
        <w:tc>
          <w:tcPr>
            <w:tcW w:w="1920"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预期指标值</w:t>
            </w:r>
          </w:p>
        </w:tc>
        <w:tc>
          <w:tcPr>
            <w:tcW w:w="1020"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实际完成值</w:t>
            </w:r>
          </w:p>
        </w:tc>
        <w:tc>
          <w:tcPr>
            <w:tcW w:w="1180"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自评得分</w:t>
            </w:r>
          </w:p>
        </w:tc>
      </w:tr>
      <w:tr>
        <w:tblPrEx>
          <w:tblLayout w:type="fixed"/>
          <w:tblCellMar>
            <w:top w:w="0" w:type="dxa"/>
            <w:left w:w="108" w:type="dxa"/>
            <w:bottom w:w="0" w:type="dxa"/>
            <w:right w:w="108" w:type="dxa"/>
          </w:tblCellMar>
        </w:tblPrEx>
        <w:trPr>
          <w:trHeight w:val="420" w:hRule="atLeast"/>
        </w:trPr>
        <w:tc>
          <w:tcPr>
            <w:tcW w:w="880" w:type="dxa"/>
            <w:vMerge w:val="restart"/>
            <w:tcBorders>
              <w:top w:val="nil"/>
              <w:left w:val="single" w:color="000000" w:sz="4" w:space="0"/>
              <w:bottom w:val="nil"/>
              <w:right w:val="single" w:color="000000"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产出指标（40）</w:t>
            </w:r>
          </w:p>
        </w:tc>
        <w:tc>
          <w:tcPr>
            <w:tcW w:w="1000" w:type="dxa"/>
            <w:vMerge w:val="restart"/>
            <w:tcBorders>
              <w:top w:val="nil"/>
              <w:left w:val="single" w:color="000000" w:sz="4" w:space="0"/>
              <w:bottom w:val="nil"/>
              <w:right w:val="single" w:color="000000"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数量指标 （10分）</w:t>
            </w:r>
          </w:p>
        </w:tc>
        <w:tc>
          <w:tcPr>
            <w:tcW w:w="2360" w:type="dxa"/>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cs="宋体"/>
                <w:color w:val="000000"/>
                <w:kern w:val="0"/>
                <w:sz w:val="16"/>
                <w:szCs w:val="16"/>
              </w:rPr>
            </w:pPr>
            <w:r>
              <w:rPr>
                <w:rFonts w:hint="eastAsia" w:ascii="宋体" w:hAnsi="宋体" w:cs="宋体"/>
                <w:color w:val="000000"/>
                <w:kern w:val="0"/>
                <w:sz w:val="16"/>
                <w:szCs w:val="16"/>
              </w:rPr>
              <w:t>完成电视剧采购任务</w:t>
            </w:r>
            <w:r>
              <w:rPr>
                <w:rFonts w:hint="eastAsia" w:ascii="宋体" w:hAnsi="宋体" w:cs="宋体"/>
                <w:color w:val="000000"/>
                <w:kern w:val="0"/>
                <w:sz w:val="16"/>
                <w:szCs w:val="16"/>
                <w:lang w:eastAsia="zh-CN"/>
              </w:rPr>
              <w:t>，完成全年线上播出。</w:t>
            </w:r>
            <w:r>
              <w:rPr>
                <w:rFonts w:hint="eastAsia" w:ascii="宋体" w:hAnsi="宋体" w:cs="宋体"/>
                <w:color w:val="000000"/>
                <w:kern w:val="0"/>
                <w:sz w:val="16"/>
                <w:szCs w:val="16"/>
              </w:rPr>
              <w:t>（5分）</w:t>
            </w:r>
          </w:p>
        </w:tc>
        <w:tc>
          <w:tcPr>
            <w:tcW w:w="192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最终实现电视剧采编播任务超额完成</w:t>
            </w:r>
          </w:p>
        </w:tc>
        <w:tc>
          <w:tcPr>
            <w:tcW w:w="1020" w:type="dxa"/>
            <w:tcBorders>
              <w:top w:val="nil"/>
              <w:left w:val="nil"/>
              <w:bottom w:val="single" w:color="000000" w:sz="4" w:space="0"/>
              <w:right w:val="single" w:color="000000" w:sz="4" w:space="0"/>
            </w:tcBorders>
            <w:shd w:val="clear" w:color="auto" w:fill="auto"/>
            <w:vAlign w:val="center"/>
          </w:tcPr>
          <w:p>
            <w:pPr>
              <w:widowControl/>
              <w:jc w:val="center"/>
              <w:rPr>
                <w:rFonts w:cs="Calibri"/>
                <w:color w:val="000000"/>
                <w:kern w:val="0"/>
                <w:szCs w:val="21"/>
              </w:rPr>
            </w:pPr>
            <w:r>
              <w:rPr>
                <w:rFonts w:cs="Calibri"/>
                <w:color w:val="000000"/>
                <w:kern w:val="0"/>
                <w:szCs w:val="21"/>
              </w:rPr>
              <w:t>100%</w:t>
            </w:r>
          </w:p>
        </w:tc>
        <w:tc>
          <w:tcPr>
            <w:tcW w:w="1180" w:type="dxa"/>
            <w:tcBorders>
              <w:top w:val="nil"/>
              <w:left w:val="nil"/>
              <w:bottom w:val="single" w:color="000000" w:sz="4" w:space="0"/>
              <w:right w:val="single" w:color="000000" w:sz="4" w:space="0"/>
            </w:tcBorders>
            <w:shd w:val="clear" w:color="auto" w:fill="auto"/>
            <w:vAlign w:val="center"/>
          </w:tcPr>
          <w:p>
            <w:pPr>
              <w:widowControl/>
              <w:jc w:val="center"/>
              <w:rPr>
                <w:rFonts w:cs="Calibri"/>
                <w:color w:val="000000"/>
                <w:kern w:val="0"/>
                <w:szCs w:val="21"/>
              </w:rPr>
            </w:pPr>
            <w:r>
              <w:rPr>
                <w:rFonts w:cs="Calibri"/>
                <w:color w:val="000000"/>
                <w:kern w:val="0"/>
                <w:szCs w:val="21"/>
              </w:rPr>
              <w:t>5</w:t>
            </w:r>
          </w:p>
        </w:tc>
      </w:tr>
      <w:tr>
        <w:tblPrEx>
          <w:tblLayout w:type="fixed"/>
          <w:tblCellMar>
            <w:top w:w="0" w:type="dxa"/>
            <w:left w:w="108" w:type="dxa"/>
            <w:bottom w:w="0" w:type="dxa"/>
            <w:right w:w="108" w:type="dxa"/>
          </w:tblCellMar>
        </w:tblPrEx>
        <w:trPr>
          <w:trHeight w:val="1482" w:hRule="atLeast"/>
        </w:trPr>
        <w:tc>
          <w:tcPr>
            <w:tcW w:w="880" w:type="dxa"/>
            <w:vMerge w:val="continue"/>
            <w:tcBorders>
              <w:top w:val="nil"/>
              <w:left w:val="single" w:color="000000" w:sz="4" w:space="0"/>
              <w:bottom w:val="nil"/>
              <w:right w:val="single" w:color="000000" w:sz="4" w:space="0"/>
            </w:tcBorders>
            <w:vAlign w:val="center"/>
          </w:tcPr>
          <w:p>
            <w:pPr>
              <w:widowControl/>
              <w:jc w:val="left"/>
              <w:rPr>
                <w:rFonts w:ascii="宋体" w:hAnsi="宋体" w:cs="宋体"/>
                <w:color w:val="000000"/>
                <w:kern w:val="0"/>
                <w:sz w:val="16"/>
                <w:szCs w:val="16"/>
              </w:rPr>
            </w:pPr>
          </w:p>
        </w:tc>
        <w:tc>
          <w:tcPr>
            <w:tcW w:w="1000" w:type="dxa"/>
            <w:vMerge w:val="continue"/>
            <w:tcBorders>
              <w:top w:val="nil"/>
              <w:left w:val="single" w:color="000000" w:sz="4" w:space="0"/>
              <w:bottom w:val="nil"/>
              <w:right w:val="single" w:color="000000" w:sz="4" w:space="0"/>
            </w:tcBorders>
            <w:vAlign w:val="center"/>
          </w:tcPr>
          <w:p>
            <w:pPr>
              <w:widowControl/>
              <w:jc w:val="left"/>
              <w:rPr>
                <w:rFonts w:ascii="宋体" w:hAnsi="宋体" w:cs="宋体"/>
                <w:color w:val="000000"/>
                <w:kern w:val="0"/>
                <w:sz w:val="16"/>
                <w:szCs w:val="16"/>
              </w:rPr>
            </w:pPr>
          </w:p>
        </w:tc>
        <w:tc>
          <w:tcPr>
            <w:tcW w:w="2360" w:type="dxa"/>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cs="宋体"/>
                <w:color w:val="000000"/>
                <w:kern w:val="0"/>
                <w:sz w:val="16"/>
                <w:szCs w:val="16"/>
              </w:rPr>
            </w:pPr>
            <w:r>
              <w:rPr>
                <w:rFonts w:hint="eastAsia" w:ascii="宋体" w:hAnsi="宋体" w:cs="宋体"/>
                <w:color w:val="000000"/>
                <w:kern w:val="0"/>
                <w:sz w:val="16"/>
                <w:szCs w:val="16"/>
              </w:rPr>
              <w:t>完成新闻综合频道部分运行任务和频道日常节目包装制作任务。</w:t>
            </w:r>
            <w:r>
              <w:rPr>
                <w:rFonts w:hint="eastAsia" w:ascii="宋体" w:hAnsi="宋体" w:cs="宋体"/>
                <w:color w:val="000000"/>
                <w:kern w:val="0"/>
                <w:sz w:val="16"/>
                <w:szCs w:val="16"/>
                <w:lang w:eastAsia="zh-CN"/>
              </w:rPr>
              <w:t>“我们读书吧”线上公益读书活动抖音话题九千多万点击量；七夕“广电塔为爱变成粉红色”主题活动本地微博热榜第二、抖音热榜第四；“1067要你红”系列活动开展了4季，逐步走进客户视野活动</w:t>
            </w:r>
            <w:r>
              <w:rPr>
                <w:rFonts w:hint="eastAsia" w:ascii="宋体" w:hAnsi="宋体" w:cs="宋体"/>
                <w:color w:val="000000"/>
                <w:kern w:val="0"/>
                <w:sz w:val="16"/>
                <w:szCs w:val="16"/>
              </w:rPr>
              <w:t>（5分）</w:t>
            </w:r>
          </w:p>
        </w:tc>
        <w:tc>
          <w:tcPr>
            <w:tcW w:w="192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对市委市政府重点工作开展宣传报道。</w:t>
            </w:r>
          </w:p>
        </w:tc>
        <w:tc>
          <w:tcPr>
            <w:tcW w:w="1020" w:type="dxa"/>
            <w:tcBorders>
              <w:top w:val="nil"/>
              <w:left w:val="nil"/>
              <w:bottom w:val="single" w:color="000000" w:sz="4" w:space="0"/>
              <w:right w:val="single" w:color="000000" w:sz="4" w:space="0"/>
            </w:tcBorders>
            <w:shd w:val="clear" w:color="auto" w:fill="auto"/>
            <w:vAlign w:val="center"/>
          </w:tcPr>
          <w:p>
            <w:pPr>
              <w:widowControl/>
              <w:jc w:val="center"/>
              <w:rPr>
                <w:rFonts w:cs="Calibri"/>
                <w:color w:val="000000"/>
                <w:kern w:val="0"/>
                <w:szCs w:val="21"/>
              </w:rPr>
            </w:pPr>
            <w:r>
              <w:rPr>
                <w:rFonts w:cs="Calibri"/>
                <w:color w:val="000000"/>
                <w:kern w:val="0"/>
                <w:szCs w:val="21"/>
              </w:rPr>
              <w:t>100%</w:t>
            </w:r>
          </w:p>
        </w:tc>
        <w:tc>
          <w:tcPr>
            <w:tcW w:w="1180" w:type="dxa"/>
            <w:tcBorders>
              <w:top w:val="nil"/>
              <w:left w:val="nil"/>
              <w:bottom w:val="single" w:color="000000" w:sz="4" w:space="0"/>
              <w:right w:val="single" w:color="000000" w:sz="4" w:space="0"/>
            </w:tcBorders>
            <w:shd w:val="clear" w:color="auto" w:fill="auto"/>
            <w:vAlign w:val="center"/>
          </w:tcPr>
          <w:p>
            <w:pPr>
              <w:widowControl/>
              <w:jc w:val="center"/>
              <w:rPr>
                <w:rFonts w:cs="Calibri"/>
                <w:color w:val="000000"/>
                <w:kern w:val="0"/>
                <w:szCs w:val="21"/>
              </w:rPr>
            </w:pPr>
            <w:r>
              <w:rPr>
                <w:rFonts w:cs="Calibri"/>
                <w:color w:val="000000"/>
                <w:kern w:val="0"/>
                <w:szCs w:val="21"/>
              </w:rPr>
              <w:t>5</w:t>
            </w:r>
          </w:p>
        </w:tc>
      </w:tr>
      <w:tr>
        <w:tblPrEx>
          <w:tblLayout w:type="fixed"/>
          <w:tblCellMar>
            <w:top w:w="0" w:type="dxa"/>
            <w:left w:w="108" w:type="dxa"/>
            <w:bottom w:w="0" w:type="dxa"/>
            <w:right w:w="108" w:type="dxa"/>
          </w:tblCellMar>
        </w:tblPrEx>
        <w:trPr>
          <w:trHeight w:val="900" w:hRule="atLeast"/>
        </w:trPr>
        <w:tc>
          <w:tcPr>
            <w:tcW w:w="880" w:type="dxa"/>
            <w:vMerge w:val="continue"/>
            <w:tcBorders>
              <w:top w:val="nil"/>
              <w:left w:val="single" w:color="000000" w:sz="4" w:space="0"/>
              <w:bottom w:val="nil"/>
              <w:right w:val="single" w:color="000000" w:sz="4" w:space="0"/>
            </w:tcBorders>
            <w:vAlign w:val="center"/>
          </w:tcPr>
          <w:p>
            <w:pPr>
              <w:widowControl/>
              <w:jc w:val="left"/>
              <w:rPr>
                <w:rFonts w:ascii="宋体" w:hAnsi="宋体" w:cs="宋体"/>
                <w:color w:val="000000"/>
                <w:kern w:val="0"/>
                <w:sz w:val="16"/>
                <w:szCs w:val="16"/>
              </w:rPr>
            </w:pPr>
          </w:p>
        </w:tc>
        <w:tc>
          <w:tcPr>
            <w:tcW w:w="10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质量指标 （10分）</w:t>
            </w:r>
          </w:p>
        </w:tc>
        <w:tc>
          <w:tcPr>
            <w:tcW w:w="2360" w:type="dxa"/>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cs="宋体"/>
                <w:color w:val="000000"/>
                <w:kern w:val="0"/>
                <w:sz w:val="16"/>
                <w:szCs w:val="16"/>
              </w:rPr>
            </w:pPr>
            <w:r>
              <w:rPr>
                <w:rFonts w:hint="eastAsia" w:ascii="宋体" w:hAnsi="宋体" w:cs="宋体"/>
                <w:color w:val="000000"/>
                <w:kern w:val="0"/>
                <w:sz w:val="16"/>
                <w:szCs w:val="16"/>
              </w:rPr>
              <w:t>制作完成频道专题片、宣传片，对重点报道进行整体包装；为市民的精神娱乐生活提供更多选择。立足频率定位，不仅对冬奥会、冬残奥会主题口号、推广歌曲、新版MV进行第一时间宣传发布，并且频率主持人自发联系河北音乐人进行原创歌曲录制。（5分）（5分）</w:t>
            </w:r>
          </w:p>
        </w:tc>
        <w:tc>
          <w:tcPr>
            <w:tcW w:w="192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保质保量的完成宣传任务，</w:t>
            </w:r>
          </w:p>
        </w:tc>
        <w:tc>
          <w:tcPr>
            <w:tcW w:w="1020" w:type="dxa"/>
            <w:tcBorders>
              <w:top w:val="nil"/>
              <w:left w:val="nil"/>
              <w:bottom w:val="single" w:color="000000" w:sz="4" w:space="0"/>
              <w:right w:val="single" w:color="000000" w:sz="4" w:space="0"/>
            </w:tcBorders>
            <w:shd w:val="clear" w:color="auto" w:fill="auto"/>
            <w:vAlign w:val="center"/>
          </w:tcPr>
          <w:p>
            <w:pPr>
              <w:widowControl/>
              <w:jc w:val="center"/>
              <w:rPr>
                <w:rFonts w:cs="Calibri"/>
                <w:color w:val="000000"/>
                <w:kern w:val="0"/>
                <w:szCs w:val="21"/>
              </w:rPr>
            </w:pPr>
            <w:r>
              <w:rPr>
                <w:rFonts w:cs="Calibri"/>
                <w:color w:val="000000"/>
                <w:kern w:val="0"/>
                <w:szCs w:val="21"/>
              </w:rPr>
              <w:t>100%</w:t>
            </w:r>
          </w:p>
        </w:tc>
        <w:tc>
          <w:tcPr>
            <w:tcW w:w="1180" w:type="dxa"/>
            <w:tcBorders>
              <w:top w:val="nil"/>
              <w:left w:val="nil"/>
              <w:bottom w:val="single" w:color="000000" w:sz="4" w:space="0"/>
              <w:right w:val="single" w:color="000000" w:sz="4" w:space="0"/>
            </w:tcBorders>
            <w:shd w:val="clear" w:color="auto" w:fill="auto"/>
            <w:vAlign w:val="center"/>
          </w:tcPr>
          <w:p>
            <w:pPr>
              <w:widowControl/>
              <w:jc w:val="center"/>
              <w:rPr>
                <w:rFonts w:cs="Calibri"/>
                <w:color w:val="000000"/>
                <w:kern w:val="0"/>
                <w:szCs w:val="21"/>
              </w:rPr>
            </w:pPr>
            <w:r>
              <w:rPr>
                <w:rFonts w:cs="Calibri"/>
                <w:color w:val="000000"/>
                <w:kern w:val="0"/>
                <w:szCs w:val="21"/>
              </w:rPr>
              <w:t>5</w:t>
            </w:r>
          </w:p>
        </w:tc>
      </w:tr>
      <w:tr>
        <w:tblPrEx>
          <w:tblLayout w:type="fixed"/>
          <w:tblCellMar>
            <w:top w:w="0" w:type="dxa"/>
            <w:left w:w="108" w:type="dxa"/>
            <w:bottom w:w="0" w:type="dxa"/>
            <w:right w:w="108" w:type="dxa"/>
          </w:tblCellMar>
        </w:tblPrEx>
        <w:trPr>
          <w:trHeight w:val="1020" w:hRule="atLeast"/>
        </w:trPr>
        <w:tc>
          <w:tcPr>
            <w:tcW w:w="880" w:type="dxa"/>
            <w:vMerge w:val="continue"/>
            <w:tcBorders>
              <w:top w:val="nil"/>
              <w:left w:val="single" w:color="000000" w:sz="4" w:space="0"/>
              <w:bottom w:val="nil"/>
              <w:right w:val="single" w:color="000000" w:sz="4" w:space="0"/>
            </w:tcBorders>
            <w:vAlign w:val="center"/>
          </w:tcPr>
          <w:p>
            <w:pPr>
              <w:widowControl/>
              <w:jc w:val="left"/>
              <w:rPr>
                <w:rFonts w:ascii="宋体" w:hAnsi="宋体" w:cs="宋体"/>
                <w:color w:val="000000"/>
                <w:kern w:val="0"/>
                <w:sz w:val="16"/>
                <w:szCs w:val="16"/>
              </w:rPr>
            </w:pPr>
          </w:p>
        </w:tc>
        <w:tc>
          <w:tcPr>
            <w:tcW w:w="10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cs="宋体"/>
                <w:color w:val="000000"/>
                <w:kern w:val="0"/>
                <w:sz w:val="16"/>
                <w:szCs w:val="16"/>
              </w:rPr>
            </w:pPr>
          </w:p>
        </w:tc>
        <w:tc>
          <w:tcPr>
            <w:tcW w:w="2360" w:type="dxa"/>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cs="宋体"/>
                <w:color w:val="000000"/>
                <w:kern w:val="0"/>
                <w:sz w:val="16"/>
                <w:szCs w:val="16"/>
              </w:rPr>
            </w:pPr>
            <w:r>
              <w:rPr>
                <w:rFonts w:hint="eastAsia" w:ascii="宋体" w:hAnsi="宋体" w:cs="宋体"/>
                <w:color w:val="000000"/>
                <w:kern w:val="0"/>
                <w:sz w:val="16"/>
                <w:szCs w:val="16"/>
              </w:rPr>
              <w:t>1067爱心小木屋志愿服务项目荣获石家庄市精神文明委员会授予的“石家庄市志愿服务创新项目”荣誉称号</w:t>
            </w:r>
            <w:r>
              <w:rPr>
                <w:rFonts w:hint="eastAsia" w:ascii="宋体" w:hAnsi="宋体" w:cs="宋体"/>
                <w:color w:val="000000"/>
                <w:kern w:val="0"/>
                <w:sz w:val="16"/>
                <w:szCs w:val="16"/>
                <w:lang w:eastAsia="zh-CN"/>
              </w:rPr>
              <w:t>。</w:t>
            </w:r>
            <w:r>
              <w:rPr>
                <w:rFonts w:hint="eastAsia" w:ascii="宋体" w:hAnsi="宋体" w:cs="宋体"/>
                <w:color w:val="000000"/>
                <w:kern w:val="0"/>
                <w:sz w:val="16"/>
                <w:szCs w:val="16"/>
              </w:rPr>
              <w:t>体现节目主流媒体播出特性（5分）</w:t>
            </w:r>
          </w:p>
        </w:tc>
        <w:tc>
          <w:tcPr>
            <w:tcW w:w="192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在建党100周年的宣传报道和电视问政类民生问题的宣传报道上，形成了良好的社会效应。</w:t>
            </w:r>
          </w:p>
        </w:tc>
        <w:tc>
          <w:tcPr>
            <w:tcW w:w="1020" w:type="dxa"/>
            <w:tcBorders>
              <w:top w:val="nil"/>
              <w:left w:val="nil"/>
              <w:bottom w:val="single" w:color="000000" w:sz="4" w:space="0"/>
              <w:right w:val="single" w:color="000000" w:sz="4" w:space="0"/>
            </w:tcBorders>
            <w:shd w:val="clear" w:color="auto" w:fill="auto"/>
            <w:vAlign w:val="center"/>
          </w:tcPr>
          <w:p>
            <w:pPr>
              <w:widowControl/>
              <w:jc w:val="center"/>
              <w:rPr>
                <w:rFonts w:cs="Calibri"/>
                <w:color w:val="000000"/>
                <w:kern w:val="0"/>
                <w:szCs w:val="21"/>
              </w:rPr>
            </w:pPr>
            <w:r>
              <w:rPr>
                <w:rFonts w:cs="Calibri"/>
                <w:color w:val="000000"/>
                <w:kern w:val="0"/>
                <w:szCs w:val="21"/>
              </w:rPr>
              <w:t>100%</w:t>
            </w:r>
          </w:p>
        </w:tc>
        <w:tc>
          <w:tcPr>
            <w:tcW w:w="1180" w:type="dxa"/>
            <w:tcBorders>
              <w:top w:val="nil"/>
              <w:left w:val="nil"/>
              <w:bottom w:val="single" w:color="000000" w:sz="4" w:space="0"/>
              <w:right w:val="single" w:color="000000" w:sz="4" w:space="0"/>
            </w:tcBorders>
            <w:shd w:val="clear" w:color="auto" w:fill="auto"/>
            <w:vAlign w:val="center"/>
          </w:tcPr>
          <w:p>
            <w:pPr>
              <w:widowControl/>
              <w:jc w:val="center"/>
              <w:rPr>
                <w:rFonts w:cs="Calibri"/>
                <w:color w:val="000000"/>
                <w:kern w:val="0"/>
                <w:szCs w:val="21"/>
              </w:rPr>
            </w:pPr>
            <w:r>
              <w:rPr>
                <w:rFonts w:cs="Calibri"/>
                <w:color w:val="000000"/>
                <w:kern w:val="0"/>
                <w:szCs w:val="21"/>
              </w:rPr>
              <w:t>5</w:t>
            </w:r>
          </w:p>
        </w:tc>
      </w:tr>
      <w:tr>
        <w:tblPrEx>
          <w:tblLayout w:type="fixed"/>
          <w:tblCellMar>
            <w:top w:w="0" w:type="dxa"/>
            <w:left w:w="108" w:type="dxa"/>
            <w:bottom w:w="0" w:type="dxa"/>
            <w:right w:w="108" w:type="dxa"/>
          </w:tblCellMar>
        </w:tblPrEx>
        <w:trPr>
          <w:trHeight w:val="1140" w:hRule="atLeast"/>
        </w:trPr>
        <w:tc>
          <w:tcPr>
            <w:tcW w:w="880" w:type="dxa"/>
            <w:vMerge w:val="continue"/>
            <w:tcBorders>
              <w:top w:val="nil"/>
              <w:left w:val="single" w:color="000000" w:sz="4" w:space="0"/>
              <w:bottom w:val="nil"/>
              <w:right w:val="single" w:color="000000" w:sz="4" w:space="0"/>
            </w:tcBorders>
            <w:vAlign w:val="center"/>
          </w:tcPr>
          <w:p>
            <w:pPr>
              <w:widowControl/>
              <w:jc w:val="left"/>
              <w:rPr>
                <w:rFonts w:ascii="宋体" w:hAnsi="宋体" w:cs="宋体"/>
                <w:color w:val="000000"/>
                <w:kern w:val="0"/>
                <w:sz w:val="16"/>
                <w:szCs w:val="16"/>
              </w:rPr>
            </w:pPr>
          </w:p>
        </w:tc>
        <w:tc>
          <w:tcPr>
            <w:tcW w:w="100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时效指标(10分)</w:t>
            </w:r>
          </w:p>
        </w:tc>
        <w:tc>
          <w:tcPr>
            <w:tcW w:w="2360" w:type="dxa"/>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cs="宋体"/>
                <w:color w:val="000000"/>
                <w:kern w:val="0"/>
                <w:sz w:val="16"/>
                <w:szCs w:val="16"/>
              </w:rPr>
            </w:pPr>
            <w:r>
              <w:rPr>
                <w:rFonts w:hint="eastAsia" w:ascii="宋体" w:hAnsi="宋体" w:cs="宋体"/>
                <w:color w:val="000000"/>
                <w:kern w:val="0"/>
                <w:sz w:val="16"/>
                <w:szCs w:val="16"/>
              </w:rPr>
              <w:t>围绕市委市政府重点工作开展宣传报道，紧跟重点工作时间节点。结合全年节庆节点进行提前策划，使节目不仅丰富度高而且具有即时播出性（10分）</w:t>
            </w:r>
          </w:p>
        </w:tc>
        <w:tc>
          <w:tcPr>
            <w:tcW w:w="192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提高效率</w:t>
            </w:r>
            <w:r>
              <w:rPr>
                <w:rFonts w:cs="Calibri"/>
                <w:color w:val="000000"/>
                <w:kern w:val="0"/>
                <w:sz w:val="16"/>
                <w:szCs w:val="16"/>
              </w:rPr>
              <w:t>60%</w:t>
            </w:r>
          </w:p>
        </w:tc>
        <w:tc>
          <w:tcPr>
            <w:tcW w:w="1020" w:type="dxa"/>
            <w:tcBorders>
              <w:top w:val="nil"/>
              <w:left w:val="nil"/>
              <w:bottom w:val="single" w:color="000000" w:sz="4" w:space="0"/>
              <w:right w:val="single" w:color="000000" w:sz="4" w:space="0"/>
            </w:tcBorders>
            <w:shd w:val="clear" w:color="auto" w:fill="auto"/>
            <w:vAlign w:val="center"/>
          </w:tcPr>
          <w:p>
            <w:pPr>
              <w:widowControl/>
              <w:jc w:val="center"/>
              <w:rPr>
                <w:rFonts w:cs="Calibri"/>
                <w:color w:val="000000"/>
                <w:kern w:val="0"/>
                <w:szCs w:val="21"/>
              </w:rPr>
            </w:pPr>
            <w:r>
              <w:rPr>
                <w:rFonts w:cs="Calibri"/>
                <w:color w:val="000000"/>
                <w:kern w:val="0"/>
                <w:szCs w:val="21"/>
              </w:rPr>
              <w:t>100%</w:t>
            </w:r>
          </w:p>
        </w:tc>
        <w:tc>
          <w:tcPr>
            <w:tcW w:w="1180" w:type="dxa"/>
            <w:tcBorders>
              <w:top w:val="nil"/>
              <w:left w:val="nil"/>
              <w:bottom w:val="single" w:color="000000" w:sz="4" w:space="0"/>
              <w:right w:val="single" w:color="000000" w:sz="4" w:space="0"/>
            </w:tcBorders>
            <w:shd w:val="clear" w:color="auto" w:fill="auto"/>
            <w:vAlign w:val="center"/>
          </w:tcPr>
          <w:p>
            <w:pPr>
              <w:widowControl/>
              <w:jc w:val="center"/>
              <w:rPr>
                <w:rFonts w:cs="Calibri"/>
                <w:color w:val="000000"/>
                <w:kern w:val="0"/>
                <w:szCs w:val="21"/>
              </w:rPr>
            </w:pPr>
            <w:r>
              <w:rPr>
                <w:rFonts w:cs="Calibri"/>
                <w:color w:val="000000"/>
                <w:kern w:val="0"/>
                <w:szCs w:val="21"/>
              </w:rPr>
              <w:t>10</w:t>
            </w:r>
          </w:p>
        </w:tc>
      </w:tr>
      <w:tr>
        <w:tblPrEx>
          <w:tblLayout w:type="fixed"/>
          <w:tblCellMar>
            <w:top w:w="0" w:type="dxa"/>
            <w:left w:w="108" w:type="dxa"/>
            <w:bottom w:w="0" w:type="dxa"/>
            <w:right w:w="108" w:type="dxa"/>
          </w:tblCellMar>
        </w:tblPrEx>
        <w:trPr>
          <w:trHeight w:val="420" w:hRule="atLeast"/>
        </w:trPr>
        <w:tc>
          <w:tcPr>
            <w:tcW w:w="880" w:type="dxa"/>
            <w:vMerge w:val="continue"/>
            <w:tcBorders>
              <w:top w:val="nil"/>
              <w:left w:val="single" w:color="000000" w:sz="4" w:space="0"/>
              <w:bottom w:val="nil"/>
              <w:right w:val="single" w:color="000000" w:sz="4" w:space="0"/>
            </w:tcBorders>
            <w:vAlign w:val="center"/>
          </w:tcPr>
          <w:p>
            <w:pPr>
              <w:widowControl/>
              <w:jc w:val="left"/>
              <w:rPr>
                <w:rFonts w:ascii="宋体" w:hAnsi="宋体" w:cs="宋体"/>
                <w:color w:val="000000"/>
                <w:kern w:val="0"/>
                <w:sz w:val="16"/>
                <w:szCs w:val="16"/>
              </w:rPr>
            </w:pPr>
          </w:p>
        </w:tc>
        <w:tc>
          <w:tcPr>
            <w:tcW w:w="100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成本指标 （10分）</w:t>
            </w:r>
          </w:p>
        </w:tc>
        <w:tc>
          <w:tcPr>
            <w:tcW w:w="2360" w:type="dxa"/>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cs="宋体"/>
                <w:color w:val="000000"/>
                <w:kern w:val="0"/>
                <w:sz w:val="16"/>
                <w:szCs w:val="16"/>
              </w:rPr>
            </w:pPr>
            <w:r>
              <w:rPr>
                <w:rFonts w:hint="eastAsia" w:ascii="宋体" w:hAnsi="宋体" w:cs="宋体"/>
                <w:color w:val="000000"/>
                <w:kern w:val="0"/>
                <w:sz w:val="16"/>
                <w:szCs w:val="16"/>
              </w:rPr>
              <w:t>利用５Ｇ操作系统减少制作成本支出。压缩制作成本支出。（10分）</w:t>
            </w:r>
          </w:p>
        </w:tc>
        <w:tc>
          <w:tcPr>
            <w:tcW w:w="192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预估完成后减少</w:t>
            </w:r>
            <w:r>
              <w:rPr>
                <w:rFonts w:cs="Calibri"/>
                <w:color w:val="000000"/>
                <w:kern w:val="0"/>
                <w:sz w:val="16"/>
                <w:szCs w:val="16"/>
              </w:rPr>
              <w:t>20%</w:t>
            </w:r>
          </w:p>
        </w:tc>
        <w:tc>
          <w:tcPr>
            <w:tcW w:w="1020" w:type="dxa"/>
            <w:tcBorders>
              <w:top w:val="nil"/>
              <w:left w:val="nil"/>
              <w:bottom w:val="single" w:color="000000" w:sz="4" w:space="0"/>
              <w:right w:val="single" w:color="000000" w:sz="4" w:space="0"/>
            </w:tcBorders>
            <w:shd w:val="clear" w:color="auto" w:fill="auto"/>
            <w:vAlign w:val="center"/>
          </w:tcPr>
          <w:p>
            <w:pPr>
              <w:widowControl/>
              <w:jc w:val="center"/>
              <w:rPr>
                <w:rFonts w:cs="Calibri"/>
                <w:color w:val="000000"/>
                <w:kern w:val="0"/>
                <w:szCs w:val="21"/>
              </w:rPr>
            </w:pPr>
            <w:r>
              <w:rPr>
                <w:rFonts w:cs="Calibri"/>
                <w:color w:val="000000"/>
                <w:kern w:val="0"/>
                <w:szCs w:val="21"/>
              </w:rPr>
              <w:t>100%</w:t>
            </w:r>
          </w:p>
        </w:tc>
        <w:tc>
          <w:tcPr>
            <w:tcW w:w="1180" w:type="dxa"/>
            <w:tcBorders>
              <w:top w:val="nil"/>
              <w:left w:val="nil"/>
              <w:bottom w:val="single" w:color="000000" w:sz="4" w:space="0"/>
              <w:right w:val="single" w:color="000000" w:sz="4" w:space="0"/>
            </w:tcBorders>
            <w:shd w:val="clear" w:color="auto" w:fill="auto"/>
            <w:vAlign w:val="center"/>
          </w:tcPr>
          <w:p>
            <w:pPr>
              <w:widowControl/>
              <w:jc w:val="center"/>
              <w:rPr>
                <w:rFonts w:cs="Calibri"/>
                <w:color w:val="000000"/>
                <w:kern w:val="0"/>
                <w:szCs w:val="21"/>
              </w:rPr>
            </w:pPr>
            <w:r>
              <w:rPr>
                <w:rFonts w:cs="Calibri"/>
                <w:color w:val="000000"/>
                <w:kern w:val="0"/>
                <w:szCs w:val="21"/>
              </w:rPr>
              <w:t>10</w:t>
            </w:r>
          </w:p>
        </w:tc>
      </w:tr>
      <w:tr>
        <w:tblPrEx>
          <w:tblLayout w:type="fixed"/>
          <w:tblCellMar>
            <w:top w:w="0" w:type="dxa"/>
            <w:left w:w="108" w:type="dxa"/>
            <w:bottom w:w="0" w:type="dxa"/>
            <w:right w:w="108" w:type="dxa"/>
          </w:tblCellMar>
        </w:tblPrEx>
        <w:trPr>
          <w:trHeight w:val="480" w:hRule="atLeast"/>
        </w:trPr>
        <w:tc>
          <w:tcPr>
            <w:tcW w:w="88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预算执行率指标(10分)</w:t>
            </w:r>
          </w:p>
        </w:tc>
        <w:tc>
          <w:tcPr>
            <w:tcW w:w="100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预算执行率</w:t>
            </w:r>
          </w:p>
        </w:tc>
        <w:tc>
          <w:tcPr>
            <w:tcW w:w="2360"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按制作节目计划进度支付款项</w:t>
            </w:r>
          </w:p>
        </w:tc>
        <w:tc>
          <w:tcPr>
            <w:tcW w:w="192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支付计划额的95%</w:t>
            </w:r>
          </w:p>
        </w:tc>
        <w:tc>
          <w:tcPr>
            <w:tcW w:w="1020" w:type="dxa"/>
            <w:tcBorders>
              <w:top w:val="nil"/>
              <w:left w:val="nil"/>
              <w:bottom w:val="single" w:color="000000" w:sz="4" w:space="0"/>
              <w:right w:val="single" w:color="000000" w:sz="4" w:space="0"/>
            </w:tcBorders>
            <w:shd w:val="clear" w:color="auto" w:fill="auto"/>
            <w:vAlign w:val="center"/>
          </w:tcPr>
          <w:p>
            <w:pPr>
              <w:widowControl/>
              <w:jc w:val="center"/>
              <w:rPr>
                <w:rFonts w:cs="Calibri"/>
                <w:color w:val="000000"/>
                <w:kern w:val="0"/>
                <w:sz w:val="16"/>
                <w:szCs w:val="16"/>
              </w:rPr>
            </w:pPr>
            <w:r>
              <w:rPr>
                <w:rFonts w:cs="Calibri"/>
                <w:color w:val="000000"/>
                <w:kern w:val="0"/>
                <w:sz w:val="16"/>
                <w:szCs w:val="16"/>
              </w:rPr>
              <w:t>100%</w:t>
            </w:r>
          </w:p>
        </w:tc>
        <w:tc>
          <w:tcPr>
            <w:tcW w:w="1180" w:type="dxa"/>
            <w:tcBorders>
              <w:top w:val="nil"/>
              <w:left w:val="nil"/>
              <w:bottom w:val="single" w:color="000000" w:sz="4" w:space="0"/>
              <w:right w:val="single" w:color="000000" w:sz="4" w:space="0"/>
            </w:tcBorders>
            <w:shd w:val="clear" w:color="auto" w:fill="auto"/>
            <w:vAlign w:val="center"/>
          </w:tcPr>
          <w:p>
            <w:pPr>
              <w:widowControl/>
              <w:jc w:val="center"/>
              <w:rPr>
                <w:rFonts w:cs="Calibri"/>
                <w:color w:val="000000"/>
                <w:kern w:val="0"/>
                <w:szCs w:val="21"/>
              </w:rPr>
            </w:pPr>
            <w:r>
              <w:rPr>
                <w:rFonts w:cs="Calibri"/>
                <w:color w:val="000000"/>
                <w:kern w:val="0"/>
                <w:szCs w:val="21"/>
              </w:rPr>
              <w:t>10</w:t>
            </w:r>
          </w:p>
        </w:tc>
      </w:tr>
      <w:tr>
        <w:tblPrEx>
          <w:tblLayout w:type="fixed"/>
          <w:tblCellMar>
            <w:top w:w="0" w:type="dxa"/>
            <w:left w:w="108" w:type="dxa"/>
            <w:bottom w:w="0" w:type="dxa"/>
            <w:right w:w="108" w:type="dxa"/>
          </w:tblCellMar>
        </w:tblPrEx>
        <w:trPr>
          <w:trHeight w:val="660" w:hRule="atLeast"/>
        </w:trPr>
        <w:tc>
          <w:tcPr>
            <w:tcW w:w="880" w:type="dxa"/>
            <w:vMerge w:val="restart"/>
            <w:tcBorders>
              <w:top w:val="nil"/>
              <w:left w:val="single" w:color="000000" w:sz="4" w:space="0"/>
              <w:bottom w:val="nil"/>
              <w:right w:val="single" w:color="000000"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效益指标（40）</w:t>
            </w:r>
          </w:p>
        </w:tc>
        <w:tc>
          <w:tcPr>
            <w:tcW w:w="100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经济效益指标（10分）</w:t>
            </w:r>
          </w:p>
        </w:tc>
        <w:tc>
          <w:tcPr>
            <w:tcW w:w="2360" w:type="dxa"/>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cs="宋体"/>
                <w:color w:val="000000"/>
                <w:kern w:val="0"/>
                <w:sz w:val="16"/>
                <w:szCs w:val="16"/>
              </w:rPr>
            </w:pPr>
            <w:r>
              <w:rPr>
                <w:rFonts w:hint="eastAsia" w:ascii="宋体" w:hAnsi="宋体" w:cs="宋体"/>
                <w:color w:val="000000"/>
                <w:kern w:val="0"/>
                <w:sz w:val="16"/>
                <w:szCs w:val="16"/>
              </w:rPr>
              <w:t>提升主流媒体的影响力和制作力。（10分）</w:t>
            </w:r>
          </w:p>
        </w:tc>
        <w:tc>
          <w:tcPr>
            <w:tcW w:w="192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以吸引更多的企事业单位进行主流宣传和专题片制作</w:t>
            </w:r>
          </w:p>
        </w:tc>
        <w:tc>
          <w:tcPr>
            <w:tcW w:w="1020" w:type="dxa"/>
            <w:tcBorders>
              <w:top w:val="nil"/>
              <w:left w:val="nil"/>
              <w:bottom w:val="single" w:color="000000" w:sz="4" w:space="0"/>
              <w:right w:val="single" w:color="000000" w:sz="4" w:space="0"/>
            </w:tcBorders>
            <w:shd w:val="clear" w:color="auto" w:fill="auto"/>
            <w:vAlign w:val="center"/>
          </w:tcPr>
          <w:p>
            <w:pPr>
              <w:widowControl/>
              <w:jc w:val="center"/>
              <w:rPr>
                <w:rFonts w:cs="Calibri"/>
                <w:color w:val="000000"/>
                <w:kern w:val="0"/>
                <w:szCs w:val="21"/>
              </w:rPr>
            </w:pPr>
            <w:r>
              <w:rPr>
                <w:rFonts w:hint="eastAsia" w:cs="Calibri"/>
                <w:color w:val="000000"/>
                <w:kern w:val="0"/>
                <w:szCs w:val="21"/>
              </w:rPr>
              <w:t>100</w:t>
            </w:r>
            <w:r>
              <w:rPr>
                <w:rFonts w:cs="Calibri"/>
                <w:color w:val="000000"/>
                <w:kern w:val="0"/>
                <w:szCs w:val="21"/>
              </w:rPr>
              <w:t>%</w:t>
            </w:r>
          </w:p>
        </w:tc>
        <w:tc>
          <w:tcPr>
            <w:tcW w:w="1180" w:type="dxa"/>
            <w:tcBorders>
              <w:top w:val="nil"/>
              <w:left w:val="nil"/>
              <w:bottom w:val="single" w:color="000000" w:sz="4" w:space="0"/>
              <w:right w:val="single" w:color="000000" w:sz="4" w:space="0"/>
            </w:tcBorders>
            <w:shd w:val="clear" w:color="auto" w:fill="auto"/>
            <w:vAlign w:val="center"/>
          </w:tcPr>
          <w:p>
            <w:pPr>
              <w:widowControl/>
              <w:jc w:val="center"/>
              <w:rPr>
                <w:rFonts w:cs="Calibri"/>
                <w:color w:val="000000"/>
                <w:kern w:val="0"/>
                <w:szCs w:val="21"/>
              </w:rPr>
            </w:pPr>
            <w:r>
              <w:rPr>
                <w:rFonts w:cs="Calibri"/>
                <w:color w:val="000000"/>
                <w:kern w:val="0"/>
                <w:szCs w:val="21"/>
              </w:rPr>
              <w:t>10</w:t>
            </w:r>
          </w:p>
        </w:tc>
      </w:tr>
      <w:tr>
        <w:tblPrEx>
          <w:tblLayout w:type="fixed"/>
          <w:tblCellMar>
            <w:top w:w="0" w:type="dxa"/>
            <w:left w:w="108" w:type="dxa"/>
            <w:bottom w:w="0" w:type="dxa"/>
            <w:right w:w="108" w:type="dxa"/>
          </w:tblCellMar>
        </w:tblPrEx>
        <w:trPr>
          <w:trHeight w:val="1440" w:hRule="atLeast"/>
        </w:trPr>
        <w:tc>
          <w:tcPr>
            <w:tcW w:w="880" w:type="dxa"/>
            <w:vMerge w:val="continue"/>
            <w:tcBorders>
              <w:top w:val="nil"/>
              <w:left w:val="single" w:color="000000" w:sz="4" w:space="0"/>
              <w:bottom w:val="nil"/>
              <w:right w:val="single" w:color="000000" w:sz="4" w:space="0"/>
            </w:tcBorders>
            <w:vAlign w:val="center"/>
          </w:tcPr>
          <w:p>
            <w:pPr>
              <w:widowControl/>
              <w:jc w:val="left"/>
              <w:rPr>
                <w:rFonts w:ascii="宋体" w:hAnsi="宋体" w:cs="宋体"/>
                <w:color w:val="000000"/>
                <w:kern w:val="0"/>
                <w:sz w:val="16"/>
                <w:szCs w:val="16"/>
              </w:rPr>
            </w:pPr>
          </w:p>
        </w:tc>
        <w:tc>
          <w:tcPr>
            <w:tcW w:w="100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社会效益指标（10分）</w:t>
            </w:r>
          </w:p>
        </w:tc>
        <w:tc>
          <w:tcPr>
            <w:tcW w:w="2360" w:type="dxa"/>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cs="宋体"/>
                <w:color w:val="000000"/>
                <w:kern w:val="0"/>
                <w:sz w:val="16"/>
                <w:szCs w:val="16"/>
              </w:rPr>
            </w:pPr>
            <w:r>
              <w:rPr>
                <w:rFonts w:hint="eastAsia" w:ascii="宋体" w:hAnsi="宋体" w:cs="宋体"/>
                <w:color w:val="000000"/>
                <w:kern w:val="0"/>
                <w:sz w:val="16"/>
                <w:szCs w:val="16"/>
              </w:rPr>
              <w:t>完成了总编辑部安排的扶持项目和第六届公益广告录制以及各项省市参评的组织工作。创作了一批积极向上、体现社会效益和价值引领的优秀公益广告作品</w:t>
            </w:r>
            <w:r>
              <w:rPr>
                <w:rFonts w:hint="eastAsia" w:ascii="宋体" w:hAnsi="宋体" w:cs="宋体"/>
                <w:color w:val="000000"/>
                <w:kern w:val="0"/>
                <w:sz w:val="16"/>
                <w:szCs w:val="16"/>
                <w:lang w:eastAsia="zh-CN"/>
              </w:rPr>
              <w:t>。</w:t>
            </w:r>
            <w:r>
              <w:rPr>
                <w:rFonts w:hint="eastAsia" w:ascii="宋体" w:hAnsi="宋体" w:cs="宋体"/>
                <w:color w:val="000000"/>
                <w:kern w:val="0"/>
                <w:sz w:val="16"/>
                <w:szCs w:val="16"/>
              </w:rPr>
              <w:t>（10分）</w:t>
            </w:r>
            <w:bookmarkStart w:id="0" w:name="_GoBack"/>
            <w:bookmarkEnd w:id="0"/>
          </w:p>
        </w:tc>
        <w:tc>
          <w:tcPr>
            <w:tcW w:w="192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宣讲党的理论新成果，传播国家政策好声音，凝聚发展正能量，及时收集百姓心声，为百姓和政府建立沟通桥梁，为市委市政府的重点工作保驾护航。</w:t>
            </w:r>
          </w:p>
        </w:tc>
        <w:tc>
          <w:tcPr>
            <w:tcW w:w="1020" w:type="dxa"/>
            <w:tcBorders>
              <w:top w:val="nil"/>
              <w:left w:val="nil"/>
              <w:bottom w:val="single" w:color="000000" w:sz="4" w:space="0"/>
              <w:right w:val="single" w:color="000000" w:sz="4" w:space="0"/>
            </w:tcBorders>
            <w:shd w:val="clear" w:color="auto" w:fill="auto"/>
            <w:vAlign w:val="center"/>
          </w:tcPr>
          <w:p>
            <w:pPr>
              <w:widowControl/>
              <w:jc w:val="center"/>
              <w:rPr>
                <w:rFonts w:cs="Calibri"/>
                <w:color w:val="000000"/>
                <w:kern w:val="0"/>
                <w:szCs w:val="21"/>
              </w:rPr>
            </w:pPr>
            <w:r>
              <w:rPr>
                <w:rFonts w:cs="Calibri"/>
                <w:color w:val="000000"/>
                <w:kern w:val="0"/>
                <w:szCs w:val="21"/>
              </w:rPr>
              <w:t>100%</w:t>
            </w:r>
          </w:p>
        </w:tc>
        <w:tc>
          <w:tcPr>
            <w:tcW w:w="1180" w:type="dxa"/>
            <w:tcBorders>
              <w:top w:val="nil"/>
              <w:left w:val="nil"/>
              <w:bottom w:val="single" w:color="000000" w:sz="4" w:space="0"/>
              <w:right w:val="single" w:color="000000" w:sz="4" w:space="0"/>
            </w:tcBorders>
            <w:shd w:val="clear" w:color="auto" w:fill="auto"/>
            <w:vAlign w:val="center"/>
          </w:tcPr>
          <w:p>
            <w:pPr>
              <w:widowControl/>
              <w:jc w:val="center"/>
              <w:rPr>
                <w:rFonts w:cs="Calibri"/>
                <w:color w:val="000000"/>
                <w:kern w:val="0"/>
                <w:szCs w:val="21"/>
              </w:rPr>
            </w:pPr>
            <w:r>
              <w:rPr>
                <w:rFonts w:cs="Calibri"/>
                <w:color w:val="000000"/>
                <w:kern w:val="0"/>
                <w:szCs w:val="21"/>
              </w:rPr>
              <w:t>10</w:t>
            </w:r>
          </w:p>
        </w:tc>
      </w:tr>
      <w:tr>
        <w:tblPrEx>
          <w:tblLayout w:type="fixed"/>
          <w:tblCellMar>
            <w:top w:w="0" w:type="dxa"/>
            <w:left w:w="108" w:type="dxa"/>
            <w:bottom w:w="0" w:type="dxa"/>
            <w:right w:w="108" w:type="dxa"/>
          </w:tblCellMar>
        </w:tblPrEx>
        <w:trPr>
          <w:trHeight w:val="840" w:hRule="atLeast"/>
        </w:trPr>
        <w:tc>
          <w:tcPr>
            <w:tcW w:w="880" w:type="dxa"/>
            <w:vMerge w:val="continue"/>
            <w:tcBorders>
              <w:top w:val="nil"/>
              <w:left w:val="single" w:color="000000" w:sz="4" w:space="0"/>
              <w:bottom w:val="nil"/>
              <w:right w:val="single" w:color="000000" w:sz="4" w:space="0"/>
            </w:tcBorders>
            <w:vAlign w:val="center"/>
          </w:tcPr>
          <w:p>
            <w:pPr>
              <w:widowControl/>
              <w:jc w:val="left"/>
              <w:rPr>
                <w:rFonts w:ascii="宋体" w:hAnsi="宋体" w:cs="宋体"/>
                <w:color w:val="000000"/>
                <w:kern w:val="0"/>
                <w:sz w:val="16"/>
                <w:szCs w:val="16"/>
              </w:rPr>
            </w:pPr>
          </w:p>
        </w:tc>
        <w:tc>
          <w:tcPr>
            <w:tcW w:w="100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生态效益指标（10分）</w:t>
            </w:r>
          </w:p>
        </w:tc>
        <w:tc>
          <w:tcPr>
            <w:tcW w:w="2360" w:type="dxa"/>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cs="宋体"/>
                <w:color w:val="000000"/>
                <w:kern w:val="0"/>
                <w:sz w:val="16"/>
                <w:szCs w:val="16"/>
              </w:rPr>
            </w:pPr>
            <w:r>
              <w:rPr>
                <w:rFonts w:hint="eastAsia" w:ascii="宋体" w:hAnsi="宋体" w:cs="宋体"/>
                <w:color w:val="000000"/>
                <w:kern w:val="0"/>
                <w:sz w:val="16"/>
                <w:szCs w:val="16"/>
              </w:rPr>
              <w:t>通过主流媒体的宣传，提升石家庄的声誉，改善石家庄市营商环境，提升老百姓的城市幸福感，为我市经济社会发展服务。（10分）</w:t>
            </w:r>
          </w:p>
        </w:tc>
        <w:tc>
          <w:tcPr>
            <w:tcW w:w="1920" w:type="dxa"/>
            <w:tcBorders>
              <w:top w:val="nil"/>
              <w:left w:val="nil"/>
              <w:bottom w:val="single" w:color="000000" w:sz="4" w:space="0"/>
              <w:right w:val="single" w:color="auto" w:sz="4" w:space="0"/>
            </w:tcBorders>
            <w:shd w:val="clear" w:color="auto" w:fill="auto"/>
            <w:vAlign w:val="center"/>
          </w:tcPr>
          <w:p>
            <w:pPr>
              <w:widowControl/>
              <w:jc w:val="left"/>
              <w:rPr>
                <w:rFonts w:ascii="宋体" w:hAnsi="宋体" w:cs="宋体"/>
                <w:color w:val="000000"/>
                <w:kern w:val="0"/>
                <w:sz w:val="16"/>
                <w:szCs w:val="16"/>
              </w:rPr>
            </w:pPr>
            <w:r>
              <w:rPr>
                <w:rFonts w:hint="eastAsia" w:ascii="宋体" w:hAnsi="宋体" w:cs="宋体"/>
                <w:color w:val="000000"/>
                <w:kern w:val="0"/>
                <w:sz w:val="16"/>
                <w:szCs w:val="16"/>
              </w:rPr>
              <w:t>激发爱国热情，结合城市发展，提高了主流媒体的新闻舆论传播力、引导力、影响力、公信力。</w:t>
            </w:r>
          </w:p>
        </w:tc>
        <w:tc>
          <w:tcPr>
            <w:tcW w:w="1020" w:type="dxa"/>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cs="Calibri"/>
                <w:color w:val="000000"/>
                <w:kern w:val="0"/>
                <w:szCs w:val="21"/>
              </w:rPr>
            </w:pPr>
            <w:r>
              <w:rPr>
                <w:rFonts w:cs="Calibri"/>
                <w:color w:val="000000"/>
                <w:kern w:val="0"/>
                <w:szCs w:val="21"/>
              </w:rPr>
              <w:t>100%</w:t>
            </w:r>
          </w:p>
        </w:tc>
        <w:tc>
          <w:tcPr>
            <w:tcW w:w="1180" w:type="dxa"/>
            <w:tcBorders>
              <w:top w:val="nil"/>
              <w:left w:val="nil"/>
              <w:bottom w:val="single" w:color="000000" w:sz="4" w:space="0"/>
              <w:right w:val="single" w:color="000000" w:sz="4" w:space="0"/>
            </w:tcBorders>
            <w:shd w:val="clear" w:color="auto" w:fill="auto"/>
            <w:vAlign w:val="center"/>
          </w:tcPr>
          <w:p>
            <w:pPr>
              <w:widowControl/>
              <w:jc w:val="center"/>
              <w:rPr>
                <w:rFonts w:cs="Calibri"/>
                <w:color w:val="000000"/>
                <w:kern w:val="0"/>
                <w:szCs w:val="21"/>
              </w:rPr>
            </w:pPr>
            <w:r>
              <w:rPr>
                <w:rFonts w:cs="Calibri"/>
                <w:color w:val="000000"/>
                <w:kern w:val="0"/>
                <w:szCs w:val="21"/>
              </w:rPr>
              <w:t>10</w:t>
            </w:r>
          </w:p>
        </w:tc>
      </w:tr>
      <w:tr>
        <w:tblPrEx>
          <w:tblLayout w:type="fixed"/>
          <w:tblCellMar>
            <w:top w:w="0" w:type="dxa"/>
            <w:left w:w="108" w:type="dxa"/>
            <w:bottom w:w="0" w:type="dxa"/>
            <w:right w:w="108" w:type="dxa"/>
          </w:tblCellMar>
        </w:tblPrEx>
        <w:trPr>
          <w:trHeight w:val="739" w:hRule="atLeast"/>
        </w:trPr>
        <w:tc>
          <w:tcPr>
            <w:tcW w:w="880" w:type="dxa"/>
            <w:vMerge w:val="continue"/>
            <w:tcBorders>
              <w:top w:val="nil"/>
              <w:left w:val="single" w:color="000000" w:sz="4" w:space="0"/>
              <w:bottom w:val="nil"/>
              <w:right w:val="single" w:color="000000" w:sz="4" w:space="0"/>
            </w:tcBorders>
            <w:vAlign w:val="center"/>
          </w:tcPr>
          <w:p>
            <w:pPr>
              <w:widowControl/>
              <w:jc w:val="left"/>
              <w:rPr>
                <w:rFonts w:ascii="宋体" w:hAnsi="宋体" w:cs="宋体"/>
                <w:color w:val="000000"/>
                <w:kern w:val="0"/>
                <w:sz w:val="16"/>
                <w:szCs w:val="16"/>
              </w:rPr>
            </w:pPr>
          </w:p>
        </w:tc>
        <w:tc>
          <w:tcPr>
            <w:tcW w:w="1000"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可持续影响指标（10分）</w:t>
            </w:r>
          </w:p>
        </w:tc>
        <w:tc>
          <w:tcPr>
            <w:tcW w:w="23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精品的创意研发上深度挖掘，创出更多既符合主流导向，又品质上乘的精品节目。长期宣传效果（10）分</w:t>
            </w:r>
          </w:p>
        </w:tc>
        <w:tc>
          <w:tcPr>
            <w:tcW w:w="192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提高传统主流媒体影响力，形成全民参与城市建设，风清气正的社会舆论环境。</w:t>
            </w:r>
          </w:p>
        </w:tc>
        <w:tc>
          <w:tcPr>
            <w:tcW w:w="102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cs="Calibri"/>
                <w:color w:val="000000"/>
                <w:kern w:val="0"/>
                <w:szCs w:val="21"/>
              </w:rPr>
            </w:pPr>
            <w:r>
              <w:rPr>
                <w:rFonts w:cs="Calibri"/>
                <w:color w:val="000000"/>
                <w:kern w:val="0"/>
                <w:szCs w:val="21"/>
              </w:rPr>
              <w:t>100%</w:t>
            </w:r>
          </w:p>
        </w:tc>
        <w:tc>
          <w:tcPr>
            <w:tcW w:w="11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cs="Calibri"/>
                <w:color w:val="000000"/>
                <w:kern w:val="0"/>
                <w:szCs w:val="21"/>
              </w:rPr>
            </w:pPr>
            <w:r>
              <w:rPr>
                <w:rFonts w:cs="Calibri"/>
                <w:color w:val="000000"/>
                <w:kern w:val="0"/>
                <w:szCs w:val="21"/>
              </w:rPr>
              <w:t>10</w:t>
            </w:r>
          </w:p>
        </w:tc>
      </w:tr>
      <w:tr>
        <w:tblPrEx>
          <w:tblLayout w:type="fixed"/>
          <w:tblCellMar>
            <w:top w:w="0" w:type="dxa"/>
            <w:left w:w="108" w:type="dxa"/>
            <w:bottom w:w="0" w:type="dxa"/>
            <w:right w:w="108" w:type="dxa"/>
          </w:tblCellMar>
        </w:tblPrEx>
        <w:trPr>
          <w:trHeight w:val="312" w:hRule="atLeast"/>
        </w:trPr>
        <w:tc>
          <w:tcPr>
            <w:tcW w:w="880" w:type="dxa"/>
            <w:vMerge w:val="continue"/>
            <w:tcBorders>
              <w:top w:val="nil"/>
              <w:left w:val="single" w:color="000000" w:sz="4" w:space="0"/>
              <w:bottom w:val="nil"/>
              <w:right w:val="single" w:color="000000" w:sz="4" w:space="0"/>
            </w:tcBorders>
            <w:vAlign w:val="center"/>
          </w:tcPr>
          <w:p>
            <w:pPr>
              <w:widowControl/>
              <w:jc w:val="left"/>
              <w:rPr>
                <w:rFonts w:ascii="宋体" w:hAnsi="宋体" w:cs="宋体"/>
                <w:color w:val="000000"/>
                <w:kern w:val="0"/>
                <w:sz w:val="16"/>
                <w:szCs w:val="16"/>
              </w:rPr>
            </w:pPr>
          </w:p>
        </w:tc>
        <w:tc>
          <w:tcPr>
            <w:tcW w:w="1000" w:type="dxa"/>
            <w:vMerge w:val="continue"/>
            <w:tcBorders>
              <w:top w:val="nil"/>
              <w:left w:val="nil"/>
              <w:bottom w:val="single" w:color="000000" w:sz="4" w:space="0"/>
              <w:right w:val="single" w:color="000000" w:sz="4" w:space="0"/>
            </w:tcBorders>
            <w:vAlign w:val="center"/>
          </w:tcPr>
          <w:p>
            <w:pPr>
              <w:widowControl/>
              <w:jc w:val="left"/>
              <w:rPr>
                <w:rFonts w:ascii="宋体" w:hAnsi="宋体" w:cs="宋体"/>
                <w:color w:val="000000"/>
                <w:kern w:val="0"/>
                <w:sz w:val="16"/>
                <w:szCs w:val="16"/>
              </w:rPr>
            </w:pPr>
          </w:p>
        </w:tc>
        <w:tc>
          <w:tcPr>
            <w:tcW w:w="236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cs="宋体"/>
                <w:color w:val="000000"/>
                <w:kern w:val="0"/>
                <w:sz w:val="16"/>
                <w:szCs w:val="16"/>
              </w:rPr>
            </w:pPr>
          </w:p>
        </w:tc>
        <w:tc>
          <w:tcPr>
            <w:tcW w:w="1920"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cs="宋体"/>
                <w:color w:val="000000"/>
                <w:kern w:val="0"/>
                <w:sz w:val="16"/>
                <w:szCs w:val="16"/>
              </w:rPr>
            </w:pPr>
          </w:p>
        </w:tc>
        <w:tc>
          <w:tcPr>
            <w:tcW w:w="1020" w:type="dxa"/>
            <w:vMerge w:val="continue"/>
            <w:tcBorders>
              <w:top w:val="nil"/>
              <w:left w:val="single" w:color="000000" w:sz="4" w:space="0"/>
              <w:bottom w:val="single" w:color="000000" w:sz="4" w:space="0"/>
              <w:right w:val="single" w:color="000000" w:sz="4" w:space="0"/>
            </w:tcBorders>
            <w:vAlign w:val="center"/>
          </w:tcPr>
          <w:p>
            <w:pPr>
              <w:widowControl/>
              <w:jc w:val="left"/>
              <w:rPr>
                <w:rFonts w:cs="Calibri"/>
                <w:color w:val="000000"/>
                <w:kern w:val="0"/>
                <w:szCs w:val="21"/>
              </w:rPr>
            </w:pPr>
          </w:p>
        </w:tc>
        <w:tc>
          <w:tcPr>
            <w:tcW w:w="1180" w:type="dxa"/>
            <w:vMerge w:val="continue"/>
            <w:tcBorders>
              <w:top w:val="nil"/>
              <w:left w:val="single" w:color="000000" w:sz="4" w:space="0"/>
              <w:bottom w:val="single" w:color="000000" w:sz="4" w:space="0"/>
              <w:right w:val="single" w:color="000000" w:sz="4" w:space="0"/>
            </w:tcBorders>
            <w:vAlign w:val="center"/>
          </w:tcPr>
          <w:p>
            <w:pPr>
              <w:widowControl/>
              <w:jc w:val="left"/>
              <w:rPr>
                <w:rFonts w:cs="Calibri"/>
                <w:color w:val="000000"/>
                <w:kern w:val="0"/>
                <w:szCs w:val="21"/>
              </w:rPr>
            </w:pPr>
          </w:p>
        </w:tc>
      </w:tr>
      <w:tr>
        <w:tblPrEx>
          <w:tblLayout w:type="fixed"/>
          <w:tblCellMar>
            <w:top w:w="0" w:type="dxa"/>
            <w:left w:w="108" w:type="dxa"/>
            <w:bottom w:w="0" w:type="dxa"/>
            <w:right w:w="108" w:type="dxa"/>
          </w:tblCellMar>
        </w:tblPrEx>
        <w:trPr>
          <w:trHeight w:val="480" w:hRule="atLeast"/>
        </w:trPr>
        <w:tc>
          <w:tcPr>
            <w:tcW w:w="88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满意度指标</w:t>
            </w:r>
            <w:r>
              <w:rPr>
                <w:rFonts w:hint="eastAsia" w:ascii="宋体" w:hAnsi="宋体" w:cs="宋体"/>
                <w:color w:val="000000"/>
                <w:kern w:val="0"/>
                <w:sz w:val="16"/>
                <w:szCs w:val="16"/>
              </w:rPr>
              <w:br w:type="textWrapping"/>
            </w:r>
            <w:r>
              <w:rPr>
                <w:rFonts w:hint="eastAsia" w:ascii="宋体" w:hAnsi="宋体" w:cs="宋体"/>
                <w:color w:val="000000"/>
                <w:kern w:val="0"/>
                <w:sz w:val="16"/>
                <w:szCs w:val="16"/>
              </w:rPr>
              <w:t>（10分）</w:t>
            </w:r>
          </w:p>
        </w:tc>
        <w:tc>
          <w:tcPr>
            <w:tcW w:w="1000"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满意度指标（10分）</w:t>
            </w:r>
          </w:p>
        </w:tc>
        <w:tc>
          <w:tcPr>
            <w:tcW w:w="23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tabs>
                <w:tab w:val="left" w:pos="574"/>
                <w:tab w:val="center" w:pos="1132"/>
              </w:tabs>
              <w:jc w:val="left"/>
              <w:rPr>
                <w:rFonts w:ascii="宋体" w:hAnsi="宋体" w:cs="宋体"/>
                <w:color w:val="000000"/>
                <w:kern w:val="0"/>
                <w:sz w:val="16"/>
                <w:szCs w:val="16"/>
              </w:rPr>
            </w:pPr>
            <w:r>
              <w:rPr>
                <w:rFonts w:hint="eastAsia" w:ascii="宋体" w:hAnsi="宋体" w:cs="宋体"/>
                <w:color w:val="000000"/>
                <w:kern w:val="0"/>
                <w:sz w:val="16"/>
                <w:szCs w:val="16"/>
                <w:lang w:eastAsia="zh-CN"/>
              </w:rPr>
              <w:t>从微信实时互动来看，人数增加，各社群互动良好，群人数不断增长</w:t>
            </w:r>
            <w:r>
              <w:rPr>
                <w:rFonts w:hint="eastAsia" w:ascii="宋体" w:hAnsi="宋体" w:cs="宋体"/>
                <w:color w:val="000000"/>
                <w:kern w:val="0"/>
                <w:sz w:val="16"/>
                <w:szCs w:val="16"/>
                <w:lang w:eastAsia="zh-CN"/>
              </w:rPr>
              <w:tab/>
            </w:r>
            <w:r>
              <w:rPr>
                <w:rFonts w:hint="eastAsia" w:ascii="宋体" w:hAnsi="宋体" w:cs="宋体"/>
                <w:color w:val="000000"/>
                <w:kern w:val="0"/>
                <w:sz w:val="16"/>
                <w:szCs w:val="16"/>
              </w:rPr>
              <w:t>群众满意度</w:t>
            </w:r>
          </w:p>
        </w:tc>
        <w:tc>
          <w:tcPr>
            <w:tcW w:w="1920" w:type="dxa"/>
            <w:vMerge w:val="restart"/>
            <w:tcBorders>
              <w:top w:val="nil"/>
              <w:left w:val="single" w:color="auto" w:sz="4" w:space="0"/>
              <w:bottom w:val="single" w:color="000000" w:sz="4" w:space="0"/>
              <w:right w:val="single" w:color="000000" w:sz="4" w:space="0"/>
            </w:tcBorders>
            <w:shd w:val="clear" w:color="auto" w:fill="auto"/>
            <w:noWrap/>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优秀</w:t>
            </w:r>
          </w:p>
        </w:tc>
        <w:tc>
          <w:tcPr>
            <w:tcW w:w="102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cs="Calibri"/>
                <w:color w:val="000000"/>
                <w:kern w:val="0"/>
                <w:szCs w:val="21"/>
              </w:rPr>
            </w:pPr>
            <w:r>
              <w:rPr>
                <w:rFonts w:cs="Calibri"/>
                <w:color w:val="000000"/>
                <w:kern w:val="0"/>
                <w:szCs w:val="21"/>
              </w:rPr>
              <w:t>100%</w:t>
            </w:r>
          </w:p>
        </w:tc>
        <w:tc>
          <w:tcPr>
            <w:tcW w:w="11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cs="Calibri"/>
                <w:color w:val="000000"/>
                <w:kern w:val="0"/>
                <w:szCs w:val="21"/>
              </w:rPr>
            </w:pPr>
            <w:r>
              <w:rPr>
                <w:rFonts w:cs="Calibri"/>
                <w:color w:val="000000"/>
                <w:kern w:val="0"/>
                <w:szCs w:val="21"/>
              </w:rPr>
              <w:t>10</w:t>
            </w:r>
          </w:p>
        </w:tc>
      </w:tr>
      <w:tr>
        <w:tblPrEx>
          <w:tblLayout w:type="fixed"/>
          <w:tblCellMar>
            <w:top w:w="0" w:type="dxa"/>
            <w:left w:w="108" w:type="dxa"/>
            <w:bottom w:w="0" w:type="dxa"/>
            <w:right w:w="108" w:type="dxa"/>
          </w:tblCellMar>
        </w:tblPrEx>
        <w:trPr>
          <w:trHeight w:val="739" w:hRule="atLeast"/>
        </w:trPr>
        <w:tc>
          <w:tcPr>
            <w:tcW w:w="8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16"/>
                <w:szCs w:val="16"/>
              </w:rPr>
            </w:pPr>
          </w:p>
        </w:tc>
        <w:tc>
          <w:tcPr>
            <w:tcW w:w="1000" w:type="dxa"/>
            <w:vMerge w:val="continue"/>
            <w:tcBorders>
              <w:top w:val="nil"/>
              <w:left w:val="nil"/>
              <w:bottom w:val="single" w:color="000000" w:sz="4" w:space="0"/>
              <w:right w:val="single" w:color="000000" w:sz="4" w:space="0"/>
            </w:tcBorders>
            <w:vAlign w:val="center"/>
          </w:tcPr>
          <w:p>
            <w:pPr>
              <w:widowControl/>
              <w:jc w:val="left"/>
              <w:rPr>
                <w:rFonts w:ascii="宋体" w:hAnsi="宋体" w:cs="宋体"/>
                <w:color w:val="000000"/>
                <w:kern w:val="0"/>
                <w:sz w:val="16"/>
                <w:szCs w:val="16"/>
              </w:rPr>
            </w:pPr>
          </w:p>
        </w:tc>
        <w:tc>
          <w:tcPr>
            <w:tcW w:w="236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cs="宋体"/>
                <w:color w:val="000000"/>
                <w:kern w:val="0"/>
                <w:sz w:val="16"/>
                <w:szCs w:val="16"/>
              </w:rPr>
            </w:pPr>
          </w:p>
        </w:tc>
        <w:tc>
          <w:tcPr>
            <w:tcW w:w="1920" w:type="dxa"/>
            <w:vMerge w:val="continue"/>
            <w:tcBorders>
              <w:top w:val="nil"/>
              <w:left w:val="single" w:color="auto" w:sz="4" w:space="0"/>
              <w:bottom w:val="single" w:color="000000" w:sz="4" w:space="0"/>
              <w:right w:val="single" w:color="000000" w:sz="4" w:space="0"/>
            </w:tcBorders>
            <w:vAlign w:val="center"/>
          </w:tcPr>
          <w:p>
            <w:pPr>
              <w:widowControl/>
              <w:jc w:val="left"/>
              <w:rPr>
                <w:rFonts w:ascii="宋体" w:hAnsi="宋体" w:cs="宋体"/>
                <w:color w:val="000000"/>
                <w:kern w:val="0"/>
                <w:sz w:val="16"/>
                <w:szCs w:val="16"/>
              </w:rPr>
            </w:pPr>
          </w:p>
        </w:tc>
        <w:tc>
          <w:tcPr>
            <w:tcW w:w="1020" w:type="dxa"/>
            <w:vMerge w:val="continue"/>
            <w:tcBorders>
              <w:top w:val="nil"/>
              <w:left w:val="single" w:color="000000" w:sz="4" w:space="0"/>
              <w:bottom w:val="single" w:color="000000" w:sz="4" w:space="0"/>
              <w:right w:val="single" w:color="000000" w:sz="4" w:space="0"/>
            </w:tcBorders>
            <w:vAlign w:val="center"/>
          </w:tcPr>
          <w:p>
            <w:pPr>
              <w:widowControl/>
              <w:jc w:val="left"/>
              <w:rPr>
                <w:rFonts w:cs="Calibri"/>
                <w:color w:val="000000"/>
                <w:kern w:val="0"/>
                <w:szCs w:val="21"/>
              </w:rPr>
            </w:pPr>
          </w:p>
        </w:tc>
        <w:tc>
          <w:tcPr>
            <w:tcW w:w="1180" w:type="dxa"/>
            <w:vMerge w:val="continue"/>
            <w:tcBorders>
              <w:top w:val="nil"/>
              <w:left w:val="single" w:color="000000" w:sz="4" w:space="0"/>
              <w:bottom w:val="single" w:color="000000" w:sz="4" w:space="0"/>
              <w:right w:val="single" w:color="000000" w:sz="4" w:space="0"/>
            </w:tcBorders>
            <w:vAlign w:val="center"/>
          </w:tcPr>
          <w:p>
            <w:pPr>
              <w:widowControl/>
              <w:jc w:val="left"/>
              <w:rPr>
                <w:rFonts w:cs="Calibri"/>
                <w:color w:val="000000"/>
                <w:kern w:val="0"/>
                <w:szCs w:val="21"/>
              </w:rPr>
            </w:pPr>
          </w:p>
        </w:tc>
      </w:tr>
      <w:tr>
        <w:tblPrEx>
          <w:tblLayout w:type="fixed"/>
          <w:tblCellMar>
            <w:top w:w="0" w:type="dxa"/>
            <w:left w:w="108" w:type="dxa"/>
            <w:bottom w:w="0" w:type="dxa"/>
            <w:right w:w="108" w:type="dxa"/>
          </w:tblCellMar>
        </w:tblPrEx>
        <w:trPr>
          <w:trHeight w:val="285" w:hRule="atLeast"/>
        </w:trPr>
        <w:tc>
          <w:tcPr>
            <w:tcW w:w="7180" w:type="dxa"/>
            <w:gridSpan w:val="5"/>
            <w:tcBorders>
              <w:top w:val="nil"/>
              <w:left w:val="single" w:color="auto" w:sz="4" w:space="0"/>
              <w:bottom w:val="single" w:color="auto" w:sz="4" w:space="0"/>
              <w:right w:val="single" w:color="000000" w:sz="4" w:space="0"/>
            </w:tcBorders>
            <w:shd w:val="clear" w:color="auto" w:fill="auto"/>
            <w:vAlign w:val="center"/>
          </w:tcPr>
          <w:p>
            <w:pPr>
              <w:widowControl/>
              <w:jc w:val="center"/>
              <w:rPr>
                <w:rFonts w:ascii="宋体" w:hAnsi="宋体" w:cs="宋体"/>
                <w:color w:val="000000"/>
                <w:kern w:val="0"/>
                <w:sz w:val="16"/>
                <w:szCs w:val="16"/>
              </w:rPr>
            </w:pPr>
            <w:r>
              <w:rPr>
                <w:rFonts w:hint="eastAsia" w:ascii="宋体" w:hAnsi="宋体" w:cs="宋体"/>
                <w:color w:val="000000"/>
                <w:kern w:val="0"/>
                <w:sz w:val="16"/>
                <w:szCs w:val="16"/>
              </w:rPr>
              <w:t>总分</w:t>
            </w:r>
          </w:p>
        </w:tc>
        <w:tc>
          <w:tcPr>
            <w:tcW w:w="1180" w:type="dxa"/>
            <w:tcBorders>
              <w:top w:val="nil"/>
              <w:left w:val="nil"/>
              <w:bottom w:val="single" w:color="auto" w:sz="4" w:space="0"/>
              <w:right w:val="single" w:color="auto" w:sz="4" w:space="0"/>
            </w:tcBorders>
            <w:shd w:val="clear" w:color="auto" w:fill="auto"/>
            <w:vAlign w:val="center"/>
          </w:tcPr>
          <w:p>
            <w:pPr>
              <w:widowControl/>
              <w:jc w:val="center"/>
              <w:rPr>
                <w:rFonts w:cs="Calibri"/>
                <w:color w:val="000000"/>
                <w:kern w:val="0"/>
                <w:szCs w:val="21"/>
              </w:rPr>
            </w:pPr>
            <w:r>
              <w:rPr>
                <w:rFonts w:cs="Calibri"/>
                <w:color w:val="000000"/>
                <w:kern w:val="0"/>
                <w:szCs w:val="21"/>
              </w:rPr>
              <w:t>100</w:t>
            </w:r>
          </w:p>
        </w:tc>
      </w:tr>
    </w:tbl>
    <w:p>
      <w:pPr>
        <w:spacing w:line="360" w:lineRule="auto"/>
        <w:outlineLvl w:val="0"/>
        <w:rPr>
          <w:rFonts w:ascii="黑体" w:hAnsi="黑体" w:eastAsia="黑体"/>
          <w:b/>
          <w:bCs/>
          <w:sz w:val="32"/>
          <w:szCs w:val="32"/>
        </w:rPr>
      </w:pPr>
      <w:r>
        <w:rPr>
          <w:rFonts w:hint="eastAsia" w:ascii="黑体" w:hAnsi="黑体" w:eastAsia="黑体"/>
          <w:sz w:val="32"/>
          <w:szCs w:val="32"/>
        </w:rPr>
        <w:t>三、项目执行及绩效实现情况</w:t>
      </w:r>
    </w:p>
    <w:p>
      <w:pPr>
        <w:numPr>
          <w:ilvl w:val="0"/>
          <w:numId w:val="2"/>
        </w:numPr>
        <w:spacing w:line="360" w:lineRule="auto"/>
        <w:ind w:firstLine="643" w:firstLineChars="200"/>
        <w:outlineLvl w:val="1"/>
        <w:rPr>
          <w:rFonts w:ascii="楷体_GB2312" w:hAnsi="楷体_GB2312" w:eastAsia="楷体_GB2312" w:cs="楷体_GB2312"/>
          <w:b/>
          <w:bCs/>
          <w:sz w:val="32"/>
          <w:szCs w:val="32"/>
          <w:u w:val="single"/>
        </w:rPr>
      </w:pPr>
      <w:r>
        <w:rPr>
          <w:rFonts w:hint="eastAsia" w:ascii="楷体_GB2312" w:hAnsi="楷体_GB2312" w:eastAsia="楷体_GB2312" w:cs="楷体_GB2312"/>
          <w:b/>
          <w:bCs/>
          <w:sz w:val="32"/>
          <w:szCs w:val="32"/>
          <w:u w:val="single"/>
        </w:rPr>
        <w:t>预算执行情况</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执行初始预算安排情况，我部门按照合同进度要求目前已经支付了合同额的100%。实际完成值100%。自评得分10分。</w:t>
      </w:r>
    </w:p>
    <w:p>
      <w:pPr>
        <w:spacing w:line="360" w:lineRule="auto"/>
        <w:outlineLvl w:val="1"/>
        <w:rPr>
          <w:rFonts w:ascii="仿宋_GB2312" w:eastAsia="仿宋_GB2312"/>
          <w:b/>
          <w:bCs/>
          <w:sz w:val="32"/>
          <w:szCs w:val="32"/>
        </w:rPr>
      </w:pPr>
      <w:r>
        <w:rPr>
          <w:rFonts w:hint="eastAsia" w:ascii="楷体_GB2312" w:hAnsi="楷体_GB2312" w:eastAsia="楷体_GB2312" w:cs="楷体_GB2312"/>
          <w:b/>
          <w:bCs/>
          <w:sz w:val="32"/>
          <w:szCs w:val="32"/>
        </w:rPr>
        <w:t xml:space="preserve"> （二）项目产出</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sz w:val="32"/>
          <w:szCs w:val="32"/>
        </w:rPr>
        <w:t>数量指标：完成电视剧采购任务，完成新闻综合频道部分运行任务和频道日常节目包装制作任务，</w:t>
      </w:r>
      <w:r>
        <w:rPr>
          <w:rFonts w:hint="eastAsia" w:ascii="仿宋_GB2312" w:eastAsia="仿宋_GB2312"/>
          <w:b w:val="0"/>
          <w:bCs w:val="0"/>
          <w:sz w:val="32"/>
          <w:szCs w:val="32"/>
          <w:lang w:val="en-US" w:eastAsia="zh-CN"/>
        </w:rPr>
        <w:t>完成全年线上安全播出.“我们读书吧”线上公益读书活动抖音话题九千多万点击量；七夕“广电塔为爱变成粉红色”主题活动本地微博热榜第二、抖音热榜第四；“1067要你红”系列活动开展了4季，逐步走进客户视野.</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完成率为100%，本项得分为10分。</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sz w:val="32"/>
          <w:szCs w:val="32"/>
        </w:rPr>
        <w:t>质量指标：制作完成频道专题片、宣传片，对重点报道进行整体包装；为市民的精神娱乐生活提供更多选择，体现节目主流媒体播出特性，</w:t>
      </w:r>
      <w:r>
        <w:rPr>
          <w:rFonts w:hint="eastAsia" w:ascii="仿宋_GB2312" w:eastAsia="仿宋_GB2312"/>
          <w:b w:val="0"/>
          <w:bCs w:val="0"/>
          <w:sz w:val="32"/>
          <w:szCs w:val="32"/>
          <w:lang w:val="en-US" w:eastAsia="zh-CN"/>
        </w:rPr>
        <w:t>立足频率定位，不仅对冬奥会、冬残奥会主题口号、推广歌曲、新版MV进行第一时间宣传发布，并且频率主持人自发联系河北音乐人进行原创歌曲录制。1067爱心小木屋志愿服务项目荣获石家庄市精神文明委员会授予的“石家庄市志愿服务创新项目”荣誉称号。</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完成率为100%，本项得分为10分。</w:t>
      </w:r>
    </w:p>
    <w:p>
      <w:pPr>
        <w:spacing w:line="360" w:lineRule="auto"/>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eastAsia="仿宋_GB2312"/>
          <w:sz w:val="32"/>
          <w:szCs w:val="32"/>
        </w:rPr>
        <w:t>时效指标：围绕市委市政府重点工作开展宣传报道，紧跟重点工作时间节点，</w:t>
      </w:r>
      <w:r>
        <w:rPr>
          <w:rFonts w:hint="eastAsia" w:ascii="仿宋_GB2312" w:eastAsia="仿宋_GB2312"/>
          <w:b w:val="0"/>
          <w:bCs w:val="0"/>
          <w:sz w:val="32"/>
          <w:szCs w:val="32"/>
          <w:lang w:val="en-US" w:eastAsia="zh-CN"/>
        </w:rPr>
        <w:t>结合全年节庆节点进行提前策划，使节目不仅丰富度高而且具有即时播出性。</w:t>
      </w:r>
      <w:r>
        <w:rPr>
          <w:rFonts w:hint="eastAsia" w:ascii="仿宋_GB2312" w:hAnsi="仿宋_GB2312" w:eastAsia="仿宋_GB2312" w:cs="仿宋_GB2312"/>
          <w:b w:val="0"/>
          <w:bCs w:val="0"/>
          <w:sz w:val="32"/>
          <w:szCs w:val="32"/>
          <w:lang w:val="en-US" w:eastAsia="zh-CN"/>
        </w:rPr>
        <w:t>树立两个主持人IP符号即电台二宝、电台姐姐，形象鲜明，增加听众记忆点；打造一个频率特色音乐类项目——摇滚石家庄，其中在晚高峰专门为项目生成的融媒体板块《星推周计划》从11月上线以来，业内反响积极，引起了北京多家经纪公司的注意；参与了全国融媒体系列报道《我和我的党支部》；音乐专题《聆听燕赵大地的交响》代表河北省角逐中国广播电视大奖2020年度广播电视节目奖评选。今年的公益广告大赛我频率有9部作品完成提报。</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完成率为100%，本项得分为10分。</w:t>
      </w:r>
    </w:p>
    <w:p>
      <w:pPr>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rPr>
        <w:t>成本指标：</w:t>
      </w:r>
      <w:r>
        <w:rPr>
          <w:rFonts w:hint="eastAsia" w:ascii="仿宋_GB2312" w:eastAsia="仿宋_GB2312"/>
          <w:b w:val="0"/>
          <w:bCs w:val="0"/>
          <w:sz w:val="32"/>
          <w:szCs w:val="32"/>
          <w:lang w:val="en-US" w:eastAsia="zh-CN"/>
        </w:rPr>
        <w:t>使用新系统降低了用人成本与节目制作成本的支出。</w:t>
      </w:r>
      <w:r>
        <w:rPr>
          <w:rFonts w:hint="eastAsia" w:ascii="仿宋_GB2312" w:eastAsia="仿宋_GB2312"/>
          <w:sz w:val="32"/>
          <w:szCs w:val="32"/>
        </w:rPr>
        <w:t>压缩制作成本支出</w:t>
      </w:r>
      <w:r>
        <w:rPr>
          <w:rFonts w:hint="eastAsia" w:ascii="仿宋_GB2312" w:eastAsia="仿宋_GB2312"/>
          <w:sz w:val="32"/>
          <w:szCs w:val="32"/>
          <w:lang w:val="en-US" w:eastAsia="zh-CN"/>
        </w:rPr>
        <w:t>.</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完成率为100%，本项得分为10分。</w:t>
      </w:r>
    </w:p>
    <w:p>
      <w:pPr>
        <w:spacing w:line="360" w:lineRule="auto"/>
        <w:ind w:firstLine="643" w:firstLineChars="200"/>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（三）项目效益</w:t>
      </w:r>
    </w:p>
    <w:p>
      <w:pPr>
        <w:spacing w:line="360" w:lineRule="auto"/>
        <w:ind w:firstLine="640" w:firstLineChars="200"/>
        <w:rPr>
          <w:rFonts w:hint="eastAsia" w:ascii="仿宋_GB2312" w:eastAsia="仿宋_GB2312"/>
          <w:b w:val="0"/>
          <w:bCs w:val="0"/>
          <w:sz w:val="32"/>
          <w:szCs w:val="32"/>
          <w:lang w:val="en-US" w:eastAsia="zh-CN"/>
        </w:rPr>
      </w:pPr>
      <w:r>
        <w:rPr>
          <w:rFonts w:hint="eastAsia" w:ascii="仿宋_GB2312" w:eastAsia="仿宋_GB2312"/>
          <w:sz w:val="32"/>
          <w:szCs w:val="32"/>
        </w:rPr>
        <w:t>经济效益：提升主流媒体的影响力和制作力，以吸引更多的企事业单位进行主流宣传和专题片制作。</w:t>
      </w:r>
      <w:r>
        <w:rPr>
          <w:rFonts w:hint="eastAsia" w:ascii="仿宋_GB2312" w:eastAsia="仿宋_GB2312"/>
          <w:b w:val="0"/>
          <w:bCs w:val="0"/>
          <w:sz w:val="32"/>
          <w:szCs w:val="32"/>
          <w:lang w:val="en-US" w:eastAsia="zh-CN"/>
        </w:rPr>
        <w:t>广告创收方面音乐广播完成1488.53万，完成规模任务的84%。</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完成率100%，本项得分10分。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sz w:val="32"/>
          <w:szCs w:val="32"/>
        </w:rPr>
        <w:t>社会效益：宣讲党的理论新成果，传播国家政策好声音，凝聚发展正能量，及时收集百姓心声，为百姓和政府建立沟通桥梁，为市委市政府的重点工作保驾护航。</w:t>
      </w:r>
      <w:r>
        <w:rPr>
          <w:rFonts w:hint="eastAsia" w:ascii="仿宋_GB2312" w:eastAsia="仿宋_GB2312"/>
          <w:b w:val="0"/>
          <w:bCs w:val="0"/>
          <w:sz w:val="32"/>
          <w:szCs w:val="32"/>
          <w:lang w:val="en-US" w:eastAsia="zh-CN"/>
        </w:rPr>
        <w:t>音乐频率前12个月市场份额为8.49%，比年度任务7.3%提高1.19%；完成了总编辑部安排的扶持项目和第六届公益广告录制以及各项省市参评的组织工作。创作了一批积极向上、体现社会效益和价值引领的优秀公益广告作品。9月至10月承办石家庄首届滹沱印象音乐季系列活动，其中“石家庄摇滚文化展及创意市集”举办三场展览，音乐季系列活动包括人文音乐课、音乐PARTY演唱会、街头歌手巡演等活动近20场。10月6日晚7点，1067听众日在勒泰举行；10月23日，在龙泉古镇与华为联合举办“1067流行音乐节”；12月21日，策划先天下周年庆“It's for you——我对石家庄的100种表白”融媒体宣传活动。12月31日，与万象城联合推出“HELLO ME”特别跨年夜融媒体活动，让北极光和2022宣言绽放石家庄夜空。品牌活动打出频率影响力，在宣传上更是把疫情防控宣传常抓不懈，按照市里宣传布置，我市疫情新闻发布会和市疾控中心的提示对新冠肺炎常态化疫情防控防范指南全系列每天进行官方微信公众号的推送，涉及节假日进返市区、进出市政策、乘坐交通工具的注意事项、31省市返乡防疫政策汇总、快递冷链食品如何防护等生活的方方面面都对公众进行细致的提示，线上加大频次播出，确保覆盖率到达率。</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本项完成率为100%，本项得分为10分。</w:t>
      </w:r>
    </w:p>
    <w:p>
      <w:pPr>
        <w:spacing w:line="360" w:lineRule="auto"/>
        <w:ind w:firstLine="640" w:firstLineChars="200"/>
        <w:rPr>
          <w:rFonts w:hint="eastAsia" w:ascii="仿宋_GB2312" w:eastAsia="仿宋_GB2312"/>
          <w:b w:val="0"/>
          <w:bCs w:val="0"/>
          <w:sz w:val="32"/>
          <w:szCs w:val="32"/>
          <w:lang w:val="en-US" w:eastAsia="zh-CN"/>
        </w:rPr>
      </w:pPr>
      <w:r>
        <w:rPr>
          <w:rFonts w:hint="eastAsia" w:ascii="仿宋_GB2312" w:eastAsia="仿宋_GB2312"/>
          <w:sz w:val="32"/>
          <w:szCs w:val="32"/>
        </w:rPr>
        <w:t>生态效益：通过主流媒体的宣传，提升石家庄的声誉，改善石家庄市营商环境，提升老百姓的城市幸福感，为我市经济社会发展服务。</w:t>
      </w:r>
      <w:r>
        <w:rPr>
          <w:rFonts w:hint="eastAsia" w:ascii="仿宋_GB2312" w:eastAsia="仿宋_GB2312"/>
          <w:b w:val="0"/>
          <w:bCs w:val="0"/>
          <w:sz w:val="32"/>
          <w:szCs w:val="32"/>
          <w:lang w:val="en-US" w:eastAsia="zh-CN"/>
        </w:rPr>
        <w:t xml:space="preserve">引入新操作系统５Ｇ智慧电台，９月进行了安装调试，９月１１号全面启用新系统，避免了前些年的音频节目重复与浪费，减少了用人成本及外购节目开支。  </w:t>
      </w:r>
    </w:p>
    <w:p>
      <w:pPr>
        <w:spacing w:line="360" w:lineRule="auto"/>
        <w:ind w:firstLine="640" w:firstLineChars="200"/>
        <w:rPr>
          <w:rFonts w:ascii="仿宋_GB2312" w:eastAsia="仿宋_GB2312"/>
          <w:sz w:val="32"/>
          <w:szCs w:val="32"/>
        </w:rPr>
      </w:pPr>
      <w:r>
        <w:rPr>
          <w:rFonts w:hint="eastAsia" w:ascii="仿宋_GB2312" w:eastAsia="仿宋_GB2312"/>
          <w:b w:val="0"/>
          <w:bCs w:val="0"/>
          <w:sz w:val="32"/>
          <w:szCs w:val="32"/>
          <w:lang w:val="en-US" w:eastAsia="zh-CN"/>
        </w:rPr>
        <w:t>本项</w:t>
      </w:r>
      <w:r>
        <w:rPr>
          <w:rFonts w:hint="eastAsia" w:ascii="仿宋_GB2312" w:eastAsia="仿宋_GB2312"/>
          <w:sz w:val="32"/>
          <w:szCs w:val="32"/>
        </w:rPr>
        <w:t>完成率100%，本项得分10分。</w:t>
      </w:r>
    </w:p>
    <w:p>
      <w:pPr>
        <w:spacing w:line="360" w:lineRule="auto"/>
        <w:ind w:firstLine="640" w:firstLineChars="200"/>
        <w:rPr>
          <w:rFonts w:hint="eastAsia" w:ascii="仿宋_GB2312" w:eastAsia="仿宋_GB2312"/>
          <w:b w:val="0"/>
          <w:bCs w:val="0"/>
          <w:sz w:val="32"/>
          <w:szCs w:val="32"/>
          <w:lang w:val="en-US" w:eastAsia="zh-CN"/>
        </w:rPr>
      </w:pPr>
      <w:r>
        <w:rPr>
          <w:rFonts w:hint="eastAsia" w:ascii="仿宋_GB2312" w:eastAsia="仿宋_GB2312"/>
          <w:sz w:val="32"/>
          <w:szCs w:val="32"/>
        </w:rPr>
        <w:t>可持续影响：提高传统主流媒体影响力，形成全民参与城市建设，风清气正的社会舆论环境。</w:t>
      </w:r>
      <w:r>
        <w:rPr>
          <w:rFonts w:hint="eastAsia" w:ascii="仿宋_GB2312" w:eastAsia="仿宋_GB2312"/>
          <w:b w:val="0"/>
          <w:bCs w:val="0"/>
          <w:sz w:val="32"/>
          <w:szCs w:val="32"/>
          <w:lang w:val="en-US" w:eastAsia="zh-CN"/>
        </w:rPr>
        <w:t>精品的创意研发上深度挖掘，创出更多既符合主流导向，又品质上乘的精品节目。参与了全国融媒体系列报道《我和我的党支部》进行了百家电台联播。引入一个节目编排播出平台，即湖南5G智慧电台。全新的操作系统源源不断的传输全国电台精做的成品节目，符合精致办节目的需求。</w:t>
      </w:r>
    </w:p>
    <w:p>
      <w:pPr>
        <w:spacing w:line="360" w:lineRule="auto"/>
        <w:ind w:firstLine="640" w:firstLineChars="200"/>
        <w:rPr>
          <w:rFonts w:ascii="仿宋_GB2312" w:eastAsia="仿宋_GB2312"/>
          <w:sz w:val="32"/>
          <w:szCs w:val="32"/>
        </w:rPr>
      </w:pPr>
      <w:r>
        <w:rPr>
          <w:rFonts w:hint="eastAsia" w:ascii="仿宋_GB2312" w:eastAsia="仿宋_GB2312"/>
          <w:b w:val="0"/>
          <w:bCs w:val="0"/>
          <w:sz w:val="32"/>
          <w:szCs w:val="32"/>
          <w:lang w:val="en-US" w:eastAsia="zh-CN"/>
        </w:rPr>
        <w:t>本项</w:t>
      </w:r>
      <w:r>
        <w:rPr>
          <w:rFonts w:hint="eastAsia" w:ascii="仿宋_GB2312" w:eastAsia="仿宋_GB2312"/>
          <w:sz w:val="32"/>
          <w:szCs w:val="32"/>
        </w:rPr>
        <w:t>完成率100%，本项得分15分。</w:t>
      </w:r>
    </w:p>
    <w:p>
      <w:pPr>
        <w:spacing w:line="360" w:lineRule="auto"/>
        <w:ind w:firstLine="643" w:firstLineChars="200"/>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（四）满意度</w:t>
      </w:r>
    </w:p>
    <w:p>
      <w:pPr>
        <w:numPr>
          <w:ilvl w:val="0"/>
          <w:numId w:val="0"/>
        </w:numPr>
        <w:ind w:firstLine="640" w:firstLineChars="200"/>
        <w:rPr>
          <w:rFonts w:hint="default" w:ascii="宋体" w:hAnsi="宋体"/>
          <w:sz w:val="28"/>
          <w:szCs w:val="28"/>
          <w:lang w:val="en-US" w:eastAsia="zh-CN"/>
        </w:rPr>
      </w:pPr>
      <w:r>
        <w:rPr>
          <w:rFonts w:hint="eastAsia" w:ascii="仿宋_GB2312" w:hAnsi="仿宋_GB2312" w:eastAsia="仿宋_GB2312" w:cs="仿宋_GB2312"/>
          <w:sz w:val="32"/>
          <w:szCs w:val="32"/>
        </w:rPr>
        <w:t>承</w:t>
      </w:r>
      <w:r>
        <w:rPr>
          <w:rFonts w:hint="eastAsia" w:ascii="仿宋_GB2312" w:hAnsi="仿宋_GB2312" w:eastAsia="仿宋_GB2312" w:cs="仿宋_GB2312"/>
          <w:b w:val="0"/>
          <w:bCs w:val="0"/>
          <w:sz w:val="32"/>
          <w:szCs w:val="32"/>
          <w:lang w:val="en-US" w:eastAsia="zh-CN"/>
        </w:rPr>
        <w:t>办了“这是石家庄”美食文创行活动；商务局“石家庄首届滹沱印象音乐季”系列线下活动；卫健委爱卫月、健康风采大赛等活动，受到合作单位好评。联合新媒体资源，推出“原创音乐人星推周计划”、网易云原创歌曲等内容；线下通过“石家庄音乐节”、“跨年狂欢夜”、原创音乐人巡演等形式进行推广，切实提高了音乐频率的传播力。</w:t>
      </w:r>
    </w:p>
    <w:p>
      <w:pPr>
        <w:pStyle w:val="2"/>
        <w:ind w:firstLine="640"/>
        <w:rPr>
          <w:rFonts w:hint="eastAsia"/>
        </w:rPr>
      </w:pPr>
      <w:r>
        <w:rPr>
          <w:rFonts w:hint="eastAsia" w:ascii="仿宋" w:hAnsi="仿宋" w:eastAsia="仿宋"/>
          <w:sz w:val="32"/>
          <w:szCs w:val="32"/>
        </w:rPr>
        <w:t>群众满意度为优秀，</w:t>
      </w:r>
      <w:r>
        <w:rPr>
          <w:rFonts w:hint="eastAsia" w:ascii="仿宋_GB2312" w:eastAsia="仿宋_GB2312"/>
          <w:sz w:val="32"/>
          <w:szCs w:val="32"/>
        </w:rPr>
        <w:t>完成率100%，本项得分10分。</w:t>
      </w:r>
    </w:p>
    <w:p>
      <w:pPr>
        <w:spacing w:line="360" w:lineRule="auto"/>
        <w:ind w:firstLine="640" w:firstLineChars="200"/>
        <w:outlineLvl w:val="0"/>
        <w:rPr>
          <w:rFonts w:ascii="黑体" w:hAnsi="黑体" w:eastAsia="黑体"/>
          <w:sz w:val="32"/>
          <w:szCs w:val="32"/>
        </w:rPr>
      </w:pPr>
      <w:r>
        <w:rPr>
          <w:rFonts w:hint="eastAsia" w:ascii="黑体" w:hAnsi="黑体" w:eastAsia="黑体"/>
          <w:sz w:val="32"/>
          <w:szCs w:val="32"/>
        </w:rPr>
        <w:t>四、项目综合评价结论和评价等级</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项目具有明确的目标，项目实施过程中能够严格按照省市有关项目管理和资金管理规定执行，资金到位及时，使用得当。</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该项目从前期调研、立项、论证、策划等工作，到项目实施、验收等工作，资料完整、齐全，该项目总得分100分，综合绩效评价等级为优秀。</w:t>
      </w:r>
    </w:p>
    <w:p>
      <w:pPr>
        <w:spacing w:line="360" w:lineRule="auto"/>
        <w:ind w:firstLine="640" w:firstLineChars="200"/>
        <w:outlineLvl w:val="0"/>
        <w:rPr>
          <w:rFonts w:ascii="仿宋_GB2312" w:eastAsia="仿宋_GB2312"/>
          <w:sz w:val="32"/>
          <w:szCs w:val="32"/>
        </w:rPr>
      </w:pPr>
      <w:r>
        <w:rPr>
          <w:rFonts w:hint="eastAsia" w:ascii="黑体" w:hAnsi="黑体" w:eastAsia="黑体"/>
          <w:sz w:val="32"/>
          <w:szCs w:val="32"/>
        </w:rPr>
        <w:t>五、存在的问题及改进措施</w:t>
      </w:r>
    </w:p>
    <w:p>
      <w:pPr>
        <w:spacing w:line="360" w:lineRule="auto"/>
        <w:ind w:firstLine="643" w:firstLineChars="200"/>
        <w:outlineLvl w:val="1"/>
        <w:rPr>
          <w:rFonts w:ascii="楷体_GB2312" w:hAnsi="楷体_GB2312" w:eastAsia="楷体_GB2312"/>
          <w:b/>
          <w:bCs/>
          <w:sz w:val="32"/>
          <w:szCs w:val="32"/>
        </w:rPr>
      </w:pPr>
      <w:r>
        <w:rPr>
          <w:rFonts w:hint="eastAsia" w:ascii="楷体_GB2312" w:hAnsi="楷体_GB2312" w:eastAsia="楷体_GB2312"/>
          <w:b/>
          <w:bCs/>
          <w:sz w:val="32"/>
          <w:szCs w:val="32"/>
        </w:rPr>
        <w:t>（一）项目存在的主要问题</w:t>
      </w:r>
    </w:p>
    <w:p>
      <w:pPr>
        <w:spacing w:line="360" w:lineRule="auto"/>
        <w:outlineLvl w:val="1"/>
        <w:rPr>
          <w:rFonts w:ascii="楷体_GB2312" w:hAnsi="楷体_GB2312" w:eastAsia="楷体_GB2312"/>
          <w:b/>
          <w:bCs/>
          <w:sz w:val="32"/>
          <w:szCs w:val="32"/>
        </w:rPr>
      </w:pPr>
      <w:r>
        <w:rPr>
          <w:rFonts w:hint="eastAsia" w:ascii="仿宋_GB2312" w:eastAsia="仿宋_GB2312"/>
          <w:color w:val="FF0000"/>
          <w:sz w:val="32"/>
          <w:szCs w:val="32"/>
        </w:rPr>
        <w:t xml:space="preserve">    </w:t>
      </w:r>
      <w:r>
        <w:rPr>
          <w:rFonts w:hint="eastAsia" w:ascii="仿宋_GB2312" w:eastAsia="仿宋_GB2312"/>
          <w:sz w:val="32"/>
          <w:szCs w:val="32"/>
        </w:rPr>
        <w:t>节目形式创新存在不足，全媒体运用手段有待进一步提高。</w:t>
      </w:r>
      <w:r>
        <w:rPr>
          <w:rFonts w:hint="eastAsia" w:ascii="仿宋_GB2312" w:eastAsia="仿宋_GB2312"/>
          <w:sz w:val="32"/>
          <w:szCs w:val="32"/>
          <w:lang w:val="en-US" w:eastAsia="zh-CN"/>
        </w:rPr>
        <w:t>行代公司实际交款降幅较大，自营力量薄弱，商业客户开发不足。下一步将增强创意研发能力，做好活动规划，提高变现能力，朝着全案整合营销方面做好线上创意内容的开发，设计研发更多广告主题形式，以增加收入。</w:t>
      </w:r>
    </w:p>
    <w:p>
      <w:pPr>
        <w:numPr>
          <w:ilvl w:val="0"/>
          <w:numId w:val="2"/>
        </w:numPr>
        <w:spacing w:line="360" w:lineRule="auto"/>
        <w:ind w:firstLine="643" w:firstLineChars="200"/>
        <w:outlineLvl w:val="1"/>
        <w:rPr>
          <w:rFonts w:ascii="楷体_GB2312" w:hAnsi="楷体_GB2312" w:eastAsia="楷体_GB2312"/>
          <w:b/>
          <w:bCs/>
          <w:sz w:val="32"/>
          <w:szCs w:val="32"/>
        </w:rPr>
      </w:pPr>
      <w:r>
        <w:rPr>
          <w:rFonts w:hint="eastAsia" w:ascii="楷体_GB2312" w:hAnsi="楷体_GB2312" w:eastAsia="楷体_GB2312"/>
          <w:b/>
          <w:bCs/>
          <w:sz w:val="32"/>
          <w:szCs w:val="32"/>
        </w:rPr>
        <w:t>针对问题提出具体的改进措施或建议</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提升节目质量，创新节目形式，打造全媒体立体化传播，提高传播力和影响力。</w:t>
      </w:r>
    </w:p>
    <w:p>
      <w:pPr>
        <w:adjustRightInd w:val="0"/>
        <w:snapToGrid w:val="0"/>
        <w:spacing w:line="360" w:lineRule="auto"/>
        <w:ind w:firstLine="640" w:firstLineChars="200"/>
        <w:outlineLvl w:val="0"/>
        <w:rPr>
          <w:rFonts w:ascii="仿宋_GB2312" w:hAnsi="仿宋" w:eastAsia="仿宋_GB2312"/>
          <w:sz w:val="32"/>
          <w:szCs w:val="32"/>
        </w:rPr>
      </w:pPr>
      <w:r>
        <w:rPr>
          <w:rFonts w:hint="eastAsia" w:ascii="黑体" w:eastAsia="黑体"/>
          <w:sz w:val="32"/>
          <w:szCs w:val="32"/>
        </w:rPr>
        <w:t>六、评价工作组人员名单及签字</w:t>
      </w:r>
      <w:r>
        <w:rPr>
          <w:rFonts w:hint="eastAsia" w:ascii="仿宋_GB2312" w:eastAsia="仿宋_GB2312"/>
          <w:sz w:val="32"/>
          <w:szCs w:val="32"/>
        </w:rPr>
        <w:t>（姓名、工作单位、职务、职称）</w:t>
      </w:r>
    </w:p>
    <w:tbl>
      <w:tblPr>
        <w:tblStyle w:val="9"/>
        <w:tblW w:w="8721" w:type="dxa"/>
        <w:tblInd w:w="-2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9"/>
        <w:gridCol w:w="2021"/>
        <w:gridCol w:w="2243"/>
        <w:gridCol w:w="1971"/>
        <w:gridCol w:w="11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spacing w:line="360" w:lineRule="auto"/>
              <w:jc w:val="center"/>
              <w:rPr>
                <w:sz w:val="32"/>
                <w:szCs w:val="32"/>
              </w:rPr>
            </w:pPr>
            <w:r>
              <w:rPr>
                <w:rFonts w:hint="eastAsia"/>
                <w:sz w:val="32"/>
                <w:szCs w:val="32"/>
              </w:rPr>
              <w:t>姓名</w:t>
            </w:r>
          </w:p>
        </w:tc>
        <w:tc>
          <w:tcPr>
            <w:tcW w:w="2021" w:type="dxa"/>
          </w:tcPr>
          <w:p>
            <w:pPr>
              <w:spacing w:line="360" w:lineRule="auto"/>
              <w:jc w:val="center"/>
              <w:rPr>
                <w:sz w:val="32"/>
                <w:szCs w:val="32"/>
              </w:rPr>
            </w:pPr>
            <w:r>
              <w:rPr>
                <w:rFonts w:hint="eastAsia"/>
                <w:sz w:val="32"/>
                <w:szCs w:val="32"/>
              </w:rPr>
              <w:t>工作单位</w:t>
            </w:r>
          </w:p>
        </w:tc>
        <w:tc>
          <w:tcPr>
            <w:tcW w:w="2243" w:type="dxa"/>
          </w:tcPr>
          <w:p>
            <w:pPr>
              <w:spacing w:line="360" w:lineRule="auto"/>
              <w:jc w:val="center"/>
              <w:rPr>
                <w:sz w:val="32"/>
                <w:szCs w:val="32"/>
              </w:rPr>
            </w:pPr>
            <w:r>
              <w:rPr>
                <w:rFonts w:hint="eastAsia"/>
                <w:sz w:val="32"/>
                <w:szCs w:val="32"/>
              </w:rPr>
              <w:t>职务</w:t>
            </w:r>
          </w:p>
        </w:tc>
        <w:tc>
          <w:tcPr>
            <w:tcW w:w="1971" w:type="dxa"/>
          </w:tcPr>
          <w:p>
            <w:pPr>
              <w:spacing w:line="360" w:lineRule="auto"/>
              <w:jc w:val="center"/>
              <w:rPr>
                <w:sz w:val="32"/>
                <w:szCs w:val="32"/>
              </w:rPr>
            </w:pPr>
            <w:r>
              <w:rPr>
                <w:rFonts w:hint="eastAsia"/>
                <w:sz w:val="32"/>
                <w:szCs w:val="32"/>
              </w:rPr>
              <w:t>职称</w:t>
            </w:r>
          </w:p>
        </w:tc>
        <w:tc>
          <w:tcPr>
            <w:tcW w:w="1177" w:type="dxa"/>
          </w:tcPr>
          <w:p>
            <w:pPr>
              <w:spacing w:line="360" w:lineRule="auto"/>
              <w:jc w:val="center"/>
              <w:rPr>
                <w:sz w:val="32"/>
                <w:szCs w:val="32"/>
              </w:rPr>
            </w:pPr>
            <w:r>
              <w:rPr>
                <w:rFonts w:hint="eastAsia"/>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5" w:hRule="atLeast"/>
        </w:trPr>
        <w:tc>
          <w:tcPr>
            <w:tcW w:w="1309" w:type="dxa"/>
          </w:tcPr>
          <w:p>
            <w:pPr>
              <w:spacing w:line="360" w:lineRule="auto"/>
              <w:jc w:val="center"/>
            </w:pPr>
            <w:r>
              <w:rPr>
                <w:rFonts w:hint="eastAsia"/>
              </w:rPr>
              <w:t>商业南</w:t>
            </w:r>
          </w:p>
        </w:tc>
        <w:tc>
          <w:tcPr>
            <w:tcW w:w="2021" w:type="dxa"/>
          </w:tcPr>
          <w:p>
            <w:pPr>
              <w:spacing w:line="360" w:lineRule="auto"/>
            </w:pPr>
            <w:r>
              <w:rPr>
                <w:rFonts w:hint="eastAsia"/>
              </w:rPr>
              <w:t>石家庄广播电视台</w:t>
            </w:r>
          </w:p>
        </w:tc>
        <w:tc>
          <w:tcPr>
            <w:tcW w:w="2243" w:type="dxa"/>
          </w:tcPr>
          <w:p>
            <w:pPr>
              <w:spacing w:line="360" w:lineRule="auto"/>
            </w:pPr>
            <w:r>
              <w:rPr>
                <w:rFonts w:hint="eastAsia"/>
              </w:rPr>
              <w:t>副台长</w:t>
            </w:r>
          </w:p>
        </w:tc>
        <w:tc>
          <w:tcPr>
            <w:tcW w:w="1971" w:type="dxa"/>
          </w:tcPr>
          <w:p>
            <w:pPr>
              <w:spacing w:line="360" w:lineRule="auto"/>
            </w:pPr>
            <w:r>
              <w:rPr>
                <w:rFonts w:hint="eastAsia"/>
              </w:rPr>
              <w:t>高级编辑</w:t>
            </w:r>
          </w:p>
        </w:tc>
        <w:tc>
          <w:tcPr>
            <w:tcW w:w="1177" w:type="dxa"/>
          </w:tcPr>
          <w:p>
            <w:pPr>
              <w:spacing w:line="360" w:lineRule="auto"/>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spacing w:line="360" w:lineRule="auto"/>
              <w:jc w:val="center"/>
              <w:rPr>
                <w:rFonts w:hint="eastAsia" w:eastAsia="宋体"/>
                <w:lang w:eastAsia="zh-CN"/>
              </w:rPr>
            </w:pPr>
            <w:r>
              <w:rPr>
                <w:rFonts w:hint="eastAsia"/>
                <w:lang w:eastAsia="zh-CN"/>
              </w:rPr>
              <w:t>李旭亮</w:t>
            </w:r>
          </w:p>
        </w:tc>
        <w:tc>
          <w:tcPr>
            <w:tcW w:w="2021" w:type="dxa"/>
          </w:tcPr>
          <w:p>
            <w:pPr>
              <w:spacing w:line="360" w:lineRule="auto"/>
            </w:pPr>
            <w:r>
              <w:rPr>
                <w:rFonts w:hint="eastAsia"/>
              </w:rPr>
              <w:t>石家庄广播电视台</w:t>
            </w:r>
          </w:p>
        </w:tc>
        <w:tc>
          <w:tcPr>
            <w:tcW w:w="2243" w:type="dxa"/>
          </w:tcPr>
          <w:p>
            <w:pPr>
              <w:spacing w:line="360" w:lineRule="auto"/>
              <w:rPr>
                <w:rFonts w:hint="eastAsia" w:eastAsia="宋体"/>
                <w:lang w:eastAsia="zh-CN"/>
              </w:rPr>
            </w:pPr>
            <w:r>
              <w:rPr>
                <w:rFonts w:hint="eastAsia"/>
                <w:lang w:eastAsia="zh-CN"/>
              </w:rPr>
              <w:t>副台长</w:t>
            </w:r>
          </w:p>
        </w:tc>
        <w:tc>
          <w:tcPr>
            <w:tcW w:w="1971" w:type="dxa"/>
          </w:tcPr>
          <w:p>
            <w:pPr>
              <w:spacing w:line="360" w:lineRule="auto"/>
            </w:pPr>
          </w:p>
        </w:tc>
        <w:tc>
          <w:tcPr>
            <w:tcW w:w="1177" w:type="dxa"/>
          </w:tcPr>
          <w:p>
            <w:pPr>
              <w:spacing w:line="360" w:lineRule="auto"/>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vAlign w:val="top"/>
          </w:tcPr>
          <w:p>
            <w:pPr>
              <w:spacing w:line="360" w:lineRule="auto"/>
              <w:jc w:val="center"/>
              <w:rPr>
                <w:rFonts w:hint="eastAsia"/>
              </w:rPr>
            </w:pPr>
            <w:r>
              <w:rPr>
                <w:rFonts w:hint="eastAsia"/>
              </w:rPr>
              <w:t>申媛</w:t>
            </w:r>
          </w:p>
        </w:tc>
        <w:tc>
          <w:tcPr>
            <w:tcW w:w="2021" w:type="dxa"/>
            <w:vAlign w:val="top"/>
          </w:tcPr>
          <w:p>
            <w:pPr>
              <w:spacing w:line="360" w:lineRule="auto"/>
              <w:rPr>
                <w:rFonts w:hint="eastAsia"/>
              </w:rPr>
            </w:pPr>
            <w:r>
              <w:rPr>
                <w:rFonts w:hint="eastAsia"/>
              </w:rPr>
              <w:t>石家庄广播电视台</w:t>
            </w:r>
          </w:p>
        </w:tc>
        <w:tc>
          <w:tcPr>
            <w:tcW w:w="2243" w:type="dxa"/>
            <w:vAlign w:val="top"/>
          </w:tcPr>
          <w:p>
            <w:pPr>
              <w:spacing w:line="360" w:lineRule="auto"/>
              <w:rPr>
                <w:rFonts w:hint="eastAsia"/>
              </w:rPr>
            </w:pPr>
            <w:r>
              <w:rPr>
                <w:rFonts w:hint="eastAsia"/>
              </w:rPr>
              <w:t>财务部主任</w:t>
            </w:r>
          </w:p>
        </w:tc>
        <w:tc>
          <w:tcPr>
            <w:tcW w:w="1971" w:type="dxa"/>
            <w:vAlign w:val="top"/>
          </w:tcPr>
          <w:p>
            <w:pPr>
              <w:spacing w:line="360" w:lineRule="auto"/>
              <w:rPr>
                <w:rFonts w:hint="eastAsia"/>
              </w:rPr>
            </w:pPr>
            <w:r>
              <w:rPr>
                <w:rFonts w:hint="eastAsia"/>
              </w:rPr>
              <w:t>会计师</w:t>
            </w:r>
          </w:p>
        </w:tc>
        <w:tc>
          <w:tcPr>
            <w:tcW w:w="1177" w:type="dxa"/>
          </w:tcPr>
          <w:p>
            <w:pPr>
              <w:spacing w:line="360" w:lineRule="auto"/>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spacing w:line="360" w:lineRule="auto"/>
              <w:jc w:val="center"/>
            </w:pPr>
            <w:r>
              <w:rPr>
                <w:rFonts w:hint="eastAsia"/>
              </w:rPr>
              <w:t>陶丽宏</w:t>
            </w:r>
          </w:p>
        </w:tc>
        <w:tc>
          <w:tcPr>
            <w:tcW w:w="2021" w:type="dxa"/>
          </w:tcPr>
          <w:p>
            <w:pPr>
              <w:spacing w:line="360" w:lineRule="auto"/>
            </w:pPr>
            <w:r>
              <w:rPr>
                <w:rFonts w:hint="eastAsia"/>
              </w:rPr>
              <w:t>石家庄广播电视台</w:t>
            </w:r>
          </w:p>
        </w:tc>
        <w:tc>
          <w:tcPr>
            <w:tcW w:w="2243" w:type="dxa"/>
          </w:tcPr>
          <w:p>
            <w:pPr>
              <w:spacing w:line="360" w:lineRule="auto"/>
            </w:pPr>
            <w:r>
              <w:rPr>
                <w:rFonts w:hint="eastAsia"/>
              </w:rPr>
              <w:t>财务部副主任</w:t>
            </w:r>
          </w:p>
        </w:tc>
        <w:tc>
          <w:tcPr>
            <w:tcW w:w="1971" w:type="dxa"/>
          </w:tcPr>
          <w:p>
            <w:pPr>
              <w:spacing w:line="360" w:lineRule="auto"/>
            </w:pPr>
            <w:r>
              <w:rPr>
                <w:rFonts w:hint="eastAsia"/>
              </w:rPr>
              <w:t>会计师</w:t>
            </w:r>
          </w:p>
        </w:tc>
        <w:tc>
          <w:tcPr>
            <w:tcW w:w="1177" w:type="dxa"/>
          </w:tcPr>
          <w:p>
            <w:pPr>
              <w:spacing w:line="360" w:lineRule="auto"/>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spacing w:line="360" w:lineRule="auto"/>
              <w:jc w:val="center"/>
            </w:pPr>
            <w:r>
              <w:rPr>
                <w:rFonts w:hint="eastAsia"/>
              </w:rPr>
              <w:t>韩涛</w:t>
            </w:r>
          </w:p>
        </w:tc>
        <w:tc>
          <w:tcPr>
            <w:tcW w:w="2021" w:type="dxa"/>
          </w:tcPr>
          <w:p>
            <w:pPr>
              <w:spacing w:line="360" w:lineRule="auto"/>
            </w:pPr>
            <w:r>
              <w:rPr>
                <w:rFonts w:hint="eastAsia"/>
              </w:rPr>
              <w:t>石家庄广播电视台</w:t>
            </w:r>
          </w:p>
        </w:tc>
        <w:tc>
          <w:tcPr>
            <w:tcW w:w="2243" w:type="dxa"/>
          </w:tcPr>
          <w:p>
            <w:pPr>
              <w:spacing w:line="360" w:lineRule="auto"/>
            </w:pPr>
            <w:r>
              <w:rPr>
                <w:rFonts w:hint="eastAsia"/>
              </w:rPr>
              <w:t>新闻综合频道总监</w:t>
            </w:r>
          </w:p>
        </w:tc>
        <w:tc>
          <w:tcPr>
            <w:tcW w:w="1971" w:type="dxa"/>
          </w:tcPr>
          <w:p>
            <w:pPr>
              <w:spacing w:line="360" w:lineRule="auto"/>
            </w:pPr>
            <w:r>
              <w:rPr>
                <w:rFonts w:hint="eastAsia"/>
              </w:rPr>
              <w:t>高级记者</w:t>
            </w:r>
          </w:p>
        </w:tc>
        <w:tc>
          <w:tcPr>
            <w:tcW w:w="1177" w:type="dxa"/>
          </w:tcPr>
          <w:p>
            <w:pPr>
              <w:spacing w:line="360" w:lineRule="auto"/>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spacing w:line="360" w:lineRule="auto"/>
              <w:jc w:val="center"/>
            </w:pPr>
            <w:r>
              <w:rPr>
                <w:rFonts w:hint="eastAsia"/>
              </w:rPr>
              <w:t>邵猛</w:t>
            </w:r>
          </w:p>
        </w:tc>
        <w:tc>
          <w:tcPr>
            <w:tcW w:w="2021" w:type="dxa"/>
          </w:tcPr>
          <w:p>
            <w:pPr>
              <w:spacing w:line="360" w:lineRule="auto"/>
            </w:pPr>
            <w:r>
              <w:rPr>
                <w:rFonts w:hint="eastAsia"/>
              </w:rPr>
              <w:t>石家庄广播电视台</w:t>
            </w:r>
          </w:p>
        </w:tc>
        <w:tc>
          <w:tcPr>
            <w:tcW w:w="2243" w:type="dxa"/>
          </w:tcPr>
          <w:p>
            <w:pPr>
              <w:spacing w:line="360" w:lineRule="auto"/>
            </w:pPr>
            <w:r>
              <w:rPr>
                <w:rFonts w:hint="eastAsia"/>
              </w:rPr>
              <w:t>新闻综合频道副总监</w:t>
            </w:r>
          </w:p>
        </w:tc>
        <w:tc>
          <w:tcPr>
            <w:tcW w:w="1971" w:type="dxa"/>
          </w:tcPr>
          <w:p>
            <w:pPr>
              <w:spacing w:line="360" w:lineRule="auto"/>
            </w:pPr>
            <w:r>
              <w:rPr>
                <w:rFonts w:hint="eastAsia"/>
              </w:rPr>
              <w:t>高级记者</w:t>
            </w:r>
          </w:p>
        </w:tc>
        <w:tc>
          <w:tcPr>
            <w:tcW w:w="1177" w:type="dxa"/>
          </w:tcPr>
          <w:p>
            <w:pPr>
              <w:spacing w:line="360" w:lineRule="auto"/>
            </w:pPr>
          </w:p>
        </w:tc>
      </w:tr>
    </w:tbl>
    <w:p>
      <w:pPr>
        <w:spacing w:line="360" w:lineRule="auto"/>
      </w:pPr>
    </w:p>
    <w:p/>
    <w:sectPr>
      <w:footerReference r:id="rId3"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86"/>
    <w:family w:val="auto"/>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0000000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- 2 -</w:t>
                          </w:r>
                          <w:r>
                            <w:rPr>
                              <w:rFonts w:hint="eastAsia"/>
                              <w:sz w:val="18"/>
                            </w:rPr>
                            <w:fldChar w:fldCharType="end"/>
                          </w:r>
                        </w:p>
                      </w:txbxContent>
                    </wps:txbx>
                    <wps:bodyPr wrap="none" lIns="0" tIns="0" rIns="0" bIns="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DOqXm5zwAAAAUBAAAP&#10;AAAAAAAAAAEAIAAAACIAAABkcnMvZG93bnJldi54bWxQSwECFAAUAAAACACHTuJARKK3568BAABQ&#10;AwAADgAAAAAAAAABACAAAAAeAQAAZHJzL2Uyb0RvYy54bWxQSwUGAAAAAAYABgBZAQAAPwU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68489B"/>
    <w:multiLevelType w:val="singleLevel"/>
    <w:tmpl w:val="5E68489B"/>
    <w:lvl w:ilvl="0" w:tentative="0">
      <w:start w:val="1"/>
      <w:numFmt w:val="chineseCounting"/>
      <w:suff w:val="nothing"/>
      <w:lvlText w:val="（%1）"/>
      <w:lvlJc w:val="left"/>
    </w:lvl>
  </w:abstractNum>
  <w:abstractNum w:abstractNumId="1">
    <w:nsid w:val="66B89FC1"/>
    <w:multiLevelType w:val="singleLevel"/>
    <w:tmpl w:val="66B89FC1"/>
    <w:lvl w:ilvl="0" w:tentative="0">
      <w:start w:val="2"/>
      <w:numFmt w:val="chineseCounting"/>
      <w:suff w:val="nothing"/>
      <w:lvlText w:val="（%1）"/>
      <w:lvlJc w:val="left"/>
      <w:pPr>
        <w:ind w:left="642" w:firstLine="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documentProtection w:enforcement="0"/>
  <w:defaultTabStop w:val="420"/>
  <w:drawingGridVerticalSpacing w:val="156"/>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06161E"/>
    <w:rsid w:val="00091F07"/>
    <w:rsid w:val="000D2F79"/>
    <w:rsid w:val="000D4E3A"/>
    <w:rsid w:val="00167C2F"/>
    <w:rsid w:val="00177862"/>
    <w:rsid w:val="001F6AF0"/>
    <w:rsid w:val="002822D4"/>
    <w:rsid w:val="00302525"/>
    <w:rsid w:val="003332CD"/>
    <w:rsid w:val="00340128"/>
    <w:rsid w:val="00347E15"/>
    <w:rsid w:val="00411F31"/>
    <w:rsid w:val="00432229"/>
    <w:rsid w:val="00470E4F"/>
    <w:rsid w:val="004F09F4"/>
    <w:rsid w:val="00530308"/>
    <w:rsid w:val="00537216"/>
    <w:rsid w:val="005A2B57"/>
    <w:rsid w:val="005A7EF8"/>
    <w:rsid w:val="005E5442"/>
    <w:rsid w:val="0061232B"/>
    <w:rsid w:val="007D639F"/>
    <w:rsid w:val="009059D9"/>
    <w:rsid w:val="009B408F"/>
    <w:rsid w:val="00A9155B"/>
    <w:rsid w:val="00A9413D"/>
    <w:rsid w:val="00B20B5A"/>
    <w:rsid w:val="00B238F1"/>
    <w:rsid w:val="00B5019D"/>
    <w:rsid w:val="00BF5A66"/>
    <w:rsid w:val="00C940F2"/>
    <w:rsid w:val="00CD56AD"/>
    <w:rsid w:val="00D51A8C"/>
    <w:rsid w:val="00D920C1"/>
    <w:rsid w:val="00DD5E73"/>
    <w:rsid w:val="00E416C8"/>
    <w:rsid w:val="00E87A01"/>
    <w:rsid w:val="00EF16BD"/>
    <w:rsid w:val="00F37111"/>
    <w:rsid w:val="01263398"/>
    <w:rsid w:val="02B43A28"/>
    <w:rsid w:val="031F0958"/>
    <w:rsid w:val="03407F9A"/>
    <w:rsid w:val="035A307B"/>
    <w:rsid w:val="039B0760"/>
    <w:rsid w:val="04CB2778"/>
    <w:rsid w:val="06D8770C"/>
    <w:rsid w:val="07326FAD"/>
    <w:rsid w:val="073F19AF"/>
    <w:rsid w:val="07582E12"/>
    <w:rsid w:val="09A01C5C"/>
    <w:rsid w:val="0A1C3A07"/>
    <w:rsid w:val="0ABE63CE"/>
    <w:rsid w:val="0AFC0E49"/>
    <w:rsid w:val="0B965B2C"/>
    <w:rsid w:val="0C216064"/>
    <w:rsid w:val="0CD54249"/>
    <w:rsid w:val="0D2B1D29"/>
    <w:rsid w:val="0E6B1A5B"/>
    <w:rsid w:val="0E9B669E"/>
    <w:rsid w:val="0EA63157"/>
    <w:rsid w:val="0EB97A43"/>
    <w:rsid w:val="0EBD2122"/>
    <w:rsid w:val="0F586290"/>
    <w:rsid w:val="0FF83A3A"/>
    <w:rsid w:val="11A87931"/>
    <w:rsid w:val="11B71E6A"/>
    <w:rsid w:val="12DF62D3"/>
    <w:rsid w:val="14BE75A5"/>
    <w:rsid w:val="158F20E1"/>
    <w:rsid w:val="159D25E0"/>
    <w:rsid w:val="171A203D"/>
    <w:rsid w:val="17BA3F9F"/>
    <w:rsid w:val="18250397"/>
    <w:rsid w:val="1857312F"/>
    <w:rsid w:val="19A36B8F"/>
    <w:rsid w:val="1A480489"/>
    <w:rsid w:val="1AAF0063"/>
    <w:rsid w:val="1AC95206"/>
    <w:rsid w:val="1AD438E2"/>
    <w:rsid w:val="1B730737"/>
    <w:rsid w:val="1BE140DE"/>
    <w:rsid w:val="1CA00C2C"/>
    <w:rsid w:val="1D161263"/>
    <w:rsid w:val="1D361D18"/>
    <w:rsid w:val="1E0D4C76"/>
    <w:rsid w:val="1E9C3BF7"/>
    <w:rsid w:val="1EE014AA"/>
    <w:rsid w:val="204743B3"/>
    <w:rsid w:val="21FD7636"/>
    <w:rsid w:val="221233F8"/>
    <w:rsid w:val="22F15352"/>
    <w:rsid w:val="22FC19BD"/>
    <w:rsid w:val="2475428C"/>
    <w:rsid w:val="248C197D"/>
    <w:rsid w:val="252959AF"/>
    <w:rsid w:val="258204E4"/>
    <w:rsid w:val="277A6671"/>
    <w:rsid w:val="299F7B89"/>
    <w:rsid w:val="29A2254A"/>
    <w:rsid w:val="29DA362F"/>
    <w:rsid w:val="2A420506"/>
    <w:rsid w:val="2AA5036F"/>
    <w:rsid w:val="2B196C45"/>
    <w:rsid w:val="2C62582B"/>
    <w:rsid w:val="2CD47CFA"/>
    <w:rsid w:val="2DD92418"/>
    <w:rsid w:val="2F39395F"/>
    <w:rsid w:val="300C100E"/>
    <w:rsid w:val="30824F46"/>
    <w:rsid w:val="30862948"/>
    <w:rsid w:val="311642AB"/>
    <w:rsid w:val="31544C37"/>
    <w:rsid w:val="32462BA3"/>
    <w:rsid w:val="32755B53"/>
    <w:rsid w:val="32D5693E"/>
    <w:rsid w:val="33EB6CFF"/>
    <w:rsid w:val="34357404"/>
    <w:rsid w:val="36B65E7F"/>
    <w:rsid w:val="36D120F4"/>
    <w:rsid w:val="36ED5747"/>
    <w:rsid w:val="386C6581"/>
    <w:rsid w:val="38A00483"/>
    <w:rsid w:val="38C256D5"/>
    <w:rsid w:val="393F1EC2"/>
    <w:rsid w:val="39FC4C8A"/>
    <w:rsid w:val="3B286E81"/>
    <w:rsid w:val="3B625C0A"/>
    <w:rsid w:val="3B9B1C2B"/>
    <w:rsid w:val="3CD11481"/>
    <w:rsid w:val="3CEE1963"/>
    <w:rsid w:val="3D1311EB"/>
    <w:rsid w:val="3E592097"/>
    <w:rsid w:val="3EBB5138"/>
    <w:rsid w:val="3F3B4591"/>
    <w:rsid w:val="3FC61E44"/>
    <w:rsid w:val="41C712FE"/>
    <w:rsid w:val="41FB3A76"/>
    <w:rsid w:val="426E7BF8"/>
    <w:rsid w:val="447E7335"/>
    <w:rsid w:val="458364F6"/>
    <w:rsid w:val="45E845AA"/>
    <w:rsid w:val="46375F42"/>
    <w:rsid w:val="47144B58"/>
    <w:rsid w:val="47A828C4"/>
    <w:rsid w:val="48441BB9"/>
    <w:rsid w:val="485C7BB8"/>
    <w:rsid w:val="48DC00F2"/>
    <w:rsid w:val="499E0071"/>
    <w:rsid w:val="4A2671D3"/>
    <w:rsid w:val="4C7976A6"/>
    <w:rsid w:val="4D374AA3"/>
    <w:rsid w:val="4EBB6676"/>
    <w:rsid w:val="512260B4"/>
    <w:rsid w:val="524D4140"/>
    <w:rsid w:val="52987325"/>
    <w:rsid w:val="53863FFA"/>
    <w:rsid w:val="54DF52C5"/>
    <w:rsid w:val="551063E1"/>
    <w:rsid w:val="55886989"/>
    <w:rsid w:val="567E45EF"/>
    <w:rsid w:val="57231214"/>
    <w:rsid w:val="57C42E38"/>
    <w:rsid w:val="58037A01"/>
    <w:rsid w:val="590463B4"/>
    <w:rsid w:val="5ACE63F9"/>
    <w:rsid w:val="5B6D1183"/>
    <w:rsid w:val="5BCE5451"/>
    <w:rsid w:val="5C230116"/>
    <w:rsid w:val="5C8B0DC7"/>
    <w:rsid w:val="5C9F4517"/>
    <w:rsid w:val="5D0C7CB9"/>
    <w:rsid w:val="5D255AA3"/>
    <w:rsid w:val="5DE22E40"/>
    <w:rsid w:val="5E28283B"/>
    <w:rsid w:val="5F07058A"/>
    <w:rsid w:val="5F5B4940"/>
    <w:rsid w:val="5F7E2B07"/>
    <w:rsid w:val="60727F3F"/>
    <w:rsid w:val="616927D7"/>
    <w:rsid w:val="62866D57"/>
    <w:rsid w:val="63542BB2"/>
    <w:rsid w:val="63845765"/>
    <w:rsid w:val="63E96B96"/>
    <w:rsid w:val="642F128B"/>
    <w:rsid w:val="649E58BB"/>
    <w:rsid w:val="64E3220C"/>
    <w:rsid w:val="65227670"/>
    <w:rsid w:val="66AF0CE5"/>
    <w:rsid w:val="68C071CB"/>
    <w:rsid w:val="6A0E1913"/>
    <w:rsid w:val="6A3320BC"/>
    <w:rsid w:val="6A4847B8"/>
    <w:rsid w:val="6C13620E"/>
    <w:rsid w:val="6D6D2BA9"/>
    <w:rsid w:val="6E5B14A6"/>
    <w:rsid w:val="6F313A3B"/>
    <w:rsid w:val="6F813D9F"/>
    <w:rsid w:val="6FB26D1C"/>
    <w:rsid w:val="7004259B"/>
    <w:rsid w:val="703452D4"/>
    <w:rsid w:val="707F7C96"/>
    <w:rsid w:val="71CB7D5E"/>
    <w:rsid w:val="73145A3D"/>
    <w:rsid w:val="733D2226"/>
    <w:rsid w:val="745A4B22"/>
    <w:rsid w:val="770A5E3A"/>
    <w:rsid w:val="78073F5B"/>
    <w:rsid w:val="79E71DA7"/>
    <w:rsid w:val="7AB709DD"/>
    <w:rsid w:val="7BB51E06"/>
    <w:rsid w:val="7C387F7C"/>
    <w:rsid w:val="7D605B8A"/>
    <w:rsid w:val="7E171AD1"/>
    <w:rsid w:val="7FB00F1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First Indent 2"/>
    <w:basedOn w:val="3"/>
    <w:qFormat/>
    <w:uiPriority w:val="0"/>
    <w:pPr>
      <w:ind w:firstLine="200"/>
    </w:pPr>
    <w:rPr>
      <w:rFonts w:ascii="Times New Roman" w:hAnsi="Times New Roman"/>
    </w:rPr>
  </w:style>
  <w:style w:type="paragraph" w:styleId="3">
    <w:name w:val="Body Text Indent"/>
    <w:basedOn w:val="1"/>
    <w:qFormat/>
    <w:uiPriority w:val="0"/>
    <w:pPr>
      <w:ind w:firstLine="420" w:firstLineChars="200"/>
    </w:pPr>
  </w:style>
  <w:style w:type="paragraph" w:styleId="4">
    <w:name w:val="annotation text"/>
    <w:basedOn w:val="1"/>
    <w:qFormat/>
    <w:uiPriority w:val="0"/>
    <w:pPr>
      <w:jc w:val="left"/>
    </w:p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7">
    <w:name w:val="Normal (Web)"/>
    <w:basedOn w:val="1"/>
    <w:qFormat/>
    <w:uiPriority w:val="0"/>
    <w:pPr>
      <w:spacing w:beforeAutospacing="1" w:afterAutospacing="1"/>
      <w:jc w:val="left"/>
    </w:pPr>
    <w:rPr>
      <w:rFonts w:cs="Times New Roman"/>
      <w:kern w:val="0"/>
      <w:sz w:val="24"/>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11">
    <w:name w:val="font01"/>
    <w:basedOn w:val="10"/>
    <w:qFormat/>
    <w:uiPriority w:val="0"/>
    <w:rPr>
      <w:rFonts w:hint="default" w:ascii="Calibri" w:hAnsi="Calibri" w:cs="Calibri"/>
      <w:color w:val="000000"/>
      <w:sz w:val="16"/>
      <w:szCs w:val="16"/>
      <w:u w:val="none"/>
    </w:rPr>
  </w:style>
  <w:style w:type="character" w:customStyle="1" w:styleId="12">
    <w:name w:val="font41"/>
    <w:basedOn w:val="10"/>
    <w:qFormat/>
    <w:uiPriority w:val="0"/>
    <w:rPr>
      <w:rFonts w:hint="eastAsia" w:ascii="宋体" w:hAnsi="宋体" w:eastAsia="宋体" w:cs="宋体"/>
      <w:color w:val="000000"/>
      <w:sz w:val="16"/>
      <w:szCs w:val="16"/>
      <w:u w:val="none"/>
    </w:rPr>
  </w:style>
  <w:style w:type="paragraph" w:styleId="13">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8</Pages>
  <Words>609</Words>
  <Characters>3476</Characters>
  <Lines>28</Lines>
  <Paragraphs>8</Paragraphs>
  <TotalTime>20</TotalTime>
  <ScaleCrop>false</ScaleCrop>
  <LinksUpToDate>false</LinksUpToDate>
  <CharactersWithSpaces>4077</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2022-03-22T08:04:00Z</dcterms:created>
  <dc:creator>欣欣大人</dc:creator>
  <cp:lastModifiedBy>冯宏涛</cp:lastModifiedBy>
  <cp:lastPrinted>2022-04-07T01:38:00Z</cp:lastPrinted>
  <dcterms:modified xsi:type="dcterms:W3CDTF">2022-04-07T03:11:53Z</dcterms:modified>
  <dc:title>附件3：</dc:title>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63F9A1A53FF948F48E47715E4FEF5065</vt:lpwstr>
  </property>
</Properties>
</file>