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</w:p>
    <w:p>
      <w:pPr>
        <w:pStyle w:val="4"/>
        <w:rPr>
          <w:rFonts w:hint="eastAsia" w:ascii="宋体" w:hAnsi="宋体" w:cs="宋体"/>
          <w:b/>
          <w:bCs/>
          <w:sz w:val="44"/>
          <w:szCs w:val="44"/>
        </w:rPr>
      </w:pPr>
    </w:p>
    <w:p>
      <w:pPr>
        <w:pStyle w:val="5"/>
        <w:rPr>
          <w:rFonts w:hint="eastAsia"/>
        </w:rPr>
      </w:pP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石家庄市教育局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部门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2021年度整体支出绩效</w:t>
      </w:r>
      <w:r>
        <w:rPr>
          <w:rFonts w:hint="eastAsia" w:ascii="宋体" w:hAnsi="宋体" w:cs="宋体"/>
          <w:b/>
          <w:bCs/>
          <w:sz w:val="44"/>
          <w:szCs w:val="44"/>
        </w:rPr>
        <w:t>自评报告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/>
        <w:jc w:val="center"/>
        <w:textAlignment w:val="auto"/>
        <w:outlineLvl w:val="9"/>
        <w:rPr>
          <w:rFonts w:ascii="华文楷体" w:eastAsia="华文楷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贯彻落实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市委市政府《关于全面落实预算绩效管理的实施意见》（石发﹝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2019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﹞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文件精神，遵循“科学性、规范性、客观性和公正性”的原则，对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石家庄市教育局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2021年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整体支出情况</w:t>
      </w:r>
      <w:r>
        <w:rPr>
          <w:rFonts w:hint="eastAsia" w:ascii="仿宋_GB2312" w:hAnsi="仿宋_GB2312" w:eastAsia="仿宋_GB2312" w:cs="仿宋_GB2312"/>
          <w:sz w:val="32"/>
          <w:szCs w:val="32"/>
        </w:rPr>
        <w:t>实施了财政支出绩效自评价，形成本评价报告。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color w:val="auto"/>
          <w:kern w:val="0"/>
          <w:sz w:val="32"/>
          <w:szCs w:val="32"/>
        </w:rPr>
      </w:pPr>
      <w:r>
        <w:rPr>
          <w:rFonts w:hint="eastAsia" w:ascii="黑体" w:hAnsi="黑体" w:eastAsia="黑体" w:cs="黑体"/>
          <w:color w:val="auto"/>
          <w:kern w:val="0"/>
          <w:sz w:val="32"/>
          <w:szCs w:val="32"/>
          <w:lang w:eastAsia="zh-CN"/>
        </w:rPr>
        <w:t>一、部门</w:t>
      </w:r>
      <w:r>
        <w:rPr>
          <w:rFonts w:hint="eastAsia" w:ascii="黑体" w:hAnsi="黑体" w:eastAsia="黑体" w:cs="黑体"/>
          <w:color w:val="auto"/>
          <w:kern w:val="0"/>
          <w:sz w:val="32"/>
          <w:szCs w:val="32"/>
        </w:rPr>
        <w:t>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（一）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eastAsia="zh-CN"/>
        </w:rPr>
        <w:t>部门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1．主要职能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贯彻党中央和省、市委关于教育工作的方针政策和决策部署，坚持和加强党对教育工作的集中统一领导。主要职责是：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）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贯彻执行上级有关教育工作的法律法规和方针政策，起草有关教育方面的地方性法规、政府规章草案；拟订全市教育改革与发展规划并组织实施。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）负责各级各类教育的统筹规划和协调管理，拟订教育工作的长远规划和年度计划并组织实施。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）负责推进义务教育均衡发展和促进教育公平，综合管理和宏观指导全市学前教育、义务教育、普通高中教育、职业教育、高等教育、特殊教育、民族教育、成人教育、社会力量办学等工作；负责教育督导与评估验收；负责全市语言文字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）负责统筹规划和协调指导全市教育体制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eastAsia="zh-CN"/>
        </w:rPr>
        <w:t>改革工作。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）全面实施素质教育。负责指导各级各类学校的德育、智育、体育、美育、劳动教育、国防教育和法制教育工作；统筹规划、协调指导远程教育和教育信息化工作；指导教育教研和科研工作，组织学校承担国家、省、市下达的科研项目，推动科研成果的转化和推广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）负责省、市拨付教育经费的统筹管理，参与拟订教育经费筹集、教育拨款、教育基建投资政策，指导所属学校后勤管理，监督检查县（市、区）教育投入情况，负责教育基本信息的统计分析。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）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eastAsia="zh-CN"/>
        </w:rPr>
        <w:t>负责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全市教育系统人才队伍建设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eastAsia="zh-CN"/>
        </w:rPr>
        <w:t>的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统筹规划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管理工作；负责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eastAsia="zh-CN"/>
        </w:rPr>
        <w:t>全市中小学校长队伍建设和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教师继续教育工作；负责全市教育系统校务公开工作。会同有关部门，参与拟订大中专院校毕业生就业政策，指导大中专院校开展学生就业、创业工作；承办师范类大中专毕业生就业报到工作。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）负责全市教育系统安全和维护稳定工作；会同有关部门做好学校安全、学校及周边环境治理、预防青少年犯罪工作；</w:t>
      </w:r>
      <w:r>
        <w:rPr>
          <w:rFonts w:hint="eastAsia" w:ascii="仿宋_GB2312" w:hAnsi="仿宋_GB2312" w:eastAsia="仿宋_GB2312" w:cs="仿宋_GB2312"/>
          <w:color w:val="auto"/>
          <w:kern w:val="21"/>
          <w:sz w:val="32"/>
          <w:szCs w:val="32"/>
          <w:shd w:val="clear" w:color="auto" w:fill="FFFFFF"/>
        </w:rPr>
        <w:t>依法组织或参与组织有关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安全事故的调查处理。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）负责组织各类教育招生、考试工作。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）负责对外教育交流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eastAsia="zh-CN"/>
        </w:rPr>
        <w:t>与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合作工作。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）负责所属事业单位、直属学校和市属高校党群、思想政治、宣传统战、精神文明建设和廉政建设工作；按照干部管理权限负责所属事业单位、直属学校领导班子建设；负责所属事业单位、直属学校领导干部的考察、任免等工作，指导所属事业单位、直属学校中层干部队伍建设和校级后备干部队伍建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负责全市教育系统党的政治建设、思想建设、组织建设、作风建设、纪律建设和制度建设。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协调推动教育系统思想政治、意识形态工作，以及国家教育发展战略、中长期规划、教育重大政策和体制改革方案的落实。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  <w:t>13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）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eastAsia="zh-CN"/>
        </w:rPr>
        <w:t>指导全市老年教育工作。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  <w:t>14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）完成市委、市政府交办的其他任务。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  <w:lang w:eastAsia="zh-CN"/>
        </w:rPr>
        <w:t>组织</w:t>
      </w:r>
      <w:r>
        <w:rPr>
          <w:rFonts w:hint="eastAsia" w:ascii="仿宋_GB2312" w:hAnsi="仿宋" w:eastAsia="仿宋_GB2312"/>
          <w:sz w:val="32"/>
          <w:szCs w:val="32"/>
        </w:rPr>
        <w:t>机构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及人员</w:t>
      </w:r>
      <w:r>
        <w:rPr>
          <w:rFonts w:hint="eastAsia" w:ascii="仿宋_GB2312" w:hAnsi="仿宋" w:eastAsia="仿宋_GB2312"/>
          <w:sz w:val="32"/>
          <w:szCs w:val="32"/>
        </w:rPr>
        <w:t>情况</w:t>
      </w:r>
    </w:p>
    <w:tbl>
      <w:tblPr>
        <w:tblStyle w:val="8"/>
        <w:tblW w:w="7422" w:type="dxa"/>
        <w:jc w:val="center"/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5503"/>
        <w:gridCol w:w="1919"/>
      </w:tblGrid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550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指  标</w:t>
            </w:r>
          </w:p>
        </w:tc>
        <w:tc>
          <w:tcPr>
            <w:tcW w:w="1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本年度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（个、人）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550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1.独立编制机构数</w:t>
            </w:r>
          </w:p>
        </w:tc>
        <w:tc>
          <w:tcPr>
            <w:tcW w:w="1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550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2.独立核算机构数</w:t>
            </w:r>
          </w:p>
        </w:tc>
        <w:tc>
          <w:tcPr>
            <w:tcW w:w="1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550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3.年末实有人数</w:t>
            </w:r>
          </w:p>
        </w:tc>
        <w:tc>
          <w:tcPr>
            <w:tcW w:w="1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4,874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550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  在职人员</w:t>
            </w:r>
          </w:p>
        </w:tc>
        <w:tc>
          <w:tcPr>
            <w:tcW w:w="1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4,839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550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    其中：行政人员</w:t>
            </w:r>
          </w:p>
        </w:tc>
        <w:tc>
          <w:tcPr>
            <w:tcW w:w="1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550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          参照公务员法管理事业人员</w:t>
            </w:r>
          </w:p>
        </w:tc>
        <w:tc>
          <w:tcPr>
            <w:tcW w:w="1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550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          非参公事业人员</w:t>
            </w:r>
          </w:p>
        </w:tc>
        <w:tc>
          <w:tcPr>
            <w:tcW w:w="1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4,779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550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  离休人员</w:t>
            </w:r>
          </w:p>
        </w:tc>
        <w:tc>
          <w:tcPr>
            <w:tcW w:w="1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550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  退休人员</w:t>
            </w:r>
          </w:p>
        </w:tc>
        <w:tc>
          <w:tcPr>
            <w:tcW w:w="1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550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4.年末其他人员数</w:t>
            </w:r>
          </w:p>
        </w:tc>
        <w:tc>
          <w:tcPr>
            <w:tcW w:w="1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366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550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5.年末学生人数</w:t>
            </w:r>
          </w:p>
        </w:tc>
        <w:tc>
          <w:tcPr>
            <w:tcW w:w="1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65,484</w:t>
            </w:r>
          </w:p>
        </w:tc>
      </w:tr>
    </w:tbl>
    <w:p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资产情况</w:t>
      </w:r>
    </w:p>
    <w:tbl>
      <w:tblPr>
        <w:tblStyle w:val="8"/>
        <w:tblW w:w="7422" w:type="dxa"/>
        <w:jc w:val="center"/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5502"/>
        <w:gridCol w:w="1920"/>
      </w:tblGrid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550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指  标</w:t>
            </w:r>
          </w:p>
        </w:tc>
        <w:tc>
          <w:tcPr>
            <w:tcW w:w="1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本年度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（元）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550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1.货币资金</w:t>
            </w:r>
          </w:p>
        </w:tc>
        <w:tc>
          <w:tcPr>
            <w:tcW w:w="1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306,976,820.77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550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2.财政应返还额度</w:t>
            </w:r>
          </w:p>
        </w:tc>
        <w:tc>
          <w:tcPr>
            <w:tcW w:w="1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550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3.房屋</w:t>
            </w:r>
          </w:p>
        </w:tc>
        <w:tc>
          <w:tcPr>
            <w:tcW w:w="1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1,903,704,576.80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550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4.车辆</w:t>
            </w:r>
          </w:p>
        </w:tc>
        <w:tc>
          <w:tcPr>
            <w:tcW w:w="1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8,806,054.99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5.在建工程</w:t>
            </w:r>
          </w:p>
        </w:tc>
        <w:tc>
          <w:tcPr>
            <w:tcW w:w="1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279,209,131.22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6.借款</w:t>
            </w:r>
          </w:p>
        </w:tc>
        <w:tc>
          <w:tcPr>
            <w:tcW w:w="1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7.应缴财政款</w:t>
            </w:r>
          </w:p>
        </w:tc>
        <w:tc>
          <w:tcPr>
            <w:tcW w:w="1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66,307.98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8.应付职工薪酬</w:t>
            </w:r>
          </w:p>
        </w:tc>
        <w:tc>
          <w:tcPr>
            <w:tcW w:w="1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1,161,003.15</w:t>
            </w:r>
          </w:p>
        </w:tc>
      </w:tr>
    </w:tbl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（二）部门收支预决算情况</w:t>
      </w:r>
    </w:p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2021年度部门年初预算数为184852.82万元，调整预算数为161962.93万元，上年结转30000.32万元。</w:t>
      </w:r>
    </w:p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决算总收入为155748.37万元，其中一般公共预算收入126099.56万元，政府性基金收入1090万元，事业收入27527.72万元，其他收入1031.10万元。</w:t>
      </w:r>
    </w:p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决算总支出为143952.15万元，其中：人员经费83122.93万元，日常公用经费11088.32万元，专项项目支出49740.90万元。</w:t>
      </w:r>
    </w:p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年末结转41796.54万元，其中：一般公共预算结转22579.43万元，政府性基金结转17,130.30万元，其他资金结转结余2086.81万元。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（三）部门整体支出绩效目标、指标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参见各单位预算绩效文本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绩效目标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、指标。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二、自评工作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开展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（一）自评的组织工作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default" w:ascii="仿宋_GB2312" w:eastAsia="仿宋_GB2312"/>
          <w:sz w:val="32"/>
          <w:szCs w:val="32"/>
          <w:lang w:eastAsia="zh-CN"/>
        </w:rPr>
        <w:t>为做好</w:t>
      </w:r>
      <w:r>
        <w:rPr>
          <w:rFonts w:hint="eastAsia" w:ascii="仿宋_GB2312" w:eastAsia="仿宋_GB2312"/>
          <w:sz w:val="32"/>
          <w:szCs w:val="32"/>
          <w:lang w:eastAsia="zh-CN"/>
        </w:rPr>
        <w:t>市直教育部门</w:t>
      </w:r>
      <w:r>
        <w:rPr>
          <w:rFonts w:hint="default" w:ascii="仿宋_GB2312" w:eastAsia="仿宋_GB2312"/>
          <w:sz w:val="32"/>
          <w:szCs w:val="32"/>
          <w:lang w:eastAsia="zh-CN"/>
        </w:rPr>
        <w:t>项目绩效</w:t>
      </w:r>
      <w:r>
        <w:rPr>
          <w:rFonts w:hint="eastAsia" w:ascii="仿宋_GB2312" w:eastAsia="仿宋_GB2312"/>
          <w:sz w:val="32"/>
          <w:szCs w:val="32"/>
          <w:lang w:eastAsia="zh-CN"/>
        </w:rPr>
        <w:t>自</w:t>
      </w:r>
      <w:r>
        <w:rPr>
          <w:rFonts w:hint="default" w:ascii="仿宋_GB2312" w:eastAsia="仿宋_GB2312"/>
          <w:sz w:val="32"/>
          <w:szCs w:val="32"/>
          <w:lang w:eastAsia="zh-CN"/>
        </w:rPr>
        <w:t>评工作，我</w:t>
      </w:r>
      <w:r>
        <w:rPr>
          <w:rFonts w:hint="eastAsia" w:ascii="仿宋_GB2312" w:eastAsia="仿宋_GB2312"/>
          <w:sz w:val="32"/>
          <w:szCs w:val="32"/>
          <w:lang w:eastAsia="zh-CN"/>
        </w:rPr>
        <w:t>局印发</w:t>
      </w:r>
      <w:r>
        <w:rPr>
          <w:rFonts w:hint="default" w:ascii="仿宋_GB2312" w:eastAsia="仿宋_GB2312"/>
          <w:sz w:val="32"/>
          <w:szCs w:val="32"/>
          <w:lang w:eastAsia="zh-CN"/>
        </w:rPr>
        <w:t>了《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关于印发2022年绩效自评工作方案的通知</w:t>
      </w:r>
      <w:r>
        <w:rPr>
          <w:rFonts w:hint="default" w:ascii="仿宋_GB2312" w:eastAsia="仿宋_GB2312"/>
          <w:sz w:val="32"/>
          <w:szCs w:val="32"/>
          <w:lang w:eastAsia="zh-CN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（石教函〔202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/>
          <w:sz w:val="32"/>
          <w:szCs w:val="32"/>
          <w:lang w:eastAsia="zh-CN"/>
        </w:rPr>
        <w:t>〕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36</w:t>
      </w:r>
      <w:r>
        <w:rPr>
          <w:rFonts w:hint="eastAsia" w:ascii="仿宋_GB2312" w:eastAsia="仿宋_GB2312"/>
          <w:sz w:val="32"/>
          <w:szCs w:val="32"/>
          <w:lang w:eastAsia="zh-CN"/>
        </w:rPr>
        <w:t>号），成立了主管局长牵头、各处室参与的</w:t>
      </w:r>
      <w:r>
        <w:rPr>
          <w:rFonts w:hint="default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  <w:lang w:eastAsia="zh-CN"/>
        </w:rPr>
        <w:t>管理</w:t>
      </w:r>
      <w:r>
        <w:rPr>
          <w:rFonts w:hint="default" w:ascii="仿宋_GB2312" w:eastAsia="仿宋_GB2312"/>
          <w:sz w:val="32"/>
          <w:szCs w:val="32"/>
          <w:lang w:eastAsia="zh-CN"/>
        </w:rPr>
        <w:t>工作领导小组</w:t>
      </w:r>
      <w:r>
        <w:rPr>
          <w:rFonts w:hint="eastAsia" w:ascii="仿宋_GB2312" w:eastAsia="仿宋_GB2312"/>
          <w:sz w:val="32"/>
          <w:szCs w:val="32"/>
          <w:lang w:eastAsia="zh-CN"/>
        </w:rPr>
        <w:t>，设立了</w:t>
      </w:r>
      <w:r>
        <w:rPr>
          <w:rFonts w:hint="default" w:ascii="仿宋_GB2312" w:eastAsia="仿宋_GB2312"/>
          <w:sz w:val="32"/>
          <w:szCs w:val="32"/>
          <w:lang w:eastAsia="zh-CN"/>
        </w:rPr>
        <w:t>小组</w:t>
      </w:r>
      <w:r>
        <w:rPr>
          <w:rFonts w:hint="eastAsia" w:ascii="仿宋_GB2312" w:eastAsia="仿宋_GB2312"/>
          <w:sz w:val="32"/>
          <w:szCs w:val="32"/>
          <w:lang w:eastAsia="zh-CN"/>
        </w:rPr>
        <w:t>办公室</w:t>
      </w:r>
      <w:r>
        <w:rPr>
          <w:rFonts w:hint="default" w:ascii="仿宋_GB2312" w:eastAsia="仿宋_GB2312"/>
          <w:sz w:val="32"/>
          <w:szCs w:val="32"/>
          <w:lang w:eastAsia="zh-CN"/>
        </w:rPr>
        <w:t>，负责具体评价工作的实施。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各单位也成立了绩效评价小组，牵头组织绩效评价工作。由项目责任处室人员收集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评价资料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，包括工作计划、项目实施方案、项目落实情况、工作总结等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自评的方法和过程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firstLine="640" w:firstLineChars="200"/>
        <w:textAlignment w:val="auto"/>
        <w:rPr>
          <w:rFonts w:hint="eastAsia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绩效评价小</w:t>
      </w:r>
      <w:r>
        <w:rPr>
          <w:rFonts w:hint="eastAsia" w:ascii="仿宋_GB2312" w:eastAsia="仿宋_GB2312"/>
          <w:sz w:val="32"/>
          <w:szCs w:val="32"/>
        </w:rPr>
        <w:t>组对照工作内容，分解各项目绩效自评工作至相关科室，明确各项目绩效自评牵头科室和负责人，及时收集、归纳、整理项目评价资料，认真梳理填报各项目《预算项目绩效自评表》，总结成绩和不足，为今后进一步提高预算项目资金使用效率提供经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三、部门整体支出绩效目标实现情况及指标分析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总体绩效目标实现情况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2021年，市教育局在市委、市政府的坚强领导下，坚持以习近平新时代中国特色社会主义思想为指导，深入贯彻落实党的十九大和十九届历次全会，以及省、市党代会精神，认真落实上级党委、政府关于教育工作重大决策部署，团结带领教育系统干部职工，以庆祝建党100周年和开展党史学习教育、“四史”宣传教育和“我为群众办实事”实践活动为契机，聚焦教育高质量发展主线，推动省会教育资源优势转化为发展优势，担当作为、全力攻坚，圆满完成了年度各项任务目标，取得显著成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（二）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分项绩效目标实现情况及指标分析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分项绩效目标实现情况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（1）</w:t>
      </w:r>
      <w:r>
        <w:rPr>
          <w:rFonts w:hint="eastAsia" w:ascii="仿宋_GB2312" w:hAnsi="仿宋_GB2312" w:eastAsia="仿宋_GB2312" w:cs="仿宋_GB2312"/>
          <w:sz w:val="32"/>
          <w:szCs w:val="32"/>
        </w:rPr>
        <w:t>全面加强党对教育工作的领导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2021年，教育系统</w:t>
      </w:r>
      <w:r>
        <w:rPr>
          <w:rFonts w:hint="eastAsia" w:ascii="仿宋_GB2312" w:hAnsi="仿宋_GB2312" w:eastAsia="仿宋_GB2312" w:cs="仿宋_GB2312"/>
          <w:sz w:val="32"/>
          <w:szCs w:val="32"/>
        </w:rPr>
        <w:t>坚持和完善高校党委领导下的校长负责制，加强对中小学校党建工作的指导，教育系统党的建设得到全面加强。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构建教育系统党史学习教育“2+N”制度体系，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市直教育系统先后组织讲党课活动1100场次、宣讲报告会5323场次，开设党史主题读书班3788场，累计参与人员达45万余人次。</w:t>
      </w: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积极稳妥推进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中</w:t>
      </w: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小学校党政“一肩挑”工作，全市中小学校党政“一肩挑”比例由72.76%提升至96%。健全完善教育系统基层党组织建设“1+8”制度体系，加大力度推进民办学校党的建设，全市中小学校实现党组织和党的工作全覆盖。深入实施迎接建党100周年“百年行动”，开展庆祝中国共产党成立100周年“五个一”系列活动；创建100所“党建示范校”；创造性开展“百名书记讲百年党史”专题活动，100期党史微课在“无线石家庄”“石家庄教育发布”微信公众号展播。开展市属高校“对标争先”建设计划，创建党建工作标杆院（系）13个、党建工作样板支部33个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（2）</w:t>
      </w:r>
      <w:r>
        <w:rPr>
          <w:rFonts w:hint="eastAsia" w:ascii="仿宋_GB2312" w:hAnsi="仿宋_GB2312" w:eastAsia="仿宋_GB2312" w:cs="仿宋_GB2312"/>
          <w:sz w:val="32"/>
          <w:szCs w:val="32"/>
        </w:rPr>
        <w:t>加强德育体育工作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lang w:val="en-US" w:eastAsia="zh-CN"/>
        </w:rPr>
        <w:t>党政领导讲思政课常态化制度全面落实，张超超同志、马宇骏同志、詹晓阳同志等市领导带头深入学校为师生讲思政课，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市、县两级教育行政部门领导班子和全市各大中小学校校长、书记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lang w:val="en-US" w:eastAsia="zh-CN"/>
        </w:rPr>
        <w:t>结合党史学习教育，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累计为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lang w:val="en-US" w:eastAsia="zh-CN"/>
        </w:rPr>
        <w:t>学生讲授思政课7000余节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成立市县两级德育共同体40个。建立了中小幼思政课教师轮训制度，落实中小学班主任和思政课教师岗位津贴。组织开展全市学生宪法晨读、演讲比赛和知识竞赛系列活动，在全国第六届学生“学宪法、讲宪法”全国总决赛中，我市学生取得两个二等奖、两个三等奖的优异成绩。加强和改进学校体育工作，我市在全省中小学生运动会获团体总分第一名，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全国校园足球特色学校达到206所、全国足球特色幼儿园达到23所、北京2022年冬奥会和冬残奥会奥林匹克教育示范学校达到62所、校园冰雪运动特色学校达到29所，数量和质量位居全省前列。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创新开展劳动教育，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我市被教育部认定为全国中小学劳动教育实验区，劳动教育创新做法入选全国中小学劳动教育48个典型案例之一。结合校园疫情防控要求，深入开展爱国卫生运动，强化校医配备和疫情防控物资储备，市教育局被市委、市政府授予“创建国家卫生城市先进集体”荣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（3）</w:t>
      </w:r>
      <w:r>
        <w:rPr>
          <w:rFonts w:hint="eastAsia" w:ascii="仿宋_GB2312" w:hAnsi="仿宋_GB2312" w:eastAsia="仿宋_GB2312" w:cs="仿宋_GB2312"/>
          <w:sz w:val="32"/>
          <w:szCs w:val="32"/>
        </w:rPr>
        <w:t>扩大学前教育资源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2021年我市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坚持以人民为中心的发展理念，以系列教育惠民实事垒起人民群众教育高满意度。持续增加公益普惠学前教育供给，新建公办园22所，增加学位3565个。新创建70所市级普惠性民办幼儿园，超额完成省、市任务目标。新建49个农村幼儿附设班（农村学前教育服务点），全市农村地区学前教育实现全覆盖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（4）</w:t>
      </w:r>
      <w:r>
        <w:rPr>
          <w:rFonts w:hint="eastAsia" w:ascii="仿宋_GB2312" w:hAnsi="仿宋_GB2312" w:eastAsia="仿宋_GB2312" w:cs="仿宋_GB2312"/>
          <w:sz w:val="32"/>
          <w:szCs w:val="32"/>
        </w:rPr>
        <w:t>发展城乡义务教育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2021年我市</w:t>
      </w:r>
      <w:r>
        <w:rPr>
          <w:rFonts w:hint="eastAsia" w:ascii="仿宋_GB2312" w:hAnsi="仿宋_GB2312" w:eastAsia="仿宋_GB2312" w:cs="仿宋_GB2312"/>
          <w:sz w:val="32"/>
          <w:szCs w:val="32"/>
        </w:rPr>
        <w:t>城乡义务教育年生均公用经费（含取暖费）拨款标准达到小学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735</w:t>
      </w:r>
      <w:r>
        <w:rPr>
          <w:rFonts w:hint="eastAsia" w:ascii="仿宋_GB2312" w:hAnsi="仿宋_GB2312" w:eastAsia="仿宋_GB2312" w:cs="仿宋_GB2312"/>
          <w:sz w:val="32"/>
          <w:szCs w:val="32"/>
        </w:rPr>
        <w:t>元、初中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93</w:t>
      </w:r>
      <w:r>
        <w:rPr>
          <w:rFonts w:hint="eastAsia" w:ascii="仿宋_GB2312" w:hAnsi="仿宋_GB2312" w:eastAsia="仿宋_GB2312" w:cs="仿宋_GB2312"/>
          <w:sz w:val="32"/>
          <w:szCs w:val="32"/>
        </w:rPr>
        <w:t>5元，中央、省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、市</w:t>
      </w:r>
      <w:r>
        <w:rPr>
          <w:rFonts w:hint="eastAsia" w:ascii="仿宋_GB2312" w:hAnsi="仿宋_GB2312" w:eastAsia="仿宋_GB2312" w:cs="仿宋_GB2312"/>
          <w:sz w:val="32"/>
          <w:szCs w:val="32"/>
        </w:rPr>
        <w:t>级补助资金到位率100%，校舍安全长效机制改扩建校舍合格率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</w:rPr>
        <w:t>0%。家庭经济困难学生全部享受生活费补助。所有城乡义务教育阶段学生免费发放教科书，教师、学生对保障机制的综合满意度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达到</w:t>
      </w:r>
      <w:r>
        <w:rPr>
          <w:rFonts w:hint="eastAsia" w:ascii="仿宋_GB2312" w:hAnsi="仿宋_GB2312" w:eastAsia="仿宋_GB2312" w:cs="仿宋_GB2312"/>
          <w:sz w:val="32"/>
          <w:szCs w:val="32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%。义务教育实现基本均衡。全面推进巩固脱贫攻坚与乡村振兴有效衔接，落实控掇保学七长责任制，义务教育阶段适龄失学辍学儿童少年常态化动态清零。落实各类教育资助资金6.51亿元，受助学生312.2万人次，家庭经济困难学生实现应助尽助。全面提升课后服务质量，接受课后服务的学生累计达到75.4万人，占学生课后服务总需求人数的100%，实现全市义务教育学校、有需求的学生以及服务时间三个全覆盖，我市课后服务工作入选教育部典型案例。创新实施学生上下学交通惠民服务，会同公交公司在市区实施了小学生免费公交专线和小学生（幼儿）及护送家长免费乘坐公交车两项惠民措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（5）</w:t>
      </w:r>
      <w:r>
        <w:rPr>
          <w:rFonts w:hint="eastAsia" w:ascii="仿宋_GB2312" w:hAnsi="仿宋_GB2312" w:eastAsia="仿宋_GB2312" w:cs="仿宋_GB2312"/>
          <w:sz w:val="32"/>
          <w:szCs w:val="32"/>
        </w:rPr>
        <w:t>改善提升义务教育薄弱环节能力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2021年我市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持续推进义务教育改薄工程，对110所义务教育学校校舍进行维修改造，30所乡镇寄宿制学校扩充了住宿资源，新增义务教育学位2.3万个。推进义务教育优质均衡发展，完成了年度义务教育大班额消除任务，</w:t>
      </w:r>
      <w:r>
        <w:rPr>
          <w:rFonts w:hint="eastAsia" w:ascii="仿宋_GB2312" w:hAnsi="仿宋_GB2312" w:eastAsia="仿宋_GB2312" w:cs="仿宋_GB2312"/>
          <w:sz w:val="32"/>
          <w:szCs w:val="32"/>
        </w:rPr>
        <w:t>全部消除66人以上超大班额，基本消除现有56人以上大班额，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 xml:space="preserve">大班额占比下降至0.64%。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（6）</w:t>
      </w:r>
      <w:r>
        <w:rPr>
          <w:rFonts w:hint="eastAsia" w:ascii="仿宋_GB2312" w:hAnsi="仿宋_GB2312" w:eastAsia="仿宋_GB2312" w:cs="仿宋_GB2312"/>
          <w:sz w:val="32"/>
          <w:szCs w:val="32"/>
        </w:rPr>
        <w:t>加快普通高中教育质量提升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2021年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新创建省级示范性高中4所，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同步推进四个国家级教育示范区、实验区创建，我市普通高中新课程新教材实施国家级示范区（校）建设经验在全国交流研讨会议上作为典型推广。深入推进教育评价改革，出台《石家庄市深化新时代教育评价改革推进方案》，我市入选全省唯一教育评价改革综合性试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（7）</w:t>
      </w:r>
      <w:r>
        <w:rPr>
          <w:rFonts w:hint="eastAsia" w:ascii="仿宋_GB2312" w:hAnsi="仿宋_GB2312" w:eastAsia="仿宋_GB2312" w:cs="仿宋_GB2312"/>
          <w:sz w:val="32"/>
          <w:szCs w:val="32"/>
        </w:rPr>
        <w:t>加快发展现代职业教育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hd w:val="solid" w:color="FFFFFF" w:fill="auto"/>
        <w:kinsoku/>
        <w:wordWrap/>
        <w:overflowPunct/>
        <w:topLinePunct w:val="0"/>
        <w:autoSpaceDE/>
        <w:autoSpaceDN w:val="0"/>
        <w:bidi w:val="0"/>
        <w:adjustRightInd/>
        <w:snapToGrid/>
        <w:spacing w:line="56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职业教育服务能力加速提升，对标全市主导产业，优化专业结构调整，新增专业75个，全市20所中职学校、40个专业实现“3+2”“3+4”中高职衔接。扎实推进中等职业学校标准化建设，深入实施提质培优行动，全市26所中职学校承接任务36项、项目380个。产教融合、校企合作深入推进，与全市中职学校开展合作的企业达到1000余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（8）</w:t>
      </w:r>
      <w:r>
        <w:rPr>
          <w:rFonts w:hint="eastAsia" w:ascii="仿宋_GB2312" w:hAnsi="仿宋_GB2312" w:eastAsia="仿宋_GB2312" w:cs="仿宋_GB2312"/>
          <w:sz w:val="32"/>
          <w:szCs w:val="32"/>
        </w:rPr>
        <w:t>加大高校贫困学生资助力度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2020年资助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高校建档立卡</w:t>
      </w:r>
      <w:r>
        <w:rPr>
          <w:rFonts w:hint="eastAsia" w:ascii="仿宋_GB2312" w:hAnsi="仿宋_GB2312" w:eastAsia="仿宋_GB2312" w:cs="仿宋_GB2312"/>
          <w:sz w:val="32"/>
          <w:szCs w:val="32"/>
        </w:rPr>
        <w:t>学生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1940</w:t>
      </w:r>
      <w:r>
        <w:rPr>
          <w:rFonts w:hint="eastAsia" w:ascii="仿宋_GB2312" w:hAnsi="仿宋_GB2312" w:eastAsia="仿宋_GB2312" w:cs="仿宋_GB2312"/>
          <w:sz w:val="32"/>
          <w:szCs w:val="32"/>
        </w:rPr>
        <w:t>人，本专科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在校生</w:t>
      </w:r>
      <w:r>
        <w:rPr>
          <w:rFonts w:hint="eastAsia" w:ascii="仿宋_GB2312" w:hAnsi="仿宋_GB2312" w:eastAsia="仿宋_GB2312" w:cs="仿宋_GB2312"/>
          <w:sz w:val="32"/>
          <w:szCs w:val="32"/>
        </w:rPr>
        <w:t>生国家助学金资助面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达到</w:t>
      </w:r>
      <w:r>
        <w:rPr>
          <w:rFonts w:hint="eastAsia" w:ascii="仿宋_GB2312" w:hAnsi="仿宋_GB2312" w:eastAsia="仿宋_GB2312" w:cs="仿宋_GB2312"/>
          <w:sz w:val="32"/>
          <w:szCs w:val="32"/>
        </w:rPr>
        <w:t>20%，学生、家长抽样调查满意度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达到</w:t>
      </w:r>
      <w:r>
        <w:rPr>
          <w:rFonts w:hint="eastAsia" w:ascii="仿宋_GB2312" w:hAnsi="仿宋_GB2312" w:eastAsia="仿宋_GB2312" w:cs="仿宋_GB2312"/>
          <w:sz w:val="32"/>
          <w:szCs w:val="32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sz w:val="32"/>
          <w:szCs w:val="32"/>
        </w:rPr>
        <w:t>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（9）</w:t>
      </w:r>
      <w:r>
        <w:rPr>
          <w:rFonts w:hint="eastAsia" w:ascii="仿宋_GB2312" w:hAnsi="仿宋_GB2312" w:eastAsia="仿宋_GB2312" w:cs="仿宋_GB2312"/>
          <w:sz w:val="32"/>
          <w:szCs w:val="32"/>
        </w:rPr>
        <w:t>加强教师队伍建设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优化教师队伍结构，全面推进义务教育教师“县管校聘”改革。加大教师补充力度，通过公招事业编教师、公费师范生选聘、“英才入石”选聘等方式，补充各级各类教师4400余人。创新农村教师补充渠道，依托石家庄学院招收培养小学全科教师87名，为无极县增加了市级特岗计划，全年招收特岗教师755人。提升教师专业能力，市级全年培训教师2.3万人次，选树知名校长11名，6名校长成为全省首批名校长工作室主持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rightChars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2.指标分析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通过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对分项目标指标完成情况进行评价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可以看到我局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年初绩效目标设定质量整体较好，具体体现在以下三个方面：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绩效目标设定指向明确，能够清晰准确反映预算资金的预期产出和效果，并以相应的绩效指标从数量、质量、成本、时效等方面予以细化、量化。绩效目标的设定符合其职能要求，与预算确定的资金量相匹配，紧紧围绕全市工作大局，不断提升规范管理水平，全面提升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财政工作运行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效能。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绩效指标以绩效目标为核心，紧紧与绩效目标相联系，优先使用最具绩效管理对象代表性、最能反映绩效管理要求的核心指标，系统地反映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了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预算支出所产生的社会效益、经济效益、生态效益和可持续影响等。绩效指标设定总体上全面完整、科学合理，易于评价，能够反映被评价项目的实际情况。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绩效标准合理可行，项目经过调查研究和科学论证，符合客观实际，能够在一定期限内如期实现，且与计划期内的任务数或计划数相对应，与预算确定的投资额或资金量相匹配。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评价结论和评价等级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详见各单位绩效自评表。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五、存在的问题及改进措施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（一）存在的主要问题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因疫情影响，有的项目开展及时性受限。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针对问题提出具体的改进措施或建议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right="0" w:rightChars="0" w:firstLine="640" w:firstLineChars="200"/>
        <w:textAlignment w:val="auto"/>
        <w:outlineLvl w:val="9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按程序及时调整预算，优化支出结构，提高资金使用效益，加快资金支出。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</w:p>
    <w:p>
      <w:pPr>
        <w:pStyle w:val="3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                           石家庄市教育局</w:t>
      </w:r>
    </w:p>
    <w:p>
      <w:pPr>
        <w:pStyle w:val="3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textAlignment w:val="auto"/>
        <w:rPr>
          <w:rFonts w:hint="default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                          2022年3月31日</w:t>
      </w: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00007A87" w:usb1="80000000" w:usb2="00000008" w:usb3="00000000" w:csb0="400001FF" w:csb1="FFFF0000"/>
  </w:font>
  <w:font w:name="宋体">
    <w:panose1 w:val="02010600030101010101"/>
    <w:charset w:val="7A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Lucida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Cambria">
    <w:altName w:val="Palatino Linotype"/>
    <w:panose1 w:val="02040503050406030204"/>
    <w:charset w:val="00"/>
    <w:family w:val="roman"/>
    <w:pitch w:val="default"/>
    <w:sig w:usb0="00000000" w:usb1="00000000" w:usb2="00000000" w:usb3="00000000" w:csb0="2000019F" w:csb1="00000000"/>
  </w:font>
  <w:font w:name="方正小标宋_GBK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altName w:val="宋体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Lucida Sans">
    <w:panose1 w:val="020B0602030504020204"/>
    <w:charset w:val="00"/>
    <w:family w:val="auto"/>
    <w:pitch w:val="default"/>
    <w:sig w:usb0="00000000" w:usb1="00000000" w:usb2="00000000" w:usb3="00000000" w:csb0="00000000" w:csb1="00000000"/>
  </w:font>
  <w:font w:name="Palatino Linotype">
    <w:panose1 w:val="02040502050505030304"/>
    <w:charset w:val="00"/>
    <w:family w:val="auto"/>
    <w:pitch w:val="default"/>
    <w:sig w:usb0="E0000387" w:usb1="40000013" w:usb2="00000000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w:rPr>
        <w:rFonts w:ascii="Calibri" w:hAnsi="Calibri" w:eastAsia="宋体" w:cs="黑体"/>
        <w:kern w:val="2"/>
        <w:sz w:val="18"/>
        <w:szCs w:val="22"/>
        <w:lang w:val="en-US" w:eastAsia="zh-CN" w:bidi="ar-SA"/>
      </w:rP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color="#FFFFFF" filled="f" o:preferrelative="t" stroked="f" coordsize="21600,21600">
          <v:path/>
          <v:fill on="f" color2="#FFFFFF" focussize="0,0"/>
          <v:stroke on="f"/>
          <v:imagedata gain="65536f" blacklevel="0f" gamma="0" o:title=""/>
          <o:lock v:ext="edit" position="f" selection="f" grouping="f" rotation="f" cropping="f" text="f" aspectratio="f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leftChars="0" w:firstLine="0" w:firstLineChars="0"/>
      </w:pPr>
      <w:rPr>
        <w:rFonts w:hint="eastAsia"/>
      </w:rPr>
    </w:lvl>
  </w:abstractNum>
  <w:abstractNum w:abstractNumId="1">
    <w:nsid w:val="3CB672C4"/>
    <w:multiLevelType w:val="singleLevel"/>
    <w:tmpl w:val="3CB672C4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5E23BD30"/>
    <w:multiLevelType w:val="singleLevel"/>
    <w:tmpl w:val="5E23BD30"/>
    <w:lvl w:ilvl="0" w:tentative="0">
      <w:start w:val="2"/>
      <w:numFmt w:val="decimal"/>
      <w:suff w:val="nothing"/>
      <w:lvlText w:val="%1．"/>
      <w:lvlJc w:val="left"/>
    </w:lvl>
  </w:abstractNum>
  <w:abstractNum w:abstractNumId="3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EBD2122"/>
    <w:rsid w:val="001E5109"/>
    <w:rsid w:val="007E6C1F"/>
    <w:rsid w:val="00AF566A"/>
    <w:rsid w:val="00B6553A"/>
    <w:rsid w:val="01B104CA"/>
    <w:rsid w:val="02106AB0"/>
    <w:rsid w:val="02B43A28"/>
    <w:rsid w:val="046F331E"/>
    <w:rsid w:val="07956271"/>
    <w:rsid w:val="07CB5853"/>
    <w:rsid w:val="08924F75"/>
    <w:rsid w:val="09583C0D"/>
    <w:rsid w:val="09721397"/>
    <w:rsid w:val="09F4494B"/>
    <w:rsid w:val="0BB63BED"/>
    <w:rsid w:val="0EB97A43"/>
    <w:rsid w:val="0EBD2122"/>
    <w:rsid w:val="0F214EAE"/>
    <w:rsid w:val="11B71E6A"/>
    <w:rsid w:val="136274C8"/>
    <w:rsid w:val="1AAF0063"/>
    <w:rsid w:val="1BE140DE"/>
    <w:rsid w:val="1E313C29"/>
    <w:rsid w:val="248C197D"/>
    <w:rsid w:val="252959AF"/>
    <w:rsid w:val="277A6671"/>
    <w:rsid w:val="292D35B7"/>
    <w:rsid w:val="33EB6CFF"/>
    <w:rsid w:val="35A12947"/>
    <w:rsid w:val="37387040"/>
    <w:rsid w:val="3B625C0A"/>
    <w:rsid w:val="3CEE1963"/>
    <w:rsid w:val="4C9C27FE"/>
    <w:rsid w:val="512260B4"/>
    <w:rsid w:val="526449FF"/>
    <w:rsid w:val="52BD6ACB"/>
    <w:rsid w:val="55537534"/>
    <w:rsid w:val="561A74F1"/>
    <w:rsid w:val="597244E8"/>
    <w:rsid w:val="5EB71C30"/>
    <w:rsid w:val="654039D8"/>
    <w:rsid w:val="65E309B9"/>
    <w:rsid w:val="66AF0CE5"/>
    <w:rsid w:val="6AC537CF"/>
    <w:rsid w:val="6C1C33B8"/>
    <w:rsid w:val="6E5B14A6"/>
    <w:rsid w:val="711B255E"/>
    <w:rsid w:val="7BB51E06"/>
    <w:rsid w:val="7C387F7C"/>
    <w:rsid w:val="7FE8342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99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before="260" w:after="260" w:line="416" w:lineRule="auto"/>
      <w:outlineLvl w:val="1"/>
    </w:pPr>
    <w:rPr>
      <w:rFonts w:ascii="Cambria" w:hAnsi="Cambria" w:eastAsia="宋体" w:cs="Times New Roman"/>
      <w:b/>
      <w:bCs/>
      <w:sz w:val="32"/>
      <w:szCs w:val="32"/>
    </w:rPr>
  </w:style>
  <w:style w:type="character" w:default="1" w:styleId="10">
    <w:name w:val="Default Paragraph Font"/>
    <w:unhideWhenUsed/>
    <w:qFormat/>
    <w:uiPriority w:val="1"/>
  </w:style>
  <w:style w:type="table" w:default="1" w:styleId="8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Arial" w:hAnsi="Arial" w:cs="Arial"/>
      <w:b/>
      <w:bCs/>
      <w:sz w:val="32"/>
      <w:szCs w:val="32"/>
    </w:rPr>
  </w:style>
  <w:style w:type="paragraph" w:styleId="4">
    <w:name w:val="Normal Indent"/>
    <w:basedOn w:val="1"/>
    <w:next w:val="5"/>
    <w:unhideWhenUsed/>
    <w:qFormat/>
    <w:uiPriority w:val="0"/>
    <w:pPr>
      <w:ind w:firstLine="420" w:firstLineChars="200"/>
    </w:pPr>
  </w:style>
  <w:style w:type="paragraph" w:styleId="5">
    <w:name w:val="Plain Text"/>
    <w:basedOn w:val="1"/>
    <w:qFormat/>
    <w:uiPriority w:val="99"/>
    <w:rPr>
      <w:rFonts w:ascii="宋体" w:hAnsi="Courier New" w:eastAsia="宋体" w:cs="Times New Roman"/>
      <w:szCs w:val="22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1">
    <w:name w:val="列出段落1"/>
    <w:basedOn w:val="1"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160</Words>
  <Characters>916</Characters>
  <Lines>7</Lines>
  <Paragraphs>2</Paragraphs>
  <TotalTime>4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zsl</cp:lastModifiedBy>
  <cp:lastPrinted>2022-03-31T08:37:00Z</cp:lastPrinted>
  <dcterms:modified xsi:type="dcterms:W3CDTF">2022-03-31T09:20:43Z</dcterms:modified>
  <dc:title>附件3：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