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石家庄市卫生健康委员会</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2021年度整体支出绩效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lang w:eastAsia="zh-CN"/>
        </w:rPr>
        <w:t>为</w:t>
      </w:r>
      <w:r>
        <w:rPr>
          <w:rFonts w:hint="eastAsia" w:ascii="仿宋" w:hAnsi="仿宋" w:eastAsia="仿宋"/>
          <w:sz w:val="32"/>
          <w:szCs w:val="32"/>
        </w:rPr>
        <w:t>贯彻落实</w:t>
      </w:r>
      <w:r>
        <w:rPr>
          <w:rFonts w:hint="eastAsia" w:ascii="仿宋" w:hAnsi="仿宋" w:eastAsia="仿宋"/>
          <w:sz w:val="32"/>
          <w:szCs w:val="32"/>
          <w:lang w:eastAsia="zh-CN"/>
        </w:rPr>
        <w:t>市委市政府《关于全面落实预算绩效管理的实施意见》（石发﹝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市卫健委部门</w:t>
      </w:r>
      <w:r>
        <w:rPr>
          <w:rFonts w:hint="eastAsia" w:ascii="仿宋" w:hAnsi="仿宋" w:eastAsia="仿宋"/>
          <w:sz w:val="32"/>
          <w:szCs w:val="32"/>
          <w:lang w:val="en-US" w:eastAsia="zh-CN"/>
        </w:rPr>
        <w:t>2021年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widowControl w:val="0"/>
        <w:wordWrap/>
        <w:adjustRightInd w:val="0"/>
        <w:snapToGrid w:val="0"/>
        <w:spacing w:line="560" w:lineRule="exact"/>
        <w:ind w:left="0" w:leftChars="0" w:right="0" w:firstLine="640" w:firstLineChars="200"/>
        <w:textAlignment w:val="auto"/>
        <w:outlineLvl w:val="9"/>
        <w:rPr>
          <w:rFonts w:hint="eastAsia" w:ascii="楷体" w:hAnsi="楷体" w:eastAsia="楷体" w:cs="楷体"/>
          <w:sz w:val="32"/>
          <w:szCs w:val="32"/>
          <w:lang w:eastAsia="zh-CN"/>
        </w:rPr>
      </w:pPr>
      <w:r>
        <w:rPr>
          <w:rFonts w:hint="eastAsia" w:ascii="楷体" w:hAnsi="楷体" w:eastAsia="楷体" w:cs="楷体"/>
          <w:sz w:val="32"/>
          <w:szCs w:val="32"/>
          <w:lang w:val="en-US" w:eastAsia="zh-CN"/>
        </w:rPr>
        <w:t>1.</w:t>
      </w:r>
      <w:r>
        <w:rPr>
          <w:rFonts w:hint="eastAsia" w:ascii="楷体" w:hAnsi="楷体" w:eastAsia="楷体" w:cs="楷体"/>
          <w:sz w:val="32"/>
          <w:szCs w:val="32"/>
          <w:lang w:eastAsia="zh-CN"/>
        </w:rPr>
        <w:t>部门职能职责</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根据《石家庄市卫生健康委员会职能配置、内设机构和人员编制规定》，石家庄市卫生健康委员会的主要职责是：</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一、负责起草卫生健康、中医药事业发展地方性法规、政府规章草案，拟定全市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二、协调推进全市深化医药卫生体制改革，研究提出全市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三、制定并组织落实疾病预防控制规划、国家免疫规划以及危害人民健康的公共卫生问题的干预措施。负责卫生应急工作，组织指导突发公共卫生事件的预防控制和各类突发公共事件的医疗卫生救援。</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四、组织拟定并协调落实应对人口老龄化政策措施，负责推进老年健康服务体系建设和医养结合工作。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五、组织实施国家基本药物政策和国家基本药物制度，开展药品使用监测、临床综合评价和短缺药品预警，提出全市基本药物价格政策的建议，参与拟订药品地方性法规、政府规章草案。配合省卫生健康委做好食品安全风险监测和食品安全地方标准跟踪评价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六、负责职责范围内的职业卫生、放射卫生、环境卫生、学校卫生、公共场所卫生、饮用水卫生等公共卫生的监督管理，负责传染病防治监督，健全卫生健康综合监督体系。牵头《烟草控制框架公约》履约工作。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七、监督医疗机构、医疗服务行业管理办法的组织实施，建立医疗服务评价和监督管理体系。会同市有关部门实施卫生健康专业技术人员资格标准。负责医疗服务规范、标准和卫生健康专业技术人员执业规则、服务规范的组织实施。</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八、负责计划生育管理和服务工作，开展人口监测预警，研究提出人口与家庭发展相关政策建议，落实计划生育政策。</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九、负责全市卫生健康工作，负责基层医疗卫生、妇幼健康服务体系和全科医生队伍建设。推进卫生健康科技创新发展。</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十、拟订中医药中长期发展规划，并纳入卫生健康事业发展总体规划和战略目标。</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十一、负责市保健对象的医疗保健工作，负责市直部门有关干部医疗管理工作，负责重要会议与重大活动的医疗卫生保障工作。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十二、承办市委、市政府交办的其他事项。</w:t>
      </w:r>
    </w:p>
    <w:p>
      <w:pPr>
        <w:widowControl w:val="0"/>
        <w:wordWrap/>
        <w:adjustRightInd w:val="0"/>
        <w:snapToGrid w:val="0"/>
        <w:spacing w:line="560" w:lineRule="exact"/>
        <w:ind w:left="0" w:leftChars="0" w:right="0" w:firstLine="640" w:firstLineChars="200"/>
        <w:textAlignment w:val="auto"/>
        <w:outlineLvl w:val="9"/>
        <w:rPr>
          <w:rFonts w:hint="eastAsia" w:ascii="楷体" w:hAnsi="楷体" w:eastAsia="楷体" w:cs="楷体"/>
          <w:sz w:val="32"/>
          <w:szCs w:val="32"/>
          <w:lang w:eastAsia="zh-CN"/>
        </w:rPr>
      </w:pPr>
      <w:r>
        <w:rPr>
          <w:rFonts w:hint="eastAsia" w:ascii="楷体" w:hAnsi="楷体" w:eastAsia="楷体" w:cs="楷体"/>
          <w:sz w:val="32"/>
          <w:szCs w:val="32"/>
          <w:lang w:val="en-US" w:eastAsia="zh-CN"/>
        </w:rPr>
        <w:t>2.</w:t>
      </w:r>
      <w:r>
        <w:rPr>
          <w:rFonts w:hint="eastAsia" w:ascii="楷体" w:hAnsi="楷体" w:eastAsia="楷体" w:cs="楷体"/>
          <w:sz w:val="32"/>
          <w:szCs w:val="32"/>
          <w:lang w:eastAsia="zh-CN"/>
        </w:rPr>
        <w:t>内设机构设置</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cs="仿宋"/>
          <w:sz w:val="32"/>
          <w:szCs w:val="32"/>
          <w:lang w:eastAsia="zh-CN"/>
        </w:rPr>
        <w:t>市卫健委</w:t>
      </w:r>
      <w:r>
        <w:rPr>
          <w:rFonts w:hint="eastAsia" w:ascii="仿宋" w:hAnsi="仿宋" w:eastAsia="仿宋" w:cs="仿宋"/>
          <w:sz w:val="32"/>
          <w:szCs w:val="32"/>
        </w:rPr>
        <w:t>机关内设</w:t>
      </w:r>
      <w:r>
        <w:rPr>
          <w:rFonts w:hint="eastAsia" w:ascii="仿宋" w:hAnsi="仿宋" w:eastAsia="仿宋" w:cs="仿宋"/>
          <w:sz w:val="32"/>
          <w:szCs w:val="32"/>
          <w:lang w:val="en-US" w:eastAsia="zh-CN"/>
        </w:rPr>
        <w:t>20</w:t>
      </w:r>
      <w:r>
        <w:rPr>
          <w:rFonts w:hint="eastAsia" w:ascii="仿宋" w:hAnsi="仿宋" w:eastAsia="仿宋" w:cs="仿宋"/>
          <w:sz w:val="32"/>
          <w:szCs w:val="32"/>
        </w:rPr>
        <w:t>个职能</w:t>
      </w:r>
      <w:r>
        <w:rPr>
          <w:rFonts w:hint="eastAsia" w:ascii="仿宋" w:hAnsi="仿宋" w:eastAsia="仿宋" w:cs="仿宋"/>
          <w:sz w:val="32"/>
          <w:szCs w:val="32"/>
          <w:lang w:eastAsia="zh-CN"/>
        </w:rPr>
        <w:t>科</w:t>
      </w:r>
      <w:r>
        <w:rPr>
          <w:rFonts w:hint="eastAsia" w:ascii="仿宋" w:hAnsi="仿宋" w:eastAsia="仿宋" w:cs="仿宋"/>
          <w:sz w:val="32"/>
          <w:szCs w:val="32"/>
        </w:rPr>
        <w:t>：</w:t>
      </w:r>
      <w:r>
        <w:rPr>
          <w:rFonts w:hint="default" w:ascii="仿宋" w:hAnsi="仿宋" w:eastAsia="仿宋"/>
          <w:sz w:val="32"/>
          <w:szCs w:val="32"/>
          <w:lang w:eastAsia="zh-CN"/>
        </w:rPr>
        <w:t>办公室</w:t>
      </w:r>
      <w:r>
        <w:rPr>
          <w:rFonts w:hint="eastAsia" w:ascii="仿宋" w:hAnsi="仿宋" w:eastAsia="仿宋"/>
          <w:sz w:val="32"/>
          <w:szCs w:val="32"/>
          <w:lang w:eastAsia="zh-CN"/>
        </w:rPr>
        <w:t>、</w:t>
      </w:r>
      <w:r>
        <w:rPr>
          <w:rFonts w:hint="default" w:ascii="仿宋" w:hAnsi="仿宋" w:eastAsia="仿宋"/>
          <w:sz w:val="32"/>
          <w:szCs w:val="32"/>
          <w:lang w:eastAsia="zh-CN"/>
        </w:rPr>
        <w:t>人事科</w:t>
      </w:r>
      <w:r>
        <w:rPr>
          <w:rFonts w:hint="eastAsia" w:ascii="仿宋" w:hAnsi="仿宋" w:eastAsia="仿宋"/>
          <w:sz w:val="32"/>
          <w:szCs w:val="32"/>
          <w:lang w:eastAsia="zh-CN"/>
        </w:rPr>
        <w:t>、</w:t>
      </w:r>
      <w:r>
        <w:rPr>
          <w:rFonts w:hint="default" w:ascii="仿宋" w:hAnsi="仿宋" w:eastAsia="仿宋"/>
          <w:sz w:val="32"/>
          <w:szCs w:val="32"/>
          <w:lang w:eastAsia="zh-CN"/>
        </w:rPr>
        <w:t>规划发展与信息化科</w:t>
      </w:r>
      <w:r>
        <w:rPr>
          <w:rFonts w:hint="eastAsia" w:ascii="仿宋" w:hAnsi="仿宋" w:eastAsia="仿宋"/>
          <w:sz w:val="32"/>
          <w:szCs w:val="32"/>
          <w:lang w:eastAsia="zh-CN"/>
        </w:rPr>
        <w:t>、</w:t>
      </w:r>
      <w:r>
        <w:rPr>
          <w:rFonts w:hint="default" w:ascii="仿宋" w:hAnsi="仿宋" w:eastAsia="仿宋"/>
          <w:sz w:val="32"/>
          <w:szCs w:val="32"/>
          <w:lang w:eastAsia="zh-CN"/>
        </w:rPr>
        <w:t>财务科</w:t>
      </w:r>
      <w:r>
        <w:rPr>
          <w:rFonts w:hint="eastAsia" w:ascii="仿宋" w:hAnsi="仿宋" w:eastAsia="仿宋"/>
          <w:sz w:val="32"/>
          <w:szCs w:val="32"/>
          <w:lang w:eastAsia="zh-CN"/>
        </w:rPr>
        <w:t>、</w:t>
      </w:r>
      <w:r>
        <w:rPr>
          <w:rFonts w:hint="default" w:ascii="仿宋" w:hAnsi="仿宋" w:eastAsia="仿宋"/>
          <w:sz w:val="32"/>
          <w:szCs w:val="32"/>
          <w:lang w:eastAsia="zh-CN"/>
        </w:rPr>
        <w:t>法制监督科</w:t>
      </w:r>
      <w:r>
        <w:rPr>
          <w:rFonts w:hint="eastAsia" w:ascii="仿宋" w:hAnsi="仿宋" w:eastAsia="仿宋"/>
          <w:sz w:val="32"/>
          <w:szCs w:val="32"/>
          <w:lang w:eastAsia="zh-CN"/>
        </w:rPr>
        <w:t>、</w:t>
      </w:r>
      <w:r>
        <w:rPr>
          <w:rFonts w:hint="default" w:ascii="仿宋" w:hAnsi="仿宋" w:eastAsia="仿宋"/>
          <w:sz w:val="32"/>
          <w:szCs w:val="32"/>
          <w:lang w:eastAsia="zh-CN"/>
        </w:rPr>
        <w:t>医药卫生体制改革科</w:t>
      </w:r>
      <w:r>
        <w:rPr>
          <w:rFonts w:hint="eastAsia" w:ascii="仿宋" w:hAnsi="仿宋" w:eastAsia="仿宋"/>
          <w:sz w:val="32"/>
          <w:szCs w:val="32"/>
          <w:lang w:eastAsia="zh-CN"/>
        </w:rPr>
        <w:t>、</w:t>
      </w:r>
      <w:r>
        <w:rPr>
          <w:rFonts w:hint="default" w:ascii="仿宋" w:hAnsi="仿宋" w:eastAsia="仿宋"/>
          <w:sz w:val="32"/>
          <w:szCs w:val="32"/>
          <w:lang w:eastAsia="zh-CN"/>
        </w:rPr>
        <w:t>疾病预防控制科</w:t>
      </w:r>
      <w:r>
        <w:rPr>
          <w:rFonts w:hint="eastAsia" w:ascii="仿宋" w:hAnsi="仿宋" w:eastAsia="仿宋"/>
          <w:sz w:val="32"/>
          <w:szCs w:val="32"/>
          <w:lang w:eastAsia="zh-CN"/>
        </w:rPr>
        <w:t>、</w:t>
      </w:r>
      <w:r>
        <w:rPr>
          <w:rFonts w:hint="default" w:ascii="仿宋" w:hAnsi="仿宋" w:eastAsia="仿宋"/>
          <w:sz w:val="32"/>
          <w:szCs w:val="32"/>
          <w:lang w:eastAsia="zh-CN"/>
        </w:rPr>
        <w:t>医政药政科</w:t>
      </w:r>
      <w:r>
        <w:rPr>
          <w:rFonts w:hint="eastAsia" w:ascii="仿宋" w:hAnsi="仿宋" w:eastAsia="仿宋"/>
          <w:sz w:val="32"/>
          <w:szCs w:val="32"/>
          <w:lang w:eastAsia="zh-CN"/>
        </w:rPr>
        <w:t>、</w:t>
      </w:r>
      <w:r>
        <w:rPr>
          <w:rFonts w:hint="default" w:ascii="仿宋" w:hAnsi="仿宋" w:eastAsia="仿宋"/>
          <w:sz w:val="32"/>
          <w:szCs w:val="32"/>
          <w:lang w:eastAsia="zh-CN"/>
        </w:rPr>
        <w:t>中医科（市中医药管理局）</w:t>
      </w:r>
      <w:r>
        <w:rPr>
          <w:rFonts w:hint="eastAsia" w:ascii="仿宋" w:hAnsi="仿宋" w:eastAsia="仿宋"/>
          <w:sz w:val="32"/>
          <w:szCs w:val="32"/>
          <w:lang w:eastAsia="zh-CN"/>
        </w:rPr>
        <w:t>、</w:t>
      </w:r>
      <w:r>
        <w:rPr>
          <w:rFonts w:hint="default" w:ascii="仿宋" w:hAnsi="仿宋" w:eastAsia="仿宋"/>
          <w:sz w:val="32"/>
          <w:szCs w:val="32"/>
          <w:lang w:eastAsia="zh-CN"/>
        </w:rPr>
        <w:t>基层卫生健康科</w:t>
      </w:r>
      <w:r>
        <w:rPr>
          <w:rFonts w:hint="eastAsia" w:ascii="仿宋" w:hAnsi="仿宋" w:eastAsia="仿宋"/>
          <w:sz w:val="32"/>
          <w:szCs w:val="32"/>
          <w:lang w:eastAsia="zh-CN"/>
        </w:rPr>
        <w:t>、</w:t>
      </w:r>
      <w:r>
        <w:rPr>
          <w:rFonts w:hint="default" w:ascii="仿宋" w:hAnsi="仿宋" w:eastAsia="仿宋"/>
          <w:sz w:val="32"/>
          <w:szCs w:val="32"/>
          <w:lang w:eastAsia="zh-CN"/>
        </w:rPr>
        <w:t>卫生应急科（突发公共卫生事件应急指挥中心）</w:t>
      </w:r>
      <w:r>
        <w:rPr>
          <w:rFonts w:hint="eastAsia" w:ascii="仿宋" w:hAnsi="仿宋" w:eastAsia="仿宋"/>
          <w:sz w:val="32"/>
          <w:szCs w:val="32"/>
          <w:lang w:eastAsia="zh-CN"/>
        </w:rPr>
        <w:t>、</w:t>
      </w:r>
      <w:r>
        <w:rPr>
          <w:rFonts w:hint="default" w:ascii="仿宋" w:hAnsi="仿宋" w:eastAsia="仿宋"/>
          <w:sz w:val="32"/>
          <w:szCs w:val="32"/>
          <w:lang w:eastAsia="zh-CN"/>
        </w:rPr>
        <w:t>科技教育与国际合作科</w:t>
      </w:r>
      <w:r>
        <w:rPr>
          <w:rFonts w:hint="eastAsia" w:ascii="仿宋" w:hAnsi="仿宋" w:eastAsia="仿宋"/>
          <w:sz w:val="32"/>
          <w:szCs w:val="32"/>
          <w:lang w:eastAsia="zh-CN"/>
        </w:rPr>
        <w:t>、</w:t>
      </w:r>
      <w:r>
        <w:rPr>
          <w:rFonts w:hint="default" w:ascii="仿宋" w:hAnsi="仿宋" w:eastAsia="仿宋"/>
          <w:sz w:val="32"/>
          <w:szCs w:val="32"/>
          <w:lang w:eastAsia="zh-CN"/>
        </w:rPr>
        <w:t>妇幼健康科</w:t>
      </w:r>
      <w:r>
        <w:rPr>
          <w:rFonts w:hint="eastAsia" w:ascii="仿宋" w:hAnsi="仿宋" w:eastAsia="仿宋"/>
          <w:sz w:val="32"/>
          <w:szCs w:val="32"/>
          <w:lang w:eastAsia="zh-CN"/>
        </w:rPr>
        <w:t>、</w:t>
      </w:r>
      <w:r>
        <w:rPr>
          <w:rFonts w:hint="default" w:ascii="仿宋" w:hAnsi="仿宋" w:eastAsia="仿宋"/>
          <w:sz w:val="32"/>
          <w:szCs w:val="32"/>
          <w:lang w:eastAsia="zh-CN"/>
        </w:rPr>
        <w:t>职业健康科</w:t>
      </w:r>
      <w:r>
        <w:rPr>
          <w:rFonts w:hint="eastAsia" w:ascii="仿宋" w:hAnsi="仿宋" w:eastAsia="仿宋"/>
          <w:sz w:val="32"/>
          <w:szCs w:val="32"/>
          <w:lang w:eastAsia="zh-CN"/>
        </w:rPr>
        <w:t>、</w:t>
      </w:r>
      <w:r>
        <w:rPr>
          <w:rFonts w:hint="default" w:ascii="仿宋" w:hAnsi="仿宋" w:eastAsia="仿宋"/>
          <w:sz w:val="32"/>
          <w:szCs w:val="32"/>
          <w:lang w:eastAsia="zh-CN"/>
        </w:rPr>
        <w:t>人口监测与家庭发展科</w:t>
      </w:r>
      <w:r>
        <w:rPr>
          <w:rFonts w:hint="eastAsia" w:ascii="仿宋" w:hAnsi="仿宋" w:eastAsia="仿宋"/>
          <w:sz w:val="32"/>
          <w:szCs w:val="32"/>
          <w:lang w:eastAsia="zh-CN"/>
        </w:rPr>
        <w:t>、</w:t>
      </w:r>
      <w:r>
        <w:rPr>
          <w:rFonts w:hint="default" w:ascii="仿宋" w:hAnsi="仿宋" w:eastAsia="仿宋"/>
          <w:sz w:val="32"/>
          <w:szCs w:val="32"/>
          <w:lang w:eastAsia="zh-CN"/>
        </w:rPr>
        <w:t>宣传科</w:t>
      </w:r>
      <w:r>
        <w:rPr>
          <w:rFonts w:hint="eastAsia" w:ascii="仿宋" w:hAnsi="仿宋" w:eastAsia="仿宋"/>
          <w:sz w:val="32"/>
          <w:szCs w:val="32"/>
          <w:lang w:eastAsia="zh-CN"/>
        </w:rPr>
        <w:t>、</w:t>
      </w:r>
      <w:r>
        <w:rPr>
          <w:rFonts w:hint="default" w:ascii="仿宋" w:hAnsi="仿宋" w:eastAsia="仿宋"/>
          <w:sz w:val="32"/>
          <w:szCs w:val="32"/>
          <w:lang w:eastAsia="zh-CN"/>
        </w:rPr>
        <w:t>爱卫科（健康石家庄指导科）</w:t>
      </w:r>
      <w:r>
        <w:rPr>
          <w:rFonts w:hint="eastAsia" w:ascii="仿宋" w:hAnsi="仿宋" w:eastAsia="仿宋"/>
          <w:sz w:val="32"/>
          <w:szCs w:val="32"/>
          <w:lang w:eastAsia="zh-CN"/>
        </w:rPr>
        <w:t>、</w:t>
      </w:r>
      <w:r>
        <w:rPr>
          <w:rFonts w:hint="default" w:ascii="仿宋" w:hAnsi="仿宋" w:eastAsia="仿宋"/>
          <w:sz w:val="32"/>
          <w:szCs w:val="32"/>
          <w:lang w:eastAsia="zh-CN"/>
        </w:rPr>
        <w:t>卫生城市创建科</w:t>
      </w:r>
      <w:r>
        <w:rPr>
          <w:rFonts w:hint="eastAsia" w:ascii="仿宋" w:hAnsi="仿宋" w:eastAsia="仿宋"/>
          <w:sz w:val="32"/>
          <w:szCs w:val="32"/>
          <w:lang w:eastAsia="zh-CN"/>
        </w:rPr>
        <w:t>、</w:t>
      </w:r>
      <w:r>
        <w:rPr>
          <w:rFonts w:hint="default" w:ascii="仿宋" w:hAnsi="仿宋" w:eastAsia="仿宋"/>
          <w:sz w:val="32"/>
          <w:szCs w:val="32"/>
          <w:lang w:eastAsia="zh-CN"/>
        </w:rPr>
        <w:t>干部保健科</w:t>
      </w:r>
      <w:r>
        <w:rPr>
          <w:rFonts w:hint="eastAsia" w:ascii="仿宋" w:hAnsi="仿宋" w:eastAsia="仿宋"/>
          <w:sz w:val="32"/>
          <w:szCs w:val="32"/>
          <w:lang w:eastAsia="zh-CN"/>
        </w:rPr>
        <w:t>、</w:t>
      </w:r>
      <w:r>
        <w:rPr>
          <w:rFonts w:hint="default" w:ascii="仿宋" w:hAnsi="仿宋" w:eastAsia="仿宋"/>
          <w:sz w:val="32"/>
          <w:szCs w:val="32"/>
          <w:lang w:eastAsia="zh-CN"/>
        </w:rPr>
        <w:t>安全生产监督管理科</w:t>
      </w:r>
      <w:r>
        <w:rPr>
          <w:rFonts w:hint="eastAsia" w:ascii="仿宋" w:hAnsi="仿宋" w:eastAsia="仿宋"/>
          <w:sz w:val="32"/>
          <w:szCs w:val="32"/>
        </w:rPr>
        <w:t>。</w:t>
      </w:r>
      <w:r>
        <w:rPr>
          <w:rFonts w:hint="eastAsia" w:ascii="仿宋" w:hAnsi="仿宋" w:eastAsia="仿宋" w:cs="仿宋"/>
          <w:sz w:val="32"/>
          <w:szCs w:val="32"/>
          <w:lang w:eastAsia="zh-CN"/>
        </w:rPr>
        <w:t>卫健委</w:t>
      </w:r>
      <w:r>
        <w:rPr>
          <w:rFonts w:hint="eastAsia" w:ascii="仿宋" w:hAnsi="仿宋" w:eastAsia="仿宋" w:cs="仿宋"/>
          <w:sz w:val="32"/>
          <w:szCs w:val="32"/>
        </w:rPr>
        <w:t>人员编制数</w:t>
      </w:r>
      <w:r>
        <w:rPr>
          <w:rFonts w:hint="eastAsia" w:ascii="仿宋" w:hAnsi="仿宋" w:eastAsia="仿宋" w:cs="仿宋"/>
          <w:sz w:val="32"/>
          <w:szCs w:val="32"/>
          <w:lang w:val="en-US" w:eastAsia="zh-CN"/>
        </w:rPr>
        <w:t>92</w:t>
      </w:r>
      <w:r>
        <w:rPr>
          <w:rFonts w:hint="eastAsia" w:ascii="仿宋" w:hAnsi="仿宋" w:eastAsia="仿宋" w:cs="仿宋"/>
          <w:sz w:val="32"/>
          <w:szCs w:val="32"/>
        </w:rPr>
        <w:t>人，其中行政编制数</w:t>
      </w:r>
      <w:r>
        <w:rPr>
          <w:rFonts w:hint="eastAsia" w:ascii="仿宋" w:hAnsi="仿宋" w:eastAsia="仿宋" w:cs="仿宋"/>
          <w:sz w:val="32"/>
          <w:szCs w:val="32"/>
          <w:lang w:val="en-US" w:eastAsia="zh-CN"/>
        </w:rPr>
        <w:t>86</w:t>
      </w:r>
      <w:r>
        <w:rPr>
          <w:rFonts w:hint="eastAsia" w:ascii="仿宋" w:hAnsi="仿宋" w:eastAsia="仿宋" w:cs="仿宋"/>
          <w:sz w:val="32"/>
          <w:szCs w:val="32"/>
        </w:rPr>
        <w:t>人，工勤编制数</w:t>
      </w:r>
      <w:r>
        <w:rPr>
          <w:rFonts w:hint="eastAsia" w:ascii="仿宋" w:hAnsi="仿宋" w:eastAsia="仿宋" w:cs="仿宋"/>
          <w:sz w:val="32"/>
          <w:szCs w:val="32"/>
          <w:lang w:val="en-US" w:eastAsia="zh-CN"/>
        </w:rPr>
        <w:t>6</w:t>
      </w:r>
      <w:r>
        <w:rPr>
          <w:rFonts w:hint="eastAsia" w:ascii="仿宋" w:hAnsi="仿宋" w:eastAsia="仿宋" w:cs="仿宋"/>
          <w:sz w:val="32"/>
          <w:szCs w:val="32"/>
        </w:rPr>
        <w:t>人。实有人数</w:t>
      </w:r>
      <w:r>
        <w:rPr>
          <w:rFonts w:hint="eastAsia" w:ascii="仿宋" w:hAnsi="仿宋" w:eastAsia="仿宋" w:cs="仿宋"/>
          <w:sz w:val="32"/>
          <w:szCs w:val="32"/>
          <w:lang w:val="en-US" w:eastAsia="zh-CN"/>
        </w:rPr>
        <w:t>92</w:t>
      </w:r>
      <w:r>
        <w:rPr>
          <w:rFonts w:hint="eastAsia" w:ascii="仿宋" w:hAnsi="仿宋" w:eastAsia="仿宋" w:cs="仿宋"/>
          <w:sz w:val="32"/>
          <w:szCs w:val="32"/>
        </w:rPr>
        <w:t>人，其中行政编制数</w:t>
      </w:r>
      <w:r>
        <w:rPr>
          <w:rFonts w:hint="eastAsia" w:ascii="仿宋" w:hAnsi="仿宋" w:eastAsia="仿宋" w:cs="仿宋"/>
          <w:sz w:val="32"/>
          <w:szCs w:val="32"/>
          <w:lang w:val="en-US" w:eastAsia="zh-CN"/>
        </w:rPr>
        <w:t>86</w:t>
      </w:r>
      <w:r>
        <w:rPr>
          <w:rFonts w:hint="eastAsia" w:ascii="仿宋" w:hAnsi="仿宋" w:eastAsia="仿宋" w:cs="仿宋"/>
          <w:sz w:val="32"/>
          <w:szCs w:val="32"/>
        </w:rPr>
        <w:t>人，工勤编制数</w:t>
      </w:r>
      <w:r>
        <w:rPr>
          <w:rFonts w:hint="eastAsia" w:ascii="仿宋" w:hAnsi="仿宋" w:eastAsia="仿宋" w:cs="仿宋"/>
          <w:sz w:val="32"/>
          <w:szCs w:val="32"/>
          <w:lang w:val="en-US" w:eastAsia="zh-CN"/>
        </w:rPr>
        <w:t>6</w:t>
      </w:r>
      <w:r>
        <w:rPr>
          <w:rFonts w:hint="eastAsia" w:ascii="仿宋" w:hAnsi="仿宋" w:eastAsia="仿宋" w:cs="仿宋"/>
          <w:sz w:val="32"/>
          <w:szCs w:val="32"/>
        </w:rPr>
        <w:t>人。</w:t>
      </w:r>
    </w:p>
    <w:p>
      <w:pPr>
        <w:widowControl w:val="0"/>
        <w:numPr>
          <w:ilvl w:val="0"/>
          <w:numId w:val="1"/>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eastAsia="zh-CN"/>
        </w:rPr>
        <w:t>卫健委</w:t>
      </w:r>
      <w:r>
        <w:rPr>
          <w:rFonts w:hint="eastAsia" w:ascii="仿宋" w:hAnsi="仿宋" w:eastAsia="仿宋" w:cs="仿宋"/>
          <w:sz w:val="32"/>
          <w:szCs w:val="32"/>
          <w:lang w:val="en-US" w:eastAsia="zh-CN"/>
        </w:rPr>
        <w:t>2021</w:t>
      </w:r>
      <w:r>
        <w:rPr>
          <w:rFonts w:hint="eastAsia" w:ascii="仿宋" w:hAnsi="仿宋" w:eastAsia="仿宋" w:cs="仿宋"/>
          <w:sz w:val="32"/>
          <w:szCs w:val="32"/>
        </w:rPr>
        <w:t>年财政拨款收支预算</w:t>
      </w:r>
      <w:r>
        <w:rPr>
          <w:rFonts w:hint="eastAsia" w:ascii="仿宋" w:hAnsi="仿宋" w:eastAsia="仿宋" w:cs="仿宋"/>
          <w:sz w:val="32"/>
          <w:szCs w:val="32"/>
          <w:lang w:val="en-US" w:eastAsia="zh-CN"/>
        </w:rPr>
        <w:t>757706.45</w:t>
      </w:r>
      <w:r>
        <w:rPr>
          <w:rFonts w:hint="eastAsia" w:ascii="仿宋" w:hAnsi="仿宋" w:eastAsia="仿宋" w:cs="仿宋"/>
          <w:sz w:val="32"/>
          <w:szCs w:val="32"/>
        </w:rPr>
        <w:t>万元。收入按资金来源分为：一般公共预算拨款</w:t>
      </w:r>
      <w:r>
        <w:rPr>
          <w:rFonts w:hint="eastAsia" w:ascii="仿宋" w:hAnsi="仿宋" w:eastAsia="仿宋" w:cs="仿宋"/>
          <w:sz w:val="32"/>
          <w:szCs w:val="32"/>
          <w:lang w:val="en-US" w:eastAsia="zh-CN"/>
        </w:rPr>
        <w:t>71312.9</w:t>
      </w:r>
      <w:r>
        <w:rPr>
          <w:rFonts w:hint="eastAsia" w:ascii="仿宋" w:hAnsi="仿宋" w:eastAsia="仿宋" w:cs="仿宋"/>
          <w:sz w:val="32"/>
          <w:szCs w:val="32"/>
        </w:rPr>
        <w:t>万元、政府性基金预算拨款</w:t>
      </w:r>
      <w:r>
        <w:rPr>
          <w:rFonts w:hint="eastAsia" w:ascii="仿宋" w:hAnsi="仿宋" w:eastAsia="仿宋" w:cs="仿宋"/>
          <w:sz w:val="32"/>
          <w:szCs w:val="32"/>
          <w:lang w:val="en-US" w:eastAsia="zh-CN"/>
        </w:rPr>
        <w:t>3388.27</w:t>
      </w:r>
      <w:r>
        <w:rPr>
          <w:rFonts w:hint="eastAsia" w:ascii="仿宋" w:hAnsi="仿宋" w:eastAsia="仿宋" w:cs="仿宋"/>
          <w:sz w:val="32"/>
          <w:szCs w:val="32"/>
        </w:rPr>
        <w:t>万元</w:t>
      </w:r>
      <w:r>
        <w:rPr>
          <w:rFonts w:hint="eastAsia" w:ascii="仿宋" w:hAnsi="仿宋" w:eastAsia="仿宋" w:cs="仿宋"/>
          <w:sz w:val="32"/>
          <w:szCs w:val="32"/>
          <w:lang w:val="en-US" w:eastAsia="zh-CN"/>
        </w:rPr>
        <w:t>。</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val="en-US" w:eastAsia="zh-CN"/>
        </w:rPr>
        <w:t>2021</w:t>
      </w:r>
      <w:r>
        <w:rPr>
          <w:rFonts w:hint="eastAsia" w:ascii="仿宋" w:hAnsi="仿宋" w:eastAsia="仿宋" w:cs="仿宋"/>
          <w:sz w:val="32"/>
          <w:szCs w:val="32"/>
        </w:rPr>
        <w:t>年一般公共预算拨款</w:t>
      </w:r>
      <w:r>
        <w:rPr>
          <w:rFonts w:hint="eastAsia" w:ascii="仿宋" w:hAnsi="仿宋" w:eastAsia="仿宋" w:cs="仿宋"/>
          <w:sz w:val="32"/>
          <w:szCs w:val="32"/>
          <w:lang w:val="en-US" w:eastAsia="zh-CN"/>
        </w:rPr>
        <w:t>107904.53</w:t>
      </w:r>
      <w:r>
        <w:rPr>
          <w:rFonts w:hint="eastAsia" w:ascii="仿宋" w:hAnsi="仿宋" w:eastAsia="仿宋" w:cs="仿宋"/>
          <w:sz w:val="32"/>
          <w:szCs w:val="32"/>
        </w:rPr>
        <w:t>万元，比</w:t>
      </w:r>
      <w:r>
        <w:rPr>
          <w:rFonts w:hint="eastAsia" w:ascii="仿宋" w:hAnsi="仿宋" w:eastAsia="仿宋" w:cs="仿宋"/>
          <w:sz w:val="32"/>
          <w:szCs w:val="32"/>
          <w:lang w:eastAsia="zh-CN"/>
        </w:rPr>
        <w:t>当</w:t>
      </w:r>
      <w:r>
        <w:rPr>
          <w:rFonts w:hint="eastAsia" w:ascii="仿宋" w:hAnsi="仿宋" w:eastAsia="仿宋" w:cs="仿宋"/>
          <w:sz w:val="32"/>
          <w:szCs w:val="32"/>
        </w:rPr>
        <w:t>年预算拨款</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36591.63</w:t>
      </w:r>
      <w:r>
        <w:rPr>
          <w:rFonts w:hint="eastAsia" w:ascii="仿宋" w:hAnsi="仿宋" w:eastAsia="仿宋" w:cs="仿宋"/>
          <w:sz w:val="32"/>
          <w:szCs w:val="32"/>
        </w:rPr>
        <w:t>万元，</w:t>
      </w:r>
      <w:r>
        <w:rPr>
          <w:rFonts w:hint="eastAsia" w:ascii="仿宋" w:hAnsi="仿宋" w:eastAsia="仿宋" w:cs="仿宋"/>
          <w:sz w:val="32"/>
          <w:szCs w:val="32"/>
          <w:lang w:eastAsia="zh-CN"/>
        </w:rPr>
        <w:t>上升</w:t>
      </w:r>
      <w:r>
        <w:rPr>
          <w:rFonts w:hint="eastAsia" w:ascii="仿宋" w:hAnsi="仿宋" w:eastAsia="仿宋" w:cs="仿宋"/>
          <w:sz w:val="32"/>
          <w:szCs w:val="32"/>
          <w:lang w:val="en-US" w:eastAsia="zh-CN"/>
        </w:rPr>
        <w:t>51.31</w:t>
      </w:r>
      <w:r>
        <w:rPr>
          <w:rFonts w:hint="eastAsia" w:ascii="仿宋" w:hAnsi="仿宋" w:eastAsia="仿宋" w:cs="仿宋"/>
          <w:sz w:val="32"/>
          <w:szCs w:val="32"/>
        </w:rPr>
        <w:t>%，主要原因：</w:t>
      </w:r>
      <w:r>
        <w:rPr>
          <w:rFonts w:hint="eastAsia" w:ascii="仿宋" w:hAnsi="仿宋" w:eastAsia="仿宋" w:cs="仿宋"/>
          <w:sz w:val="32"/>
          <w:szCs w:val="32"/>
          <w:lang w:eastAsia="zh-CN"/>
        </w:rPr>
        <w:t>疫情原因，定点医院财政拨款相关补助收入增加</w:t>
      </w:r>
      <w:r>
        <w:rPr>
          <w:rFonts w:hint="eastAsia" w:ascii="仿宋" w:hAnsi="仿宋" w:eastAsia="仿宋" w:cs="仿宋"/>
          <w:sz w:val="32"/>
          <w:szCs w:val="32"/>
        </w:rPr>
        <w:t>。</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val="en-US" w:eastAsia="zh-CN"/>
        </w:rPr>
        <w:t>2021</w:t>
      </w:r>
      <w:r>
        <w:rPr>
          <w:rFonts w:hint="eastAsia" w:ascii="仿宋" w:hAnsi="仿宋" w:eastAsia="仿宋" w:cs="仿宋"/>
          <w:sz w:val="32"/>
          <w:szCs w:val="32"/>
        </w:rPr>
        <w:t>年一般公共预算基本支出</w:t>
      </w:r>
      <w:r>
        <w:rPr>
          <w:rFonts w:hint="eastAsia" w:ascii="仿宋" w:hAnsi="仿宋" w:eastAsia="仿宋" w:cs="仿宋"/>
          <w:sz w:val="32"/>
          <w:szCs w:val="32"/>
          <w:lang w:val="en-US" w:eastAsia="zh-CN"/>
        </w:rPr>
        <w:t>32725.04</w:t>
      </w:r>
      <w:r>
        <w:rPr>
          <w:rFonts w:hint="eastAsia" w:ascii="仿宋" w:hAnsi="仿宋" w:eastAsia="仿宋" w:cs="仿宋"/>
          <w:sz w:val="32"/>
          <w:szCs w:val="32"/>
        </w:rPr>
        <w:t>万元，其中：</w:t>
      </w:r>
    </w:p>
    <w:p>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工资福利支出</w:t>
      </w:r>
      <w:r>
        <w:rPr>
          <w:rFonts w:hint="eastAsia" w:ascii="仿宋" w:hAnsi="仿宋" w:eastAsia="仿宋" w:cs="仿宋"/>
          <w:sz w:val="32"/>
          <w:szCs w:val="32"/>
          <w:lang w:val="en-US" w:eastAsia="zh-CN"/>
        </w:rPr>
        <w:t>26209.1</w:t>
      </w:r>
      <w:r>
        <w:rPr>
          <w:rFonts w:hint="eastAsia" w:ascii="仿宋" w:hAnsi="仿宋" w:eastAsia="仿宋" w:cs="仿宋"/>
          <w:sz w:val="32"/>
          <w:szCs w:val="32"/>
        </w:rPr>
        <w:t>万元，主要包括：基本工资、津贴补贴、绩效工资、机关事业单位基本养老保险缴费、职业年金缴费、职工基本医疗保险缴费、住房公积金、医疗费、其他工资福利支出等。商品和服务支出</w:t>
      </w:r>
      <w:r>
        <w:rPr>
          <w:rFonts w:hint="eastAsia" w:ascii="仿宋" w:hAnsi="仿宋" w:eastAsia="仿宋" w:cs="仿宋"/>
          <w:sz w:val="32"/>
          <w:szCs w:val="32"/>
          <w:lang w:val="en-US" w:eastAsia="zh-CN"/>
        </w:rPr>
        <w:t>1217.67</w:t>
      </w:r>
      <w:r>
        <w:rPr>
          <w:rFonts w:hint="eastAsia" w:ascii="仿宋" w:hAnsi="仿宋" w:eastAsia="仿宋" w:cs="仿宋"/>
          <w:sz w:val="32"/>
          <w:szCs w:val="32"/>
        </w:rPr>
        <w:t>万元，主要包括：办公费、印刷费、咨询费、手续费、水费、电费、邮电费、物业管理费、差旅费、维修（护）费、租赁费、会议费、培训费、劳务费、委托业务给、工会经费、福利费、其他交通费、其他商品和服务支出等。对个人和家庭的补助</w:t>
      </w:r>
      <w:r>
        <w:rPr>
          <w:rFonts w:hint="eastAsia" w:ascii="仿宋" w:hAnsi="仿宋" w:eastAsia="仿宋" w:cs="仿宋"/>
          <w:sz w:val="32"/>
          <w:szCs w:val="32"/>
          <w:lang w:val="en-US" w:eastAsia="zh-CN"/>
        </w:rPr>
        <w:t>5126.57</w:t>
      </w:r>
      <w:r>
        <w:rPr>
          <w:rFonts w:hint="eastAsia" w:ascii="仿宋" w:hAnsi="仿宋" w:eastAsia="仿宋" w:cs="仿宋"/>
          <w:sz w:val="32"/>
          <w:szCs w:val="32"/>
        </w:rPr>
        <w:t>万元，主要包括：离休费、退休费、抚恤金、生活补助、救济费、医疗费补助、助学金、奖励金、个人生产补贴、其他对个人和家庭的补助等。</w:t>
      </w:r>
      <w:r>
        <w:rPr>
          <w:rFonts w:hint="eastAsia" w:ascii="仿宋" w:hAnsi="仿宋" w:eastAsia="仿宋" w:cs="仿宋"/>
          <w:sz w:val="32"/>
          <w:szCs w:val="32"/>
          <w:lang w:eastAsia="zh-CN"/>
        </w:rPr>
        <w:t>资本性支出</w:t>
      </w:r>
      <w:r>
        <w:rPr>
          <w:rFonts w:hint="eastAsia" w:ascii="仿宋" w:hAnsi="仿宋" w:eastAsia="仿宋" w:cs="仿宋"/>
          <w:sz w:val="32"/>
          <w:szCs w:val="32"/>
          <w:lang w:val="en-US" w:eastAsia="zh-CN"/>
        </w:rPr>
        <w:t>171.71万元。</w:t>
      </w:r>
    </w:p>
    <w:p>
      <w:pPr>
        <w:spacing w:line="56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2021年一般公共预算项目支出83090.93万元。</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widowControl w:val="0"/>
        <w:wordWrap/>
        <w:adjustRightInd w:val="0"/>
        <w:snapToGrid w:val="0"/>
        <w:spacing w:line="560" w:lineRule="exact"/>
        <w:ind w:left="0" w:leftChars="0" w:right="0" w:firstLine="640" w:firstLineChars="200"/>
        <w:textAlignment w:val="auto"/>
        <w:outlineLvl w:val="9"/>
        <w:rPr>
          <w:rFonts w:hint="eastAsia" w:ascii="楷体" w:hAnsi="楷体" w:eastAsia="楷体" w:cs="楷体"/>
          <w:sz w:val="32"/>
          <w:szCs w:val="32"/>
        </w:rPr>
      </w:pP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1</w:t>
      </w:r>
      <w:r>
        <w:rPr>
          <w:rFonts w:hint="eastAsia" w:ascii="楷体" w:hAnsi="楷体" w:eastAsia="楷体" w:cs="楷体"/>
          <w:sz w:val="32"/>
          <w:szCs w:val="32"/>
          <w:lang w:eastAsia="zh-CN"/>
        </w:rPr>
        <w:t>）</w:t>
      </w:r>
      <w:r>
        <w:rPr>
          <w:rFonts w:hint="eastAsia" w:ascii="楷体" w:hAnsi="楷体" w:eastAsia="楷体" w:cs="楷体"/>
          <w:sz w:val="32"/>
          <w:szCs w:val="32"/>
        </w:rPr>
        <w:t>持续提升全市公共卫生服务能力</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绩效目标：做实基本公共卫生服务，全力抓好社会心理服务体系建设、免疫规划，重大传染病防控、慢性病综合防控区建设、国家卫生城市创建。</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绩效指标：</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1.年内组织实施基本公卫项目培训，实现县域、项目全覆盖；全市50%以上县（市、区）开展家庭医生签约服务信息化建设。</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2.推动疫苗预防接种数字化管理全覆盖，适龄儿童免疫规划疫苗接种率达到90%以上。</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3.建立覆盖城乡的传染病疫情信息报告、监测网络，创新实施结核病“六精准”管理模式，深入实施艾滋病干预工程，确保不发生重大传染病暴发流行。</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4.年内完成2-3家国家级和省级慢病示范区复审，争取1-2家申报省级示范区创建。</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5.多措并举，持续巩固创建卫生城市成果。</w:t>
      </w:r>
    </w:p>
    <w:p>
      <w:pPr>
        <w:widowControl w:val="0"/>
        <w:wordWrap/>
        <w:adjustRightInd w:val="0"/>
        <w:snapToGrid w:val="0"/>
        <w:spacing w:line="560" w:lineRule="exact"/>
        <w:ind w:left="0" w:leftChars="0" w:right="0" w:firstLine="640" w:firstLineChars="200"/>
        <w:textAlignment w:val="auto"/>
        <w:outlineLvl w:val="9"/>
        <w:rPr>
          <w:rFonts w:hint="eastAsia" w:ascii="楷体" w:hAnsi="楷体" w:eastAsia="楷体" w:cs="楷体"/>
          <w:sz w:val="32"/>
          <w:szCs w:val="32"/>
          <w:lang w:eastAsia="zh-CN"/>
        </w:rPr>
      </w:pP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2</w:t>
      </w:r>
      <w:r>
        <w:rPr>
          <w:rFonts w:hint="eastAsia" w:ascii="楷体" w:hAnsi="楷体" w:eastAsia="楷体" w:cs="楷体"/>
          <w:sz w:val="32"/>
          <w:szCs w:val="32"/>
          <w:lang w:eastAsia="zh-CN"/>
        </w:rPr>
        <w:t>）着力深化医药卫生体制改革</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绩效目标：以建机制为重点，围绕重点领域和关键环节，持续深化“四医联动”改革，继续推进公立医院综合改革，加快推进现代医院管理制度改革和医联体建设，提升卫生健康信息化水平，着力构建分级诊疗制度，抓好综合监管制度建设，努力在基本医疗卫生制度建设上取得突破。</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绩效指标：</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1.年内力争主城区4个城市医疗集团全部实现“六统一”管理，农村县（市）县域紧密型医共体试点建设实现全覆盖。</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2.推动现代医院管理制度改革试点全覆盖，打造1-2个市级现代医院管理制度样版化管理区。</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3.加快推进县级公立医院综合改革，力争再打造1-2个省级示范县。</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4.加快推进乡村卫生健康服务一体化管理改革，实现乡村一体化改革全覆盖，并打造2-3家示范单位。</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5.加快推进省市县乡四级卫生信息化联动建设，年内实现部分省直医院、全部市办医院、全部县办医院、154家乡镇卫生院及部分社区卫生服务中心的诊疗信息互通共享。力争实现市县两级公办医疗机构网上预约统一挂号同步服务，预约时间力争精准到30分钟以内。推动分级诊疗信息系统连接延伸至各社区、乡镇医疗卫生机构及医联体各成员单位，实现分级诊疗服务全覆盖。</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6.继续推进监督执法基层体系建设，实现县级监督机构标准化100%达标，保持全省领先水平。强化职业健康执法监督，重点行业监督检查覆盖率达到95%以上，确保职业卫生监督工作走在全省前列。</w:t>
      </w:r>
    </w:p>
    <w:p>
      <w:pPr>
        <w:widowControl w:val="0"/>
        <w:wordWrap/>
        <w:adjustRightInd w:val="0"/>
        <w:snapToGrid w:val="0"/>
        <w:spacing w:line="560" w:lineRule="exact"/>
        <w:ind w:left="0" w:leftChars="0" w:right="0" w:firstLine="640" w:firstLineChars="200"/>
        <w:textAlignment w:val="auto"/>
        <w:outlineLvl w:val="9"/>
        <w:rPr>
          <w:rFonts w:hint="eastAsia" w:ascii="楷体" w:hAnsi="楷体" w:eastAsia="楷体" w:cs="楷体"/>
          <w:sz w:val="32"/>
          <w:szCs w:val="32"/>
          <w:lang w:eastAsia="zh-CN"/>
        </w:rPr>
      </w:pP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3</w:t>
      </w:r>
      <w:r>
        <w:rPr>
          <w:rFonts w:hint="eastAsia" w:ascii="楷体" w:hAnsi="楷体" w:eastAsia="楷体" w:cs="楷体"/>
          <w:sz w:val="32"/>
          <w:szCs w:val="32"/>
          <w:lang w:eastAsia="zh-CN"/>
        </w:rPr>
        <w:t>）着力抓好人口监测与家庭发展服务</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绩效目标：持续提升妇女生殖健康服务水平，降低出生缺陷的发生，有效遏制出生人口性别比偏高问题，不断提高人口质量。有效保障计划生育家庭生活水平，积极应对人口老龄化，加快推进安宁疗护试点建设，积极探索建设居家社区机构相协调、医养康养相结合的养老服务体系，不断满足老年人养老服务需求。</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绩效指标：</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1.优化妇幼健康全程服务，强化《出生医学证明》监管，全市孕前优生检查目标人群覆盖率及产前筛查率均达到80%以上，县级妇幼机构全面推行电子预约服务。</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2.做好3岁以下婴幼儿照护服务试点工作。制定3岁以下婴幼儿照护服务实施意见，启动我市3岁以下婴幼儿照护服务工作试点工作，年内每个县（市、区）至少打造1个婴幼儿照护服务试点机构，指导县（市、区）做好托育机构备案。</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3.与市民政局联合，构建失独老人的社会支持网络。由恒爱家园社工服务中心牵头，建立失独老人自助互助合作社，链接社会资源，开展各类帮扶活动，年内帮扶活动不少于13次。</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4.深入推进医养结合工作，年内，养老机构和社区综合居家养老服务中心医疗卫生服务基本实现全覆盖，新增市级医养结合示范机构4-6家。</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5.打造具有我市特色的安宁疗护“病区+单元”服务模式。探索在二级以上医疗机构设置安宁疗护科（病区）或依托肿瘤科、老年医学科等相关科室设置安宁疗护病房；在有条件的医养结合机构、社区卫生服务机构、乡镇卫生院建立安宁疗护单元，年内每个县（市、区）建立1个安宁疗护试点。</w:t>
      </w:r>
    </w:p>
    <w:p>
      <w:pPr>
        <w:widowControl w:val="0"/>
        <w:wordWrap/>
        <w:adjustRightInd w:val="0"/>
        <w:snapToGrid w:val="0"/>
        <w:spacing w:line="560" w:lineRule="exact"/>
        <w:ind w:left="0" w:leftChars="0" w:right="0" w:firstLine="640" w:firstLineChars="200"/>
        <w:textAlignment w:val="auto"/>
        <w:outlineLvl w:val="9"/>
        <w:rPr>
          <w:rFonts w:hint="eastAsia" w:ascii="楷体" w:hAnsi="楷体" w:eastAsia="楷体" w:cs="楷体"/>
          <w:sz w:val="32"/>
          <w:szCs w:val="32"/>
          <w:lang w:eastAsia="zh-CN"/>
        </w:rPr>
      </w:pP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4</w:t>
      </w:r>
      <w:r>
        <w:rPr>
          <w:rFonts w:hint="eastAsia" w:ascii="楷体" w:hAnsi="楷体" w:eastAsia="楷体" w:cs="楷体"/>
          <w:sz w:val="32"/>
          <w:szCs w:val="32"/>
          <w:lang w:eastAsia="zh-CN"/>
        </w:rPr>
        <w:t>）加快推进中医药发展和服务体系建设</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绩效目标：巩固国家中医药综合改革试验区建设成果，贯彻落实国家促进中医药传承创新发展的意见，进一步加强中医药能力建设，提高中医药服务水平，筑牢基层中医药服务阵地，深入弘扬中医药文化，有效发挥中医药在医疗保健领域的特色优势，不断满足人民群众中医药服务需求。</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绩效指标：</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1.试点建设“共享中药房”。在桥西区医疗集团内，依托市中医院探索建立集团内中药饮片统一调制配送。</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2.试点建设“民间传统中医特色服务区”。收集筛选民间中医药专长人员入驻，挖掘和传承民间中医药中的精华精髓。</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3.起草制定《石家庄市关于促进中医药传承创新发展的实施方案》，筹划召开好全市中医药大会。</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4.实施“三名”工程。以国家传承创新项目为契机，挖掘整理“石门一派”学术思想，建立中医流派，提升市中医院知名度。推动县级三级中医院建设，形成新乐市中医医院、藁城区中西医结合医院、元氏县中医院等一批县级区域性中医诊疗中心；打造骨伤、肛肠、儿科、康复等中医名科；组织我市省级名中医集中收徒，传承“名医”。</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5.聘请国家级名师，把醒脑开窍针灸、平衡针、刺络拔罐、蜂疗等四类疗效明显、群众接受度高的适宜技术在基层推广普及。</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6.创建高水平国医堂。开展“西医学中医”培训活动，到2020年，要培养50名中医全科医师，300名中医基层骨干人员。</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cs="仿宋"/>
          <w:sz w:val="32"/>
          <w:szCs w:val="32"/>
        </w:rPr>
        <w:t>7.弘扬中医药文化，开展中医药文化宣传示范医院、示范学校、示范社区和中医药文化旅游示范基地创建活动；开展中医药文化进医院、进校园、进社区、进农村、进企业、进机关等“六进百场”中医药知识巡讲活动。</w:t>
      </w:r>
    </w:p>
    <w:p>
      <w:pPr>
        <w:widowControl w:val="0"/>
        <w:wordWrap/>
        <w:adjustRightInd w:val="0"/>
        <w:snapToGrid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根据有关规定，整理、综合分析项目相关信息，根据相关资料撰写绩效评价报告，就初步结果和评价报告初稿与相关方面进行沟通，提交正式绩效评价报告。</w:t>
      </w:r>
    </w:p>
    <w:p>
      <w:pPr>
        <w:spacing w:line="560" w:lineRule="exact"/>
        <w:ind w:firstLine="640" w:firstLineChars="200"/>
        <w:rPr>
          <w:rFonts w:hint="eastAsia" w:ascii="仿宋" w:hAnsi="仿宋" w:eastAsia="仿宋" w:cs="楷体_GB2312"/>
          <w:b/>
          <w:bCs/>
          <w:sz w:val="32"/>
          <w:szCs w:val="32"/>
        </w:rPr>
      </w:pPr>
      <w:r>
        <w:rPr>
          <w:rFonts w:hint="eastAsia" w:ascii="仿宋" w:hAnsi="仿宋" w:eastAsia="仿宋" w:cs="仿宋"/>
          <w:sz w:val="32"/>
          <w:szCs w:val="32"/>
        </w:rPr>
        <w:t>在自评过程中，我们结合本部门的实际情况，实施了资料审阅、账务核实、现场查勘、抽查支付记录、询问、分析计算等必要的评价程序，通过对绩效目标与绩效结果进行比较，综合分析评价绩效目标完成情况，自评工作业已完成。</w:t>
      </w:r>
    </w:p>
    <w:p>
      <w:pPr>
        <w:widowControl w:val="0"/>
        <w:wordWrap/>
        <w:spacing w:line="56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widowControl w:val="0"/>
        <w:numPr>
          <w:ilvl w:val="0"/>
          <w:numId w:val="2"/>
        </w:numPr>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widowControl w:val="0"/>
        <w:wordWrap/>
        <w:adjustRightInd/>
        <w:snapToGrid/>
        <w:spacing w:line="550" w:lineRule="exact"/>
        <w:ind w:firstLine="640" w:firstLineChars="200"/>
        <w:textAlignment w:val="auto"/>
        <w:rPr>
          <w:rFonts w:hint="default" w:ascii="仿宋_GB2312" w:hAnsi="仿宋_GB2312" w:eastAsia="仿宋_GB2312" w:cs="仿宋_GB2312"/>
          <w:sz w:val="32"/>
          <w:szCs w:val="32"/>
        </w:rPr>
      </w:pPr>
      <w:r>
        <w:rPr>
          <w:rFonts w:hint="default" w:ascii="仿宋_GB2312" w:hAnsi="仿宋_GB2312" w:eastAsia="仿宋_GB2312" w:cs="仿宋_GB2312"/>
          <w:sz w:val="32"/>
          <w:szCs w:val="32"/>
        </w:rPr>
        <w:t>全市卫生健康系统</w:t>
      </w:r>
      <w:r>
        <w:rPr>
          <w:rFonts w:hint="eastAsia" w:ascii="仿宋_GB2312" w:hAnsi="仿宋_GB2312" w:eastAsia="仿宋_GB2312" w:cs="仿宋_GB2312"/>
          <w:sz w:val="32"/>
          <w:szCs w:val="32"/>
        </w:rPr>
        <w:t>坚持以人民健康为中心，</w:t>
      </w:r>
      <w:r>
        <w:rPr>
          <w:rFonts w:hint="eastAsia" w:ascii="仿宋_GB2312" w:hAnsi="仿宋_GB2312" w:eastAsia="仿宋_GB2312" w:cs="仿宋_GB2312"/>
          <w:sz w:val="32"/>
          <w:szCs w:val="32"/>
          <w:lang w:eastAsia="zh-CN"/>
        </w:rPr>
        <w:t>坚持生命至上、人民至上，</w:t>
      </w:r>
      <w:r>
        <w:rPr>
          <w:rFonts w:hint="default" w:ascii="仿宋_GB2312" w:hAnsi="仿宋_GB2312" w:eastAsia="仿宋_GB2312" w:cs="仿宋_GB2312"/>
          <w:sz w:val="32"/>
          <w:szCs w:val="32"/>
        </w:rPr>
        <w:t>坚决贯彻落实市委市政府</w:t>
      </w:r>
      <w:r>
        <w:rPr>
          <w:rFonts w:hint="eastAsia" w:ascii="仿宋_GB2312" w:hAnsi="仿宋_GB2312" w:eastAsia="仿宋_GB2312" w:cs="仿宋_GB2312"/>
          <w:sz w:val="32"/>
          <w:szCs w:val="32"/>
          <w:lang w:eastAsia="zh-CN"/>
        </w:rPr>
        <w:t>决策</w:t>
      </w:r>
      <w:r>
        <w:rPr>
          <w:rFonts w:hint="default" w:ascii="仿宋_GB2312" w:hAnsi="仿宋_GB2312" w:eastAsia="仿宋_GB2312" w:cs="仿宋_GB2312"/>
          <w:sz w:val="32"/>
          <w:szCs w:val="32"/>
        </w:rPr>
        <w:t>部署，</w:t>
      </w:r>
      <w:r>
        <w:rPr>
          <w:rFonts w:hint="eastAsia" w:ascii="仿宋_GB2312" w:hAnsi="仿宋_GB2312" w:eastAsia="仿宋_GB2312" w:cs="仿宋_GB2312"/>
          <w:sz w:val="32"/>
          <w:szCs w:val="32"/>
        </w:rPr>
        <w:t>紧盯短板弱项，以高质量发展为主题，以推进健康石家庄建设和深化医改为主线，</w:t>
      </w:r>
      <w:r>
        <w:rPr>
          <w:rFonts w:hint="default" w:ascii="仿宋_GB2312" w:hAnsi="仿宋_GB2312" w:eastAsia="仿宋_GB2312" w:cs="仿宋_GB2312"/>
          <w:sz w:val="32"/>
          <w:szCs w:val="32"/>
        </w:rPr>
        <w:t>迎难而上、攻坚克难、危中求机，统筹</w:t>
      </w:r>
      <w:r>
        <w:rPr>
          <w:rFonts w:hint="eastAsia" w:ascii="仿宋_GB2312" w:hAnsi="仿宋_GB2312" w:eastAsia="仿宋_GB2312" w:cs="仿宋_GB2312"/>
          <w:sz w:val="32"/>
          <w:szCs w:val="32"/>
          <w:lang w:eastAsia="zh-CN"/>
        </w:rPr>
        <w:t>推进</w:t>
      </w:r>
      <w:r>
        <w:rPr>
          <w:rFonts w:hint="default" w:ascii="仿宋_GB2312" w:hAnsi="仿宋_GB2312" w:eastAsia="仿宋_GB2312" w:cs="仿宋_GB2312"/>
          <w:sz w:val="32"/>
          <w:szCs w:val="32"/>
        </w:rPr>
        <w:t>疫情防控和卫生健康事业</w:t>
      </w:r>
      <w:r>
        <w:rPr>
          <w:rFonts w:hint="eastAsia" w:ascii="仿宋_GB2312" w:hAnsi="仿宋_GB2312" w:eastAsia="仿宋_GB2312" w:cs="仿宋_GB2312"/>
          <w:sz w:val="32"/>
          <w:szCs w:val="32"/>
          <w:lang w:eastAsia="zh-CN"/>
        </w:rPr>
        <w:t>高质量</w:t>
      </w:r>
      <w:r>
        <w:rPr>
          <w:rFonts w:hint="default" w:ascii="仿宋_GB2312" w:hAnsi="仿宋_GB2312" w:eastAsia="仿宋_GB2312" w:cs="仿宋_GB2312"/>
          <w:sz w:val="32"/>
          <w:szCs w:val="32"/>
        </w:rPr>
        <w:t>发展取得</w:t>
      </w:r>
      <w:r>
        <w:rPr>
          <w:rFonts w:hint="eastAsia" w:ascii="仿宋_GB2312" w:hAnsi="仿宋_GB2312" w:eastAsia="仿宋_GB2312" w:cs="仿宋_GB2312"/>
          <w:sz w:val="32"/>
          <w:szCs w:val="32"/>
          <w:lang w:eastAsia="zh-CN"/>
        </w:rPr>
        <w:t>阶段成效</w:t>
      </w:r>
      <w:r>
        <w:rPr>
          <w:rFonts w:hint="eastAsia" w:ascii="仿宋_GB2312" w:hAnsi="仿宋_GB2312" w:eastAsia="仿宋_GB2312" w:cs="仿宋_GB2312"/>
          <w:sz w:val="32"/>
          <w:szCs w:val="32"/>
        </w:rPr>
        <w:t>。</w:t>
      </w:r>
    </w:p>
    <w:p>
      <w:pPr>
        <w:widowControl w:val="0"/>
        <w:wordWrap/>
        <w:spacing w:line="560" w:lineRule="exact"/>
        <w:ind w:left="0" w:leftChars="0" w:right="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pPr>
        <w:widowControl w:val="0"/>
        <w:wordWrap/>
        <w:adjustRightInd/>
        <w:snapToGrid/>
        <w:spacing w:line="55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分项绩效目标年末完成情况：</w:t>
      </w:r>
    </w:p>
    <w:p>
      <w:pPr>
        <w:widowControl w:val="0"/>
        <w:numPr>
          <w:ilvl w:val="0"/>
          <w:numId w:val="3"/>
        </w:numPr>
        <w:wordWrap/>
        <w:adjustRightInd w:val="0"/>
        <w:snapToGrid w:val="0"/>
        <w:spacing w:line="560" w:lineRule="exact"/>
        <w:ind w:left="0" w:leftChars="0" w:right="0" w:firstLine="640" w:firstLineChars="200"/>
        <w:textAlignment w:val="auto"/>
        <w:outlineLvl w:val="9"/>
        <w:rPr>
          <w:rFonts w:hint="eastAsia" w:ascii="楷体" w:hAnsi="楷体" w:eastAsia="楷体" w:cs="楷体"/>
          <w:sz w:val="32"/>
          <w:szCs w:val="32"/>
        </w:rPr>
      </w:pPr>
      <w:r>
        <w:rPr>
          <w:rFonts w:hint="eastAsia" w:ascii="楷体" w:hAnsi="楷体" w:eastAsia="楷体" w:cs="楷体"/>
          <w:sz w:val="32"/>
          <w:szCs w:val="32"/>
        </w:rPr>
        <w:t>持续提升全市公共卫生服务能力</w:t>
      </w:r>
    </w:p>
    <w:p>
      <w:pPr>
        <w:widowControl w:val="0"/>
        <w:wordWrap/>
        <w:adjustRightInd w:val="0"/>
        <w:snapToGrid w:val="0"/>
        <w:spacing w:line="560" w:lineRule="exact"/>
        <w:ind w:left="0" w:leftChars="0" w:right="0" w:firstLine="640" w:firstLineChars="200"/>
        <w:textAlignment w:val="auto"/>
        <w:outlineLvl w:val="9"/>
        <w:rPr>
          <w:rFonts w:hint="default" w:ascii="仿宋" w:hAnsi="仿宋" w:eastAsia="仿宋" w:cs="仿宋"/>
          <w:sz w:val="32"/>
          <w:szCs w:val="32"/>
          <w:lang w:eastAsia="zh-CN"/>
        </w:rPr>
      </w:pPr>
      <w:r>
        <w:rPr>
          <w:rFonts w:hint="eastAsia" w:ascii="仿宋" w:hAnsi="仿宋" w:eastAsia="仿宋" w:cs="仿宋"/>
          <w:sz w:val="32"/>
          <w:szCs w:val="32"/>
          <w:lang w:val="en-US" w:eastAsia="zh-CN"/>
        </w:rPr>
        <w:t>加快疾控机构改革，</w:t>
      </w:r>
      <w:r>
        <w:rPr>
          <w:rFonts w:hint="eastAsia" w:ascii="仿宋" w:hAnsi="仿宋" w:eastAsia="仿宋" w:cs="仿宋"/>
          <w:sz w:val="32"/>
          <w:szCs w:val="32"/>
        </w:rPr>
        <w:t>按照1.35/万的比例标准，</w:t>
      </w:r>
      <w:r>
        <w:rPr>
          <w:rFonts w:hint="eastAsia" w:ascii="仿宋" w:hAnsi="仿宋" w:eastAsia="仿宋" w:cs="仿宋"/>
          <w:sz w:val="32"/>
          <w:szCs w:val="32"/>
          <w:lang w:eastAsia="zh-CN"/>
        </w:rPr>
        <w:t>重新</w:t>
      </w:r>
      <w:r>
        <w:rPr>
          <w:rFonts w:hint="eastAsia" w:ascii="仿宋" w:hAnsi="仿宋" w:eastAsia="仿宋" w:cs="仿宋"/>
          <w:sz w:val="32"/>
          <w:szCs w:val="32"/>
        </w:rPr>
        <w:t>核定</w:t>
      </w:r>
      <w:r>
        <w:rPr>
          <w:rFonts w:hint="eastAsia" w:ascii="仿宋" w:hAnsi="仿宋" w:eastAsia="仿宋" w:cs="仿宋"/>
          <w:sz w:val="32"/>
          <w:szCs w:val="32"/>
          <w:lang w:eastAsia="zh-CN"/>
        </w:rPr>
        <w:t>了</w:t>
      </w:r>
      <w:r>
        <w:rPr>
          <w:rFonts w:hint="eastAsia" w:ascii="仿宋" w:hAnsi="仿宋" w:eastAsia="仿宋" w:cs="仿宋"/>
          <w:sz w:val="32"/>
          <w:szCs w:val="32"/>
        </w:rPr>
        <w:t>县级疾</w:t>
      </w:r>
      <w:r>
        <w:rPr>
          <w:rFonts w:hint="eastAsia" w:ascii="仿宋" w:hAnsi="仿宋" w:eastAsia="仿宋" w:cs="仿宋"/>
          <w:sz w:val="32"/>
          <w:szCs w:val="32"/>
          <w:lang w:eastAsia="zh-CN"/>
        </w:rPr>
        <w:t>控</w:t>
      </w:r>
      <w:r>
        <w:rPr>
          <w:rFonts w:hint="eastAsia" w:ascii="仿宋" w:hAnsi="仿宋" w:eastAsia="仿宋" w:cs="仿宋"/>
          <w:sz w:val="32"/>
          <w:szCs w:val="32"/>
        </w:rPr>
        <w:t>中心人员编制，</w:t>
      </w:r>
      <w:r>
        <w:rPr>
          <w:rFonts w:hint="eastAsia" w:ascii="仿宋" w:hAnsi="仿宋" w:eastAsia="仿宋" w:cs="仿宋"/>
          <w:sz w:val="32"/>
          <w:szCs w:val="32"/>
          <w:lang w:eastAsia="zh-CN"/>
        </w:rPr>
        <w:t>通过</w:t>
      </w:r>
      <w:r>
        <w:rPr>
          <w:rFonts w:hint="eastAsia" w:ascii="仿宋" w:hAnsi="仿宋" w:eastAsia="仿宋" w:cs="仿宋"/>
          <w:sz w:val="32"/>
          <w:szCs w:val="32"/>
        </w:rPr>
        <w:t>专项公开招聘，</w:t>
      </w:r>
      <w:r>
        <w:rPr>
          <w:rFonts w:hint="eastAsia" w:ascii="仿宋" w:hAnsi="仿宋" w:eastAsia="仿宋" w:cs="仿宋"/>
          <w:sz w:val="32"/>
          <w:szCs w:val="32"/>
          <w:lang w:eastAsia="zh-CN"/>
        </w:rPr>
        <w:t>为</w:t>
      </w:r>
      <w:r>
        <w:rPr>
          <w:rFonts w:hint="default" w:ascii="仿宋" w:hAnsi="仿宋" w:eastAsia="仿宋" w:cs="仿宋"/>
          <w:sz w:val="32"/>
          <w:szCs w:val="32"/>
          <w:lang w:eastAsia="zh-CN"/>
        </w:rPr>
        <w:t>县级疾控机构</w:t>
      </w:r>
      <w:r>
        <w:rPr>
          <w:rFonts w:hint="eastAsia" w:ascii="仿宋" w:hAnsi="仿宋" w:eastAsia="仿宋" w:cs="仿宋"/>
          <w:sz w:val="32"/>
          <w:szCs w:val="32"/>
          <w:lang w:val="en-US" w:eastAsia="zh-CN"/>
        </w:rPr>
        <w:t>定向招聘102</w:t>
      </w:r>
      <w:r>
        <w:rPr>
          <w:rFonts w:hint="default" w:ascii="仿宋" w:hAnsi="仿宋" w:eastAsia="仿宋" w:cs="仿宋"/>
          <w:sz w:val="32"/>
          <w:szCs w:val="32"/>
          <w:lang w:eastAsia="zh-CN"/>
        </w:rPr>
        <w:t>人</w:t>
      </w:r>
      <w:r>
        <w:rPr>
          <w:rFonts w:hint="eastAsia" w:ascii="仿宋" w:hAnsi="仿宋" w:eastAsia="仿宋" w:cs="仿宋"/>
          <w:sz w:val="32"/>
          <w:szCs w:val="32"/>
          <w:lang w:eastAsia="zh-CN"/>
        </w:rPr>
        <w:t>，全市流调队扩充至342支</w:t>
      </w:r>
      <w:r>
        <w:rPr>
          <w:rFonts w:hint="default" w:ascii="仿宋" w:hAnsi="仿宋" w:eastAsia="仿宋" w:cs="仿宋"/>
          <w:sz w:val="32"/>
          <w:szCs w:val="32"/>
          <w:lang w:eastAsia="zh-CN"/>
        </w:rPr>
        <w:t>，</w:t>
      </w:r>
      <w:r>
        <w:rPr>
          <w:rFonts w:hint="eastAsia" w:ascii="仿宋" w:hAnsi="仿宋" w:eastAsia="仿宋" w:cs="仿宋"/>
          <w:sz w:val="32"/>
          <w:szCs w:val="32"/>
          <w:lang w:eastAsia="zh-CN"/>
        </w:rPr>
        <w:t>2006人</w:t>
      </w:r>
      <w:r>
        <w:rPr>
          <w:rFonts w:hint="default" w:ascii="仿宋" w:hAnsi="仿宋" w:eastAsia="仿宋" w:cs="仿宋"/>
          <w:sz w:val="32"/>
          <w:szCs w:val="32"/>
          <w:lang w:eastAsia="zh-CN"/>
        </w:rPr>
        <w:t>。</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扎实做好重大传染病防治工作，我市结核病防治工作两次在全省工作会上做经验介绍。扎实做好精神疾病防治，全市在册严重精神障碍患者规范管理率达91.02%，服药率86.83%，全部高于国家标准。</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zh-CN" w:eastAsia="zh-CN"/>
        </w:rPr>
      </w:pPr>
      <w:r>
        <w:rPr>
          <w:rFonts w:hint="eastAsia" w:ascii="仿宋" w:hAnsi="仿宋" w:eastAsia="仿宋" w:cs="仿宋"/>
          <w:sz w:val="32"/>
          <w:szCs w:val="32"/>
          <w:lang w:val="en-US" w:eastAsia="zh-CN"/>
        </w:rPr>
        <w:t>积极构建</w:t>
      </w:r>
      <w:r>
        <w:rPr>
          <w:rFonts w:hint="eastAsia" w:ascii="仿宋" w:hAnsi="仿宋" w:eastAsia="仿宋" w:cs="仿宋"/>
          <w:sz w:val="32"/>
          <w:szCs w:val="32"/>
          <w:lang w:val="zh-CN"/>
        </w:rPr>
        <w:t>石家庄智慧妇幼健康服务体系，</w:t>
      </w:r>
      <w:r>
        <w:rPr>
          <w:rFonts w:hint="eastAsia" w:ascii="仿宋" w:hAnsi="仿宋" w:eastAsia="仿宋" w:cs="仿宋"/>
          <w:sz w:val="32"/>
          <w:szCs w:val="32"/>
          <w:lang w:val="zh-CN" w:eastAsia="zh-CN"/>
        </w:rPr>
        <w:t>石家庄市妇幼健康服务平台上线运行，被国家卫健委评为妇幼健康信息化优秀案例。</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市妇产医院被确定为国家级新生儿保健特色专科建设单位，市妇幼保健院、市妇产医院被确定为省级新生儿保健特色专科建设单位。</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扎实开展出生缺陷综合防治，完成孕前优生健康检查和</w:t>
      </w:r>
      <w:r>
        <w:rPr>
          <w:rFonts w:hint="eastAsia" w:ascii="仿宋" w:hAnsi="仿宋" w:eastAsia="仿宋" w:cs="仿宋"/>
          <w:sz w:val="32"/>
          <w:szCs w:val="32"/>
        </w:rPr>
        <w:t>免费婚前医学检查</w:t>
      </w:r>
      <w:r>
        <w:rPr>
          <w:rFonts w:hint="eastAsia" w:ascii="仿宋" w:hAnsi="仿宋" w:eastAsia="仿宋" w:cs="仿宋"/>
          <w:sz w:val="32"/>
          <w:szCs w:val="32"/>
          <w:lang w:val="en-US" w:eastAsia="zh-CN"/>
        </w:rPr>
        <w:t>11万人</w:t>
      </w:r>
      <w:r>
        <w:rPr>
          <w:rFonts w:hint="eastAsia" w:ascii="仿宋" w:hAnsi="仿宋" w:eastAsia="仿宋" w:cs="仿宋"/>
          <w:sz w:val="32"/>
          <w:szCs w:val="32"/>
          <w:lang w:eastAsia="zh-CN"/>
        </w:rPr>
        <w:t>，</w:t>
      </w:r>
      <w:r>
        <w:rPr>
          <w:rFonts w:hint="eastAsia" w:ascii="仿宋" w:hAnsi="仿宋" w:eastAsia="仿宋" w:cs="仿宋"/>
          <w:sz w:val="32"/>
          <w:szCs w:val="32"/>
        </w:rPr>
        <w:t>孕前优生健康检查率达90%以上，免费医学婚前检查率达75%以上；</w:t>
      </w:r>
      <w:r>
        <w:rPr>
          <w:rFonts w:hint="eastAsia" w:ascii="仿宋" w:hAnsi="仿宋" w:eastAsia="仿宋" w:cs="仿宋"/>
          <w:sz w:val="32"/>
          <w:szCs w:val="32"/>
          <w:lang w:eastAsia="zh-CN"/>
        </w:rPr>
        <w:t>完成孕妇无创产前基因和耳聋基因筛查</w:t>
      </w:r>
      <w:r>
        <w:rPr>
          <w:rFonts w:hint="eastAsia" w:ascii="仿宋" w:hAnsi="仿宋" w:eastAsia="仿宋" w:cs="仿宋"/>
          <w:sz w:val="32"/>
          <w:szCs w:val="32"/>
          <w:lang w:val="en-US" w:eastAsia="zh-CN"/>
        </w:rPr>
        <w:t>13万人，</w:t>
      </w:r>
      <w:r>
        <w:rPr>
          <w:rFonts w:hint="eastAsia" w:ascii="仿宋" w:hAnsi="仿宋" w:eastAsia="仿宋" w:cs="仿宋"/>
          <w:sz w:val="32"/>
          <w:szCs w:val="32"/>
        </w:rPr>
        <w:t>孕妇耳聋基因筛查筛查率达80%。</w:t>
      </w:r>
    </w:p>
    <w:p>
      <w:pPr>
        <w:widowControl w:val="0"/>
        <w:wordWrap/>
        <w:adjustRightInd w:val="0"/>
        <w:snapToGrid w:val="0"/>
        <w:spacing w:line="560" w:lineRule="exact"/>
        <w:ind w:left="0" w:leftChars="0" w:right="0" w:firstLine="640" w:firstLineChars="200"/>
        <w:textAlignment w:val="auto"/>
        <w:outlineLvl w:val="9"/>
        <w:rPr>
          <w:rFonts w:hint="eastAsia"/>
        </w:rPr>
      </w:pPr>
      <w:r>
        <w:rPr>
          <w:rFonts w:hint="eastAsia" w:ascii="仿宋" w:hAnsi="仿宋" w:eastAsia="仿宋" w:cs="仿宋"/>
          <w:sz w:val="32"/>
          <w:szCs w:val="32"/>
          <w:lang w:val="en-US" w:eastAsia="zh-CN"/>
        </w:rPr>
        <w:t>扎实开展</w:t>
      </w:r>
      <w:r>
        <w:rPr>
          <w:rFonts w:hint="eastAsia" w:ascii="仿宋" w:hAnsi="仿宋" w:eastAsia="仿宋" w:cs="仿宋"/>
          <w:sz w:val="32"/>
          <w:szCs w:val="32"/>
          <w:lang w:eastAsia="zh-CN"/>
        </w:rPr>
        <w:t>农村妇女两癌筛查</w:t>
      </w:r>
      <w:r>
        <w:rPr>
          <w:rFonts w:hint="eastAsia" w:ascii="仿宋" w:hAnsi="仿宋" w:eastAsia="仿宋" w:cs="仿宋"/>
          <w:sz w:val="32"/>
          <w:szCs w:val="32"/>
          <w:lang w:val="en-US" w:eastAsia="zh-CN"/>
        </w:rPr>
        <w:t>，全市完成宫颈癌筛查4万例，乳腺癌筛查2.3万例，我市在全省妇幼健康工作会议上做典型发言。</w:t>
      </w:r>
    </w:p>
    <w:p>
      <w:pPr>
        <w:widowControl w:val="0"/>
        <w:numPr>
          <w:ilvl w:val="0"/>
          <w:numId w:val="4"/>
        </w:numPr>
        <w:wordWrap/>
        <w:adjustRightInd w:val="0"/>
        <w:snapToGrid w:val="0"/>
        <w:spacing w:line="560" w:lineRule="exact"/>
        <w:ind w:left="0" w:leftChars="0" w:right="0" w:firstLine="640" w:firstLineChars="200"/>
        <w:textAlignment w:val="auto"/>
        <w:outlineLvl w:val="9"/>
        <w:rPr>
          <w:rFonts w:hint="eastAsia" w:ascii="楷体" w:hAnsi="楷体" w:eastAsia="楷体" w:cs="楷体"/>
          <w:sz w:val="32"/>
          <w:szCs w:val="32"/>
          <w:lang w:eastAsia="zh-CN"/>
        </w:rPr>
      </w:pPr>
      <w:r>
        <w:rPr>
          <w:rFonts w:hint="eastAsia" w:ascii="楷体" w:hAnsi="楷体" w:eastAsia="楷体" w:cs="楷体"/>
          <w:sz w:val="32"/>
          <w:szCs w:val="32"/>
          <w:lang w:eastAsia="zh-CN"/>
        </w:rPr>
        <w:t>着力深化医药卫生体制改革</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聚焦医改重点领域和关键环节，着力补短板、强弱项、促提升</w:t>
      </w:r>
      <w:r>
        <w:rPr>
          <w:rFonts w:hint="eastAsia" w:ascii="仿宋" w:hAnsi="仿宋" w:eastAsia="仿宋" w:cs="仿宋"/>
          <w:sz w:val="32"/>
          <w:szCs w:val="32"/>
          <w:lang w:val="en-US" w:eastAsia="zh-CN"/>
        </w:rPr>
        <w:t>,4所市县公立医院</w:t>
      </w:r>
      <w:r>
        <w:rPr>
          <w:rFonts w:hint="eastAsia" w:ascii="仿宋" w:hAnsi="仿宋" w:eastAsia="仿宋" w:cs="仿宋"/>
          <w:sz w:val="32"/>
          <w:szCs w:val="32"/>
          <w:lang w:eastAsia="zh-CN"/>
        </w:rPr>
        <w:t>纳入</w:t>
      </w:r>
      <w:r>
        <w:rPr>
          <w:rFonts w:hint="eastAsia" w:ascii="仿宋" w:hAnsi="仿宋" w:eastAsia="仿宋" w:cs="仿宋"/>
          <w:sz w:val="32"/>
          <w:szCs w:val="32"/>
          <w:lang w:val="en-US" w:eastAsia="zh-CN"/>
        </w:rPr>
        <w:t>省级现代医院管理制度样板创建，5所县级公立医院纳入省级公立医院</w:t>
      </w:r>
      <w:r>
        <w:rPr>
          <w:rFonts w:hint="eastAsia" w:ascii="仿宋" w:hAnsi="仿宋" w:eastAsia="仿宋" w:cs="仿宋"/>
          <w:sz w:val="32"/>
          <w:szCs w:val="32"/>
          <w:lang w:eastAsia="zh-CN"/>
        </w:rPr>
        <w:t>示范创建。</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健全医务人员下沉基层长效机制，</w:t>
      </w:r>
      <w:r>
        <w:rPr>
          <w:rFonts w:hint="eastAsia" w:ascii="仿宋" w:hAnsi="仿宋" w:eastAsia="仿宋" w:cs="仿宋"/>
          <w:sz w:val="32"/>
          <w:szCs w:val="32"/>
          <w:lang w:val="en-US" w:eastAsia="zh-CN"/>
        </w:rPr>
        <w:t>选派398名中级职称及以上医师进驻医联体基层成员单位，</w:t>
      </w:r>
      <w:r>
        <w:rPr>
          <w:rFonts w:hint="eastAsia" w:ascii="仿宋" w:hAnsi="仿宋" w:eastAsia="仿宋" w:cs="仿宋"/>
          <w:sz w:val="32"/>
          <w:szCs w:val="32"/>
          <w:lang w:eastAsia="zh-CN"/>
        </w:rPr>
        <w:t>实现全市197个乡镇卫生院和59个社区卫生服务中心上级医师派驻全覆盖，优质医疗资源持续下沉，推动基层医疗机构诊疗服务能力快速提升。</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扎实推进县级质控中心建设，全年</w:t>
      </w:r>
      <w:r>
        <w:rPr>
          <w:rFonts w:hint="eastAsia" w:ascii="仿宋" w:hAnsi="仿宋" w:eastAsia="仿宋" w:cs="仿宋"/>
          <w:sz w:val="32"/>
          <w:szCs w:val="32"/>
          <w:lang w:val="en-US" w:eastAsia="zh-CN"/>
        </w:rPr>
        <w:t>新增10个县级质控中心，县级质控工作覆盖面进一步拓展，相关专业医疗质量和医疗安全得到加强。</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加快推进“互联网+护理服务”试点工作，确定省医大一院、市人民医院、市第二医院、市中医院、市第四医院、赵县人民医院为我市“互联网+护理服务”试点单位，</w:t>
      </w:r>
      <w:r>
        <w:rPr>
          <w:rFonts w:hint="eastAsia" w:ascii="仿宋" w:hAnsi="仿宋" w:eastAsia="仿宋" w:cs="仿宋"/>
          <w:sz w:val="32"/>
          <w:szCs w:val="32"/>
          <w:lang w:eastAsia="zh-CN"/>
        </w:rPr>
        <w:t>更好地将护理服务延伸到社区和家庭，为群众提供老年护理、康复护理、长期照护等服务。</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加快推进国家基本药物制度综合试点工作，新乐市、正定县、无极县、平山县、赞皇县、栾城区纳入我市第二批国家基本药物制度综合试点单位。</w:t>
      </w:r>
    </w:p>
    <w:p>
      <w:pPr>
        <w:widowControl w:val="0"/>
        <w:numPr>
          <w:ilvl w:val="0"/>
          <w:numId w:val="5"/>
        </w:numPr>
        <w:wordWrap/>
        <w:adjustRightInd w:val="0"/>
        <w:snapToGrid w:val="0"/>
        <w:spacing w:line="560" w:lineRule="exact"/>
        <w:ind w:left="0" w:leftChars="0" w:right="0" w:firstLine="640" w:firstLineChars="200"/>
        <w:textAlignment w:val="auto"/>
        <w:outlineLvl w:val="9"/>
        <w:rPr>
          <w:rFonts w:hint="eastAsia" w:ascii="楷体" w:hAnsi="楷体" w:eastAsia="楷体" w:cs="楷体"/>
          <w:sz w:val="32"/>
          <w:szCs w:val="32"/>
          <w:lang w:eastAsia="zh-CN"/>
        </w:rPr>
      </w:pPr>
      <w:r>
        <w:rPr>
          <w:rFonts w:hint="eastAsia" w:ascii="楷体" w:hAnsi="楷体" w:eastAsia="楷体" w:cs="楷体"/>
          <w:sz w:val="32"/>
          <w:szCs w:val="32"/>
          <w:lang w:eastAsia="zh-CN"/>
        </w:rPr>
        <w:t>着力抓好人口监测与家庭发展服务</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全年新增婴幼儿照护试点机构</w:t>
      </w:r>
      <w:r>
        <w:rPr>
          <w:rFonts w:hint="eastAsia" w:ascii="仿宋" w:hAnsi="仿宋" w:eastAsia="仿宋" w:cs="仿宋"/>
          <w:sz w:val="32"/>
          <w:szCs w:val="32"/>
          <w:lang w:val="en-US" w:eastAsia="zh-CN"/>
        </w:rPr>
        <w:t>48</w:t>
      </w:r>
      <w:r>
        <w:rPr>
          <w:rFonts w:hint="eastAsia" w:ascii="仿宋" w:hAnsi="仿宋" w:eastAsia="仿宋" w:cs="仿宋"/>
          <w:sz w:val="32"/>
          <w:szCs w:val="32"/>
          <w:lang w:eastAsia="zh-CN"/>
        </w:rPr>
        <w:t>个</w:t>
      </w:r>
      <w:r>
        <w:rPr>
          <w:rFonts w:hint="eastAsia" w:ascii="仿宋" w:hAnsi="仿宋" w:eastAsia="仿宋" w:cs="仿宋"/>
          <w:sz w:val="32"/>
          <w:szCs w:val="32"/>
          <w:lang w:val="en-US" w:eastAsia="zh-CN"/>
        </w:rPr>
        <w:t>，新增托位4130个，</w:t>
      </w:r>
      <w:r>
        <w:rPr>
          <w:rFonts w:hint="eastAsia" w:ascii="仿宋" w:hAnsi="仿宋" w:eastAsia="仿宋" w:cs="仿宋"/>
          <w:sz w:val="32"/>
          <w:szCs w:val="32"/>
          <w:lang w:eastAsia="zh-CN"/>
        </w:rPr>
        <w:t>全市婴幼儿照护试点机构达到</w:t>
      </w:r>
      <w:r>
        <w:rPr>
          <w:rFonts w:hint="eastAsia" w:ascii="仿宋" w:hAnsi="仿宋" w:eastAsia="仿宋" w:cs="仿宋"/>
          <w:sz w:val="32"/>
          <w:szCs w:val="32"/>
          <w:lang w:val="en-US" w:eastAsia="zh-CN"/>
        </w:rPr>
        <w:t>92个，试点托位数达到7262个，</w:t>
      </w:r>
      <w:r>
        <w:rPr>
          <w:rFonts w:hint="eastAsia" w:ascii="仿宋" w:hAnsi="仿宋" w:eastAsia="仿宋" w:cs="仿宋"/>
          <w:sz w:val="32"/>
          <w:szCs w:val="32"/>
          <w:lang w:eastAsia="zh-CN"/>
        </w:rPr>
        <w:t>实现</w:t>
      </w:r>
      <w:r>
        <w:rPr>
          <w:rFonts w:hint="eastAsia" w:ascii="仿宋" w:hAnsi="仿宋" w:eastAsia="仿宋" w:cs="仿宋"/>
          <w:sz w:val="32"/>
          <w:szCs w:val="32"/>
          <w:lang w:val="en-US" w:eastAsia="zh-CN"/>
        </w:rPr>
        <w:t>23个</w:t>
      </w:r>
      <w:r>
        <w:rPr>
          <w:rFonts w:hint="eastAsia" w:ascii="仿宋" w:hAnsi="仿宋" w:eastAsia="仿宋" w:cs="仿宋"/>
          <w:sz w:val="32"/>
          <w:szCs w:val="32"/>
          <w:lang w:eastAsia="zh-CN"/>
        </w:rPr>
        <w:t>县（市、区）试点全覆盖，提前一年超额完成省下达的</w:t>
      </w:r>
      <w:r>
        <w:rPr>
          <w:rFonts w:hint="eastAsia" w:ascii="仿宋" w:hAnsi="仿宋" w:eastAsia="仿宋" w:cs="仿宋"/>
          <w:sz w:val="32"/>
          <w:szCs w:val="32"/>
          <w:lang w:val="en-US" w:eastAsia="zh-CN"/>
        </w:rPr>
        <w:t>60%</w:t>
      </w:r>
      <w:r>
        <w:rPr>
          <w:rFonts w:hint="eastAsia" w:ascii="仿宋" w:hAnsi="仿宋" w:eastAsia="仿宋" w:cs="仿宋"/>
          <w:sz w:val="32"/>
          <w:szCs w:val="32"/>
          <w:lang w:eastAsia="zh-CN"/>
        </w:rPr>
        <w:t>覆盖率任务目标。</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完成托育机构星级评定</w:t>
      </w:r>
      <w:r>
        <w:rPr>
          <w:rFonts w:hint="eastAsia" w:ascii="仿宋" w:hAnsi="仿宋" w:eastAsia="仿宋" w:cs="仿宋"/>
          <w:sz w:val="32"/>
          <w:szCs w:val="32"/>
          <w:lang w:val="en-US" w:eastAsia="zh-CN"/>
        </w:rPr>
        <w:t>65家，其中初评认定</w:t>
      </w:r>
      <w:r>
        <w:rPr>
          <w:rFonts w:hint="eastAsia" w:ascii="仿宋" w:hAnsi="仿宋" w:eastAsia="仿宋" w:cs="仿宋"/>
          <w:sz w:val="32"/>
          <w:szCs w:val="32"/>
          <w:lang w:eastAsia="zh-CN"/>
        </w:rPr>
        <w:t>五星级</w:t>
      </w:r>
      <w:r>
        <w:rPr>
          <w:rFonts w:hint="eastAsia" w:ascii="仿宋" w:hAnsi="仿宋" w:eastAsia="仿宋" w:cs="仿宋"/>
          <w:sz w:val="32"/>
          <w:szCs w:val="32"/>
          <w:lang w:val="en-US" w:eastAsia="zh-CN"/>
        </w:rPr>
        <w:t>10</w:t>
      </w:r>
      <w:r>
        <w:rPr>
          <w:rFonts w:hint="eastAsia" w:ascii="仿宋" w:hAnsi="仿宋" w:eastAsia="仿宋" w:cs="仿宋"/>
          <w:sz w:val="32"/>
          <w:szCs w:val="32"/>
          <w:lang w:eastAsia="zh-CN"/>
        </w:rPr>
        <w:t>家，四星级</w:t>
      </w:r>
      <w:r>
        <w:rPr>
          <w:rFonts w:hint="eastAsia" w:ascii="仿宋" w:hAnsi="仿宋" w:eastAsia="仿宋" w:cs="仿宋"/>
          <w:sz w:val="32"/>
          <w:szCs w:val="32"/>
          <w:lang w:val="en-US" w:eastAsia="zh-CN"/>
        </w:rPr>
        <w:t>32</w:t>
      </w:r>
      <w:r>
        <w:rPr>
          <w:rFonts w:hint="eastAsia" w:ascii="仿宋" w:hAnsi="仿宋" w:eastAsia="仿宋" w:cs="仿宋"/>
          <w:sz w:val="32"/>
          <w:szCs w:val="32"/>
          <w:lang w:eastAsia="zh-CN"/>
        </w:rPr>
        <w:t>家，三星级及以下</w:t>
      </w:r>
      <w:r>
        <w:rPr>
          <w:rFonts w:hint="eastAsia" w:ascii="仿宋" w:hAnsi="仿宋" w:eastAsia="仿宋" w:cs="仿宋"/>
          <w:sz w:val="32"/>
          <w:szCs w:val="32"/>
          <w:lang w:val="en-US" w:eastAsia="zh-CN"/>
        </w:rPr>
        <w:t>23家</w:t>
      </w:r>
      <w:r>
        <w:rPr>
          <w:rFonts w:hint="eastAsia" w:ascii="仿宋" w:hAnsi="仿宋" w:eastAsia="仿宋" w:cs="仿宋"/>
          <w:sz w:val="32"/>
          <w:szCs w:val="32"/>
          <w:lang w:eastAsia="zh-CN"/>
        </w:rPr>
        <w:t>，全市省级试点达到</w:t>
      </w:r>
      <w:r>
        <w:rPr>
          <w:rFonts w:hint="eastAsia" w:ascii="仿宋" w:hAnsi="仿宋" w:eastAsia="仿宋" w:cs="仿宋"/>
          <w:sz w:val="32"/>
          <w:szCs w:val="32"/>
          <w:lang w:val="en-US" w:eastAsia="zh-CN"/>
        </w:rPr>
        <w:t>25个，增幅达到317%，</w:t>
      </w:r>
      <w:r>
        <w:rPr>
          <w:rFonts w:hint="eastAsia" w:ascii="仿宋" w:hAnsi="仿宋" w:eastAsia="仿宋" w:cs="仿宋"/>
          <w:sz w:val="32"/>
          <w:szCs w:val="32"/>
          <w:lang w:eastAsia="zh-CN"/>
        </w:rPr>
        <w:t>同时，</w:t>
      </w:r>
      <w:r>
        <w:rPr>
          <w:rFonts w:hint="eastAsia" w:ascii="仿宋" w:hAnsi="仿宋" w:eastAsia="仿宋" w:cs="仿宋"/>
          <w:sz w:val="32"/>
          <w:szCs w:val="32"/>
          <w:lang w:val="en-US" w:eastAsia="zh-CN"/>
        </w:rPr>
        <w:t>依托市妇幼保健院，建立了全市首个婴幼儿照护服务指导中心和实训基地，为婴幼儿家庭和托育机构提供优质可及的科学育儿指导服务。</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实行“四减、三免、两补、一服务”优惠政策，</w:t>
      </w:r>
      <w:r>
        <w:rPr>
          <w:rFonts w:hint="eastAsia" w:ascii="仿宋" w:hAnsi="仿宋" w:eastAsia="仿宋" w:cs="仿宋"/>
          <w:sz w:val="32"/>
          <w:szCs w:val="32"/>
          <w:lang w:val="en-US" w:eastAsia="zh-CN"/>
        </w:rPr>
        <w:t>为计生特殊家庭发放生活及养老补贴1371万元。</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为计生特殊家庭1337人次报销医疗费33万元。为267名特殊家庭发放一次性救助金149.5万元。</w:t>
      </w:r>
    </w:p>
    <w:p>
      <w:pPr>
        <w:widowControl w:val="0"/>
        <w:wordWrap/>
        <w:adjustRightInd w:val="0"/>
        <w:snapToGrid w:val="0"/>
        <w:spacing w:line="560" w:lineRule="exact"/>
        <w:ind w:left="0" w:leftChars="0" w:right="0" w:firstLine="640" w:firstLineChars="200"/>
        <w:textAlignment w:val="auto"/>
        <w:outlineLvl w:val="9"/>
        <w:rPr>
          <w:rFonts w:hint="eastAsia"/>
          <w:lang w:eastAsia="zh-CN"/>
        </w:rPr>
      </w:pPr>
      <w:r>
        <w:rPr>
          <w:rFonts w:hint="eastAsia" w:ascii="仿宋" w:hAnsi="仿宋" w:eastAsia="仿宋" w:cs="仿宋"/>
          <w:sz w:val="32"/>
          <w:szCs w:val="32"/>
          <w:lang w:val="en-US" w:eastAsia="zh-CN"/>
        </w:rPr>
        <w:t>积极推进医养结合工作，全市友善医疗机构达到50%，8家社区医养结合服务中心</w:t>
      </w:r>
      <w:r>
        <w:rPr>
          <w:rFonts w:hint="eastAsia" w:ascii="仿宋" w:hAnsi="仿宋" w:eastAsia="仿宋" w:cs="仿宋"/>
          <w:sz w:val="32"/>
          <w:szCs w:val="32"/>
          <w:lang w:eastAsia="zh-CN"/>
        </w:rPr>
        <w:t>挂牌运营，建成</w:t>
      </w:r>
      <w:r>
        <w:rPr>
          <w:rFonts w:hint="eastAsia" w:ascii="仿宋" w:hAnsi="仿宋" w:eastAsia="仿宋" w:cs="仿宋"/>
          <w:sz w:val="32"/>
          <w:szCs w:val="32"/>
          <w:lang w:val="en-US" w:eastAsia="zh-CN"/>
        </w:rPr>
        <w:t>5家市级医养结合机构示范机构，4家医疗机构申报省级安宁疗护试点，5个社区创建为全国示范性老年友好型社区。</w:t>
      </w:r>
    </w:p>
    <w:p>
      <w:pPr>
        <w:widowControl w:val="0"/>
        <w:wordWrap/>
        <w:adjustRightInd w:val="0"/>
        <w:snapToGrid w:val="0"/>
        <w:spacing w:line="560" w:lineRule="exact"/>
        <w:ind w:left="0" w:leftChars="0" w:right="0" w:firstLine="640" w:firstLineChars="200"/>
        <w:textAlignment w:val="auto"/>
        <w:outlineLvl w:val="9"/>
        <w:rPr>
          <w:rFonts w:hint="eastAsia" w:ascii="楷体" w:hAnsi="楷体" w:eastAsia="楷体" w:cs="楷体"/>
          <w:sz w:val="32"/>
          <w:szCs w:val="32"/>
          <w:lang w:eastAsia="zh-CN"/>
        </w:rPr>
      </w:pP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4</w:t>
      </w:r>
      <w:r>
        <w:rPr>
          <w:rFonts w:hint="eastAsia" w:ascii="楷体" w:hAnsi="楷体" w:eastAsia="楷体" w:cs="楷体"/>
          <w:sz w:val="32"/>
          <w:szCs w:val="32"/>
          <w:lang w:eastAsia="zh-CN"/>
        </w:rPr>
        <w:t>）加快推进中医药发展和服务体系建设</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坚持10件惠民实事为抓手，全力推进50个高水平国医堂建设，投入资金806.9万元，扩展了国医堂服务面积，每个国医堂平均面积达到290平方米，做到服务环境优美、国医文化特色突出。</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大力实施“一院一特色”对口帮扶，在全市选派了105名中医高级职称专家组成50个专家团队，在每个高水平国医堂建设一个首席中医专家工作室，累计下乡帮扶776人次，接诊患者5845人次。</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大力实施“西学中”人才培养，安排100万元专项经费，委托河北中医学院开展基层医师“西学中”培养，组织500名基层临床医师开展了线上教学、面授辅导、临床实践相结合的系统学习。</w:t>
      </w:r>
    </w:p>
    <w:p>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sz w:val="32"/>
          <w:szCs w:val="32"/>
        </w:rPr>
      </w:pPr>
      <w:r>
        <w:rPr>
          <w:rFonts w:hint="eastAsia" w:ascii="仿宋" w:hAnsi="仿宋" w:eastAsia="仿宋" w:cs="仿宋"/>
          <w:sz w:val="32"/>
          <w:szCs w:val="32"/>
          <w:lang w:val="en-US" w:eastAsia="zh-CN"/>
        </w:rPr>
        <w:t>大力普及推广中医适宜技术，依托市中医院等6家二级以上中医院，推广33种基层实践效果突出的中医适宜技术，培训技术骨干528人次，基层中医药服务能力大幅提升，群众中医药服务获得感持续增强。</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cs="仿宋"/>
          <w:sz w:val="32"/>
          <w:szCs w:val="32"/>
        </w:rPr>
        <w:t>根据部门整体支出绩效评价指标体系自评得分</w:t>
      </w:r>
      <w:r>
        <w:rPr>
          <w:rFonts w:hint="eastAsia" w:ascii="仿宋" w:hAnsi="仿宋" w:eastAsia="仿宋" w:cs="仿宋"/>
          <w:sz w:val="32"/>
          <w:szCs w:val="32"/>
          <w:lang w:val="en-US" w:eastAsia="zh-CN"/>
        </w:rPr>
        <w:t>95</w:t>
      </w:r>
      <w:bookmarkStart w:id="0" w:name="_GoBack"/>
      <w:bookmarkEnd w:id="0"/>
      <w:r>
        <w:rPr>
          <w:rFonts w:hint="eastAsia" w:ascii="仿宋" w:hAnsi="仿宋" w:eastAsia="仿宋" w:cs="仿宋"/>
          <w:sz w:val="32"/>
          <w:szCs w:val="32"/>
        </w:rPr>
        <w:t>分，评定等次：优</w:t>
      </w:r>
      <w:r>
        <w:rPr>
          <w:rFonts w:hint="eastAsia" w:ascii="仿宋" w:hAnsi="仿宋" w:eastAsia="仿宋" w:cs="仿宋"/>
          <w:sz w:val="32"/>
          <w:szCs w:val="32"/>
          <w:lang w:eastAsia="zh-CN"/>
        </w:rPr>
        <w:t>。</w:t>
      </w:r>
    </w:p>
    <w:p>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，给出总得分，满分100分，得出综合绩效评价等级。</w:t>
      </w:r>
      <w:r>
        <w:rPr>
          <w:rFonts w:hint="eastAsia" w:ascii="仿宋" w:hAnsi="仿宋" w:eastAsia="仿宋"/>
          <w:sz w:val="32"/>
          <w:szCs w:val="32"/>
          <w:lang w:eastAsia="zh-CN"/>
        </w:rPr>
        <w:t>部门整体支出</w:t>
      </w:r>
      <w:r>
        <w:rPr>
          <w:rFonts w:hint="eastAsia" w:ascii="仿宋" w:hAnsi="仿宋" w:eastAsia="仿宋"/>
          <w:sz w:val="32"/>
          <w:szCs w:val="32"/>
        </w:rPr>
        <w:t>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1、业务管理制度有待继续完善;</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2、项目资金使用情况的监控、检查和分析有待加强。</w:t>
      </w:r>
    </w:p>
    <w:p>
      <w:pPr>
        <w:widowControl w:val="0"/>
        <w:numPr>
          <w:ilvl w:val="0"/>
          <w:numId w:val="6"/>
        </w:numPr>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针对问题提出具体的改进措施或建议</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1、加强项目的业务管理，完善项目业务管理制度;</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2、加强财务监控，对项目资金进行事前、事中、事后的检查分析，确保项目资金安全有效运行。</w:t>
      </w:r>
    </w:p>
    <w:p>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王金海 石家庄市卫健委 副主任</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胡金石 石家庄市卫健委 财务科科长</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王彦蕊 石家庄市卫健委 财务科 二级主任科员</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杨伟娟 石家庄市卫健委 财务科 副科长</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赵一丁 石家庄市卫健委 财务科 四级主任科员</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李广兴 石家庄市卫健委 财务科 一级科员</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陈  瑜 石家庄市第四医院 财务科专家</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p>
    <w:sectPr>
      <w:footerReference r:id="rId4" w:type="default"/>
      <w:pgSz w:w="11906" w:h="16838"/>
      <w:pgMar w:top="1440" w:right="1474" w:bottom="1440" w:left="1587" w:header="851" w:footer="992" w:gutter="0"/>
      <w:pgNumType w:fmt="numberInDash"/>
      <w:cols w:space="720" w:num="1"/>
      <w:rtlGutter w:val="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Calibri">
    <w:panose1 w:val="020F0502020204030204"/>
    <w:charset w:val="00"/>
    <w:family w:val="auto"/>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Calibri Light">
    <w:panose1 w:val="020F0302020204030204"/>
    <w:charset w:val="00"/>
    <w:family w:val="auto"/>
    <w:pitch w:val="default"/>
    <w:sig w:usb0="A00002EF" w:usb1="4000207B" w:usb2="00000000" w:usb3="00000000" w:csb0="2000019F" w:csb1="00000000"/>
  </w:font>
  <w:font w:name="方正小标宋_GBK">
    <w:altName w:val="微软雅黑"/>
    <w:panose1 w:val="03000509000000000000"/>
    <w:charset w:val="86"/>
    <w:family w:val="auto"/>
    <w:pitch w:val="default"/>
    <w:sig w:usb0="00000001" w:usb1="080E0000" w:usb2="00000000" w:usb3="00000000" w:csb0="00040000" w:csb1="00000000"/>
  </w:font>
  <w:font w:name="方正书宋_GBK">
    <w:altName w:val="宋体"/>
    <w:panose1 w:val="02000000000000000000"/>
    <w:charset w:val="86"/>
    <w:family w:val="auto"/>
    <w:pitch w:val="default"/>
    <w:sig w:usb0="00000001" w:usb1="080E0000" w:usb2="00000000" w:usb3="00000000" w:csb0="00040000" w:csb1="00000000"/>
  </w:font>
  <w:font w:name="方正仿宋_GBK">
    <w:altName w:val="微软雅黑"/>
    <w:panose1 w:val="02000000000000000000"/>
    <w:charset w:val="86"/>
    <w:family w:val="auto"/>
    <w:pitch w:val="default"/>
    <w:sig w:usb0="00000001" w:usb1="080E0000" w:usb2="00000000" w:usb3="00000000" w:csb0="00040000" w:csb1="00000000"/>
  </w:font>
  <w:font w:name="方正楷体_GBK">
    <w:altName w:val="宋体"/>
    <w:panose1 w:val="02000000000000000000"/>
    <w:charset w:val="86"/>
    <w:family w:val="auto"/>
    <w:pitch w:val="default"/>
    <w:sig w:usb0="00000001" w:usb1="080E0000" w:usb2="00000000" w:usb3="00000000" w:csb0="00040000" w:csb1="00000000"/>
  </w:font>
  <w:font w:name="方正黑体_GBK">
    <w:altName w:val="宋体"/>
    <w:panose1 w:val="00000000000000000000"/>
    <w:charset w:val="86"/>
    <w:family w:val="auto"/>
    <w:pitch w:val="default"/>
    <w:sig w:usb0="00000000" w:usb1="00000000" w:usb2="00000000" w:usb3="00000000" w:csb0="00040001" w:csb1="00000000"/>
  </w:font>
  <w:font w:name="MingLiU_HKSCS">
    <w:panose1 w:val="02020500000000000000"/>
    <w:charset w:val="88"/>
    <w:family w:val="auto"/>
    <w:pitch w:val="default"/>
    <w:sig w:usb0="A00002FF" w:usb1="38CFFCFA" w:usb2="00000016" w:usb3="00000000" w:csb0="00100001" w:csb1="00000000"/>
  </w:font>
  <w:font w:name="Cambria Math">
    <w:panose1 w:val="02040503050406030204"/>
    <w:charset w:val="00"/>
    <w:family w:val="auto"/>
    <w:pitch w:val="default"/>
    <w:sig w:usb0="E00002FF" w:usb1="420024FF" w:usb2="00000000" w:usb3="00000000" w:csb0="2000019F" w:csb1="00000000"/>
  </w:font>
  <w:font w:name="新宋体">
    <w:panose1 w:val="02010609030101010101"/>
    <w:charset w:val="86"/>
    <w:family w:val="auto"/>
    <w:pitch w:val="default"/>
    <w:sig w:usb0="000000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3"/>
    </w:pPr>
    <w:r>
      <w:rPr>
        <w:rFonts w:ascii="Calibri" w:hAnsi="Calibri" w:eastAsia="宋体" w:cs="黑体"/>
        <w:kern w:val="2"/>
        <w:sz w:val="18"/>
        <w:szCs w:val="22"/>
        <w:lang w:val="en-US" w:eastAsia="zh-CN" w:bidi="ar-SA"/>
      </w:rPr>
      <w:pict>
        <v:shape id="Quad Arrow 3073" o:spid="_x0000_s1025" type="#_x0000_t202" style="position:absolute;left:0;margin-top:0pt;height:144pt;width:144pt;mso-position-horizontal:center;mso-position-horizontal-relative:margin;mso-wrap-style:none;rotation:0f;z-index:251658240;"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9">
    <w:nsid w:val="00000009"/>
    <w:multiLevelType w:val="singleLevel"/>
    <w:tmpl w:val="00000009"/>
    <w:lvl w:ilvl="0" w:tentative="1">
      <w:start w:val="1"/>
      <w:numFmt w:val="chineseCounting"/>
      <w:suff w:val="nothing"/>
      <w:lvlText w:val="（%1）"/>
      <w:lvlJc w:val="left"/>
    </w:lvl>
  </w:abstractNum>
  <w:abstractNum w:abstractNumId="10">
    <w:nsid w:val="0000000A"/>
    <w:multiLevelType w:val="singleLevel"/>
    <w:tmpl w:val="0000000A"/>
    <w:lvl w:ilvl="0" w:tentative="1">
      <w:start w:val="2"/>
      <w:numFmt w:val="chineseCounting"/>
      <w:suff w:val="nothing"/>
      <w:lvlText w:val="（%1）"/>
      <w:lvlJc w:val="left"/>
    </w:lvl>
  </w:abstractNum>
  <w:abstractNum w:abstractNumId="11">
    <w:nsid w:val="0000000B"/>
    <w:multiLevelType w:val="singleLevel"/>
    <w:tmpl w:val="0000000B"/>
    <w:lvl w:ilvl="0" w:tentative="1">
      <w:start w:val="2"/>
      <w:numFmt w:val="chineseCounting"/>
      <w:suff w:val="nothing"/>
      <w:lvlText w:val="（%1）"/>
      <w:lvlJc w:val="left"/>
    </w:lvl>
  </w:abstractNum>
  <w:abstractNum w:abstractNumId="12">
    <w:nsid w:val="0000000C"/>
    <w:multiLevelType w:val="singleLevel"/>
    <w:tmpl w:val="0000000C"/>
    <w:lvl w:ilvl="0" w:tentative="1">
      <w:start w:val="1"/>
      <w:numFmt w:val="decimal"/>
      <w:suff w:val="nothing"/>
      <w:lvlText w:val="（%1）"/>
      <w:lvlJc w:val="left"/>
    </w:lvl>
  </w:abstractNum>
  <w:abstractNum w:abstractNumId="13">
    <w:nsid w:val="0000000D"/>
    <w:multiLevelType w:val="singleLevel"/>
    <w:tmpl w:val="0000000D"/>
    <w:lvl w:ilvl="0" w:tentative="1">
      <w:start w:val="3"/>
      <w:numFmt w:val="decimal"/>
      <w:suff w:val="nothing"/>
      <w:lvlText w:val="（%1）"/>
      <w:lvlJc w:val="left"/>
    </w:lvl>
  </w:abstractNum>
  <w:abstractNum w:abstractNumId="14">
    <w:nsid w:val="0000000E"/>
    <w:multiLevelType w:val="singleLevel"/>
    <w:tmpl w:val="0000000E"/>
    <w:lvl w:ilvl="0" w:tentative="1">
      <w:start w:val="2"/>
      <w:numFmt w:val="decimal"/>
      <w:suff w:val="nothing"/>
      <w:lvlText w:val="（%1）"/>
      <w:lvlJc w:val="left"/>
    </w:lvl>
  </w:abstractNum>
  <w:num w:numId="1">
    <w:abstractNumId w:val="10"/>
  </w:num>
  <w:num w:numId="2">
    <w:abstractNumId w:val="9"/>
  </w:num>
  <w:num w:numId="3">
    <w:abstractNumId w:val="12"/>
  </w:num>
  <w:num w:numId="4">
    <w:abstractNumId w:val="14"/>
  </w:num>
  <w:num w:numId="5">
    <w:abstractNumId w:val="13"/>
  </w:num>
  <w:num w:numId="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jc w:val="both"/>
    </w:pPr>
    <w:rPr>
      <w:rFonts w:ascii="Calibri" w:hAnsi="Calibri" w:eastAsia="宋体" w:cs="黑体"/>
      <w:kern w:val="2"/>
      <w:sz w:val="21"/>
      <w:szCs w:val="22"/>
      <w:lang w:val="en-US" w:eastAsia="zh-CN" w:bidi="ar-SA"/>
    </w:rPr>
  </w:style>
  <w:style w:type="character" w:default="1" w:styleId="5">
    <w:name w:val="Default Paragraph Font"/>
  </w:style>
  <w:style w:type="paragraph" w:styleId="2">
    <w:name w:val="Body Text"/>
    <w:basedOn w:val="1"/>
    <w:pPr>
      <w:spacing w:after="120"/>
    </w:pPr>
    <w:rPr>
      <w:rFonts w:ascii="Times New Roman" w:hAnsi="Times New Roman" w:eastAsia="宋体" w:cs="Times New Roman"/>
    </w:rPr>
  </w:style>
  <w:style w:type="paragraph" w:styleId="3">
    <w:name w:val="footer"/>
    <w:basedOn w:val="1"/>
    <w:pPr>
      <w:tabs>
        <w:tab w:val="center" w:pos="4153"/>
        <w:tab w:val="right" w:pos="8306"/>
      </w:tabs>
      <w:snapToGrid w:val="0"/>
      <w:jc w:val="left"/>
    </w:pPr>
    <w:rPr>
      <w:sz w:val="18"/>
    </w:rPr>
  </w:style>
  <w:style w:type="paragraph" w:styleId="4">
    <w:name w:val="header"/>
    <w:basedOn w:val="1"/>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6">
    <w:name w:val="Hyperlink"/>
    <w:rPr>
      <w:color w:val="0000FF"/>
      <w:u w:val="single"/>
    </w:rPr>
  </w:style>
  <w:style w:type="character" w:customStyle="1" w:styleId="7">
    <w:name w:val="page number"/>
    <w:basedOn w:val="5"/>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footer" Target="footer1.xml"/><Relationship Id="rId5" Type="http://schemas.openxmlformats.org/officeDocument/2006/relationships/theme" Target="theme/theme1.xml"/><Relationship Id="rId6" Type="http://schemas.openxmlformats.org/officeDocument/2006/relationships/customXml" Target="../customXml/item1.xml"/><Relationship Id="rId7"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2020-02-05T11:46:00Z</dcterms:created>
  <dc:creator>欣欣大人</dc:creator>
  <cp:lastPrinted>2022-03-16T22:35:00Z</cp:lastPrinted>
  <dcterms:modified xsi:type="dcterms:W3CDTF">2022-03-24T14:26:28Z</dcterms:modified>
  <dc:title>user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