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eastAsia="宋体" w:cs="宋体"/>
          <w:b/>
          <w:bCs/>
          <w:color w:val="auto"/>
          <w:sz w:val="44"/>
          <w:szCs w:val="44"/>
          <w:lang w:val="en-US" w:eastAsia="zh-CN"/>
        </w:rPr>
      </w:pPr>
    </w:p>
    <w:p>
      <w:pPr>
        <w:spacing w:line="360" w:lineRule="auto"/>
        <w:jc w:val="center"/>
        <w:rPr>
          <w:rFonts w:hint="eastAsia" w:ascii="宋体" w:hAnsi="宋体" w:eastAsia="宋体" w:cs="宋体"/>
          <w:b/>
          <w:bCs/>
          <w:color w:val="auto"/>
          <w:sz w:val="44"/>
          <w:szCs w:val="44"/>
          <w:lang w:val="en-US" w:eastAsia="zh-CN"/>
        </w:rPr>
      </w:pPr>
    </w:p>
    <w:p>
      <w:pPr>
        <w:spacing w:line="360" w:lineRule="auto"/>
        <w:jc w:val="center"/>
        <w:rPr>
          <w:rFonts w:hint="eastAsia" w:ascii="宋体" w:hAnsi="宋体" w:eastAsia="宋体" w:cs="宋体"/>
          <w:b/>
          <w:bCs/>
          <w:color w:val="auto"/>
          <w:sz w:val="44"/>
          <w:szCs w:val="44"/>
          <w:lang w:val="en-US" w:eastAsia="zh-CN"/>
        </w:rPr>
      </w:pPr>
      <w:r>
        <w:rPr>
          <w:rFonts w:hint="eastAsia" w:ascii="宋体" w:hAnsi="宋体" w:eastAsia="宋体" w:cs="宋体"/>
          <w:b/>
          <w:bCs/>
          <w:color w:val="auto"/>
          <w:sz w:val="44"/>
          <w:szCs w:val="44"/>
          <w:lang w:val="en-US" w:eastAsia="zh-CN"/>
        </w:rPr>
        <w:t>石家庄市投资促进局</w:t>
      </w:r>
    </w:p>
    <w:p>
      <w:pPr>
        <w:spacing w:line="360" w:lineRule="auto"/>
        <w:jc w:val="center"/>
        <w:rPr>
          <w:rFonts w:hint="eastAsia" w:ascii="宋体" w:hAnsi="宋体" w:eastAsia="宋体" w:cs="宋体"/>
          <w:b/>
          <w:bCs/>
          <w:color w:val="auto"/>
          <w:sz w:val="44"/>
          <w:szCs w:val="44"/>
          <w:lang w:val="en-US" w:eastAsia="zh-CN"/>
        </w:rPr>
      </w:pPr>
      <w:r>
        <w:rPr>
          <w:rFonts w:hint="eastAsia" w:ascii="宋体" w:hAnsi="宋体" w:eastAsia="宋体" w:cs="宋体"/>
          <w:b/>
          <w:bCs/>
          <w:color w:val="auto"/>
          <w:sz w:val="44"/>
          <w:szCs w:val="44"/>
          <w:lang w:val="en-US" w:eastAsia="zh-CN"/>
        </w:rPr>
        <w:t>2021年度整体支出绩效自评报告</w:t>
      </w:r>
    </w:p>
    <w:p>
      <w:pPr>
        <w:spacing w:line="360" w:lineRule="auto"/>
        <w:ind w:firstLine="640" w:firstLineChars="200"/>
        <w:rPr>
          <w:rFonts w:hint="eastAsia" w:ascii="仿宋" w:hAnsi="仿宋" w:eastAsia="仿宋" w:cs="仿宋"/>
          <w:b w:val="0"/>
          <w:bCs w:val="0"/>
          <w:color w:val="auto"/>
          <w:sz w:val="32"/>
          <w:szCs w:val="32"/>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市财政局：</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_GB2312"/>
          <w:sz w:val="32"/>
          <w:szCs w:val="32"/>
        </w:rPr>
      </w:pPr>
      <w:r>
        <w:rPr>
          <w:rFonts w:hint="eastAsia" w:ascii="仿宋" w:hAnsi="仿宋" w:eastAsia="仿宋" w:cs="仿宋"/>
          <w:b w:val="0"/>
          <w:bCs w:val="0"/>
          <w:color w:val="auto"/>
          <w:sz w:val="32"/>
          <w:szCs w:val="32"/>
          <w:lang w:val="en-US" w:eastAsia="zh-CN"/>
        </w:rPr>
        <w:t>贯彻落实市委市政府《关于全面落实预算绩效管理的实施意见》（石发〔2019〕8号）文件精神，遵循“科学性、规范性、客观性和公平性”的原则，对2021年度部门项目整体支出情况实施了财政支出绩效自评价</w:t>
      </w:r>
      <w:r>
        <w:rPr>
          <w:rFonts w:hint="eastAsia" w:ascii="仿宋" w:hAnsi="仿宋" w:eastAsia="仿宋" w:cs="仿宋"/>
          <w:sz w:val="32"/>
          <w:szCs w:val="32"/>
          <w:lang w:val="en-US" w:eastAsia="zh-CN"/>
        </w:rPr>
        <w:t>。</w:t>
      </w:r>
      <w:r>
        <w:rPr>
          <w:rFonts w:hint="eastAsia" w:ascii="仿宋_GB2312" w:hAnsi="仿宋" w:eastAsia="仿宋_GB2312" w:cs="仿宋_GB2312"/>
          <w:sz w:val="32"/>
          <w:szCs w:val="32"/>
        </w:rPr>
        <w:t>现将此次绩效自评基本情况、主要经验、存在的问题和下一步工作措施等内容总结如下。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bookmarkStart w:id="0" w:name="_Toc13049"/>
      <w:bookmarkStart w:id="1" w:name="_Toc23030"/>
      <w:r>
        <w:rPr>
          <w:rFonts w:hint="eastAsia" w:ascii="黑体" w:hAnsi="黑体" w:eastAsia="黑体" w:cs="黑体"/>
          <w:sz w:val="32"/>
          <w:szCs w:val="32"/>
          <w:lang w:val="en-US" w:eastAsia="zh-CN"/>
        </w:rPr>
        <w:t>一、部门</w:t>
      </w:r>
      <w:r>
        <w:rPr>
          <w:rFonts w:hint="eastAsia" w:ascii="黑体" w:hAnsi="黑体" w:eastAsia="黑体" w:cs="黑体"/>
          <w:sz w:val="32"/>
          <w:szCs w:val="32"/>
        </w:rPr>
        <w:t>基本情况</w:t>
      </w:r>
      <w:bookmarkEnd w:id="0"/>
      <w:bookmarkEnd w:id="1"/>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0"/>
        <w:rPr>
          <w:rFonts w:hint="eastAsia" w:ascii="楷体" w:hAnsi="楷体" w:eastAsia="楷体" w:cs="楷体"/>
          <w:b w:val="0"/>
          <w:bCs w:val="0"/>
          <w:sz w:val="32"/>
          <w:szCs w:val="32"/>
        </w:rPr>
      </w:pPr>
      <w:bookmarkStart w:id="2" w:name="_Toc13907"/>
      <w:r>
        <w:rPr>
          <w:rFonts w:hint="eastAsia" w:ascii="楷体" w:hAnsi="楷体" w:eastAsia="楷体" w:cs="楷体"/>
          <w:b w:val="0"/>
          <w:bCs w:val="0"/>
          <w:sz w:val="32"/>
          <w:szCs w:val="32"/>
        </w:rPr>
        <w:t>（一）</w:t>
      </w:r>
      <w:r>
        <w:rPr>
          <w:rFonts w:hint="eastAsia" w:ascii="楷体" w:hAnsi="楷体" w:eastAsia="楷体" w:cs="楷体"/>
          <w:b w:val="0"/>
          <w:bCs w:val="0"/>
          <w:sz w:val="32"/>
          <w:szCs w:val="32"/>
          <w:lang w:val="en-US" w:eastAsia="zh-CN"/>
        </w:rPr>
        <w:t>部门</w:t>
      </w:r>
      <w:r>
        <w:rPr>
          <w:rFonts w:hint="eastAsia" w:ascii="楷体" w:hAnsi="楷体" w:eastAsia="楷体" w:cs="楷体"/>
          <w:b w:val="0"/>
          <w:bCs w:val="0"/>
          <w:sz w:val="32"/>
          <w:szCs w:val="32"/>
        </w:rPr>
        <w:t>概况</w:t>
      </w:r>
      <w:bookmarkEnd w:id="2"/>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outlineLvl w:val="1"/>
        <w:rPr>
          <w:rFonts w:hint="default" w:ascii="仿宋" w:hAnsi="仿宋" w:eastAsia="仿宋" w:cs="仿宋"/>
          <w:b/>
          <w:bCs/>
          <w:sz w:val="32"/>
          <w:szCs w:val="32"/>
          <w:lang w:val="en-US" w:eastAsia="zh-CN"/>
        </w:rPr>
      </w:pPr>
      <w:bookmarkStart w:id="3" w:name="_Toc3518"/>
      <w:bookmarkStart w:id="4" w:name="_Toc3525"/>
      <w:r>
        <w:rPr>
          <w:rFonts w:hint="eastAsia" w:ascii="仿宋" w:hAnsi="仿宋" w:eastAsia="仿宋" w:cs="仿宋"/>
          <w:b/>
          <w:bCs/>
          <w:sz w:val="32"/>
          <w:szCs w:val="32"/>
        </w:rPr>
        <w:t>1.</w:t>
      </w:r>
      <w:bookmarkEnd w:id="3"/>
      <w:bookmarkEnd w:id="4"/>
      <w:r>
        <w:rPr>
          <w:rFonts w:hint="eastAsia" w:ascii="仿宋" w:hAnsi="仿宋" w:eastAsia="仿宋" w:cs="仿宋"/>
          <w:b/>
          <w:bCs/>
          <w:sz w:val="32"/>
          <w:szCs w:val="32"/>
          <w:lang w:val="en-US" w:eastAsia="zh-CN"/>
        </w:rPr>
        <w:t>部门职能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1"/>
        <w:rPr>
          <w:rFonts w:hint="eastAsia" w:ascii="仿宋" w:hAnsi="仿宋" w:eastAsia="仿宋" w:cs="仿宋"/>
          <w:sz w:val="32"/>
          <w:szCs w:val="32"/>
        </w:rPr>
      </w:pPr>
      <w:r>
        <w:rPr>
          <w:rFonts w:hint="eastAsia" w:ascii="仿宋" w:hAnsi="仿宋" w:eastAsia="仿宋" w:cs="仿宋"/>
          <w:sz w:val="32"/>
          <w:szCs w:val="32"/>
        </w:rPr>
        <w:t>石家庄市投资促进局为市政府工作部门，主要负责全市区域协作、招商引资、利用内外资、经济技术合作、开发区管理</w:t>
      </w:r>
      <w:r>
        <w:rPr>
          <w:rFonts w:hint="eastAsia" w:ascii="仿宋" w:hAnsi="仿宋" w:eastAsia="仿宋" w:cs="仿宋"/>
          <w:sz w:val="32"/>
          <w:szCs w:val="32"/>
          <w:lang w:val="en-US" w:eastAsia="zh-CN"/>
        </w:rPr>
        <w:t>中长期发展规划</w:t>
      </w:r>
      <w:r>
        <w:rPr>
          <w:rFonts w:hint="eastAsia" w:ascii="仿宋" w:hAnsi="仿宋" w:eastAsia="仿宋" w:cs="仿宋"/>
          <w:sz w:val="32"/>
          <w:szCs w:val="32"/>
        </w:rPr>
        <w:t>，拟定全市投资促进政策、法规、战略，进行全市投资环境营销和宣传推广，</w:t>
      </w:r>
      <w:r>
        <w:rPr>
          <w:rFonts w:hint="eastAsia" w:ascii="仿宋" w:hAnsi="仿宋" w:eastAsia="仿宋" w:cs="仿宋"/>
          <w:sz w:val="32"/>
          <w:szCs w:val="32"/>
          <w:lang w:val="en-US" w:eastAsia="zh-CN"/>
        </w:rPr>
        <w:t>促进资金、技术、人才、项目引进和产业对接，</w:t>
      </w:r>
      <w:r>
        <w:rPr>
          <w:rFonts w:hint="eastAsia" w:ascii="仿宋" w:hAnsi="仿宋" w:eastAsia="仿宋" w:cs="仿宋"/>
          <w:sz w:val="32"/>
          <w:szCs w:val="32"/>
        </w:rPr>
        <w:t>经济开发区（园区）管理工作</w:t>
      </w:r>
      <w:r>
        <w:rPr>
          <w:rFonts w:hint="eastAsia" w:ascii="仿宋" w:hAnsi="仿宋" w:eastAsia="仿宋" w:cs="仿宋"/>
          <w:sz w:val="32"/>
          <w:szCs w:val="32"/>
          <w:lang w:eastAsia="zh-CN"/>
        </w:rPr>
        <w:t>，</w:t>
      </w:r>
      <w:r>
        <w:rPr>
          <w:rFonts w:hint="eastAsia" w:ascii="仿宋" w:hAnsi="仿宋" w:eastAsia="仿宋" w:cs="仿宋"/>
          <w:sz w:val="32"/>
          <w:szCs w:val="32"/>
        </w:rPr>
        <w:t>组织开展招商引资、招才引智等活动，谋划招商项目，组织合作对接，促进项目落地，服务全市经济发展。</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outlineLvl w:val="1"/>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2.组织机构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1"/>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中共石家庄市委办公厅、石家庄市人民政府《关于印发&lt;石家庄市投资促进局职能配置、内设机构和人员编制规定&gt;的通知》（石办字〔2019〕14号），石家庄市投资促进局（简称市投促局）为市政府工作部门，机构规格正县级。</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outlineLvl w:val="1"/>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3.人员情况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1"/>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目前，我局年末实有人员54名，其中在职行政人员44名，在职工勤人员2名，退休人员8名。较去年在职人员减少2人，调入1人，退休人员无变化，其中：调入正县级1人，调出科级以下2人。</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outlineLvl w:val="1"/>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4.资产情况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1"/>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本年度，我局资产总计275.93万元，较年初增加177.14万元，变动的主要原因为其他对个人家庭生活补助暂未发放。其中固定资产原值141.73万元，较年初增加21.65万元，增加了18.03%，变动的主要原因为根据文件通知要求进行安可设备替代工程及办公设备购置。</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0"/>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（二）收支预决算情况</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b/>
          <w:bCs/>
          <w:sz w:val="32"/>
          <w:szCs w:val="32"/>
          <w:lang w:val="en-US" w:eastAsia="zh-CN"/>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2</w:t>
      </w:r>
      <w:r>
        <w:rPr>
          <w:rFonts w:hint="eastAsia" w:ascii="仿宋_GB2312" w:hAnsi="仿宋" w:eastAsia="仿宋_GB2312"/>
          <w:sz w:val="32"/>
          <w:szCs w:val="32"/>
        </w:rPr>
        <w:t>年，我局对202</w:t>
      </w:r>
      <w:r>
        <w:rPr>
          <w:rFonts w:hint="eastAsia" w:ascii="仿宋_GB2312" w:hAnsi="仿宋" w:eastAsia="仿宋_GB2312"/>
          <w:sz w:val="32"/>
          <w:szCs w:val="32"/>
          <w:lang w:val="en-US" w:eastAsia="zh-CN"/>
        </w:rPr>
        <w:t>1</w:t>
      </w:r>
      <w:r>
        <w:rPr>
          <w:rFonts w:hint="eastAsia" w:ascii="仿宋_GB2312" w:hAnsi="仿宋" w:eastAsia="仿宋_GB2312"/>
          <w:sz w:val="32"/>
          <w:szCs w:val="32"/>
        </w:rPr>
        <w:t>年度部门项目支出实施了绩效评价，评价项目共</w:t>
      </w:r>
      <w:r>
        <w:rPr>
          <w:rFonts w:hint="eastAsia" w:ascii="仿宋_GB2312" w:hAnsi="仿宋" w:eastAsia="仿宋_GB2312"/>
          <w:sz w:val="32"/>
          <w:szCs w:val="32"/>
          <w:lang w:val="en-US" w:eastAsia="zh-CN"/>
        </w:rPr>
        <w:t>8</w:t>
      </w:r>
      <w:r>
        <w:rPr>
          <w:rFonts w:hint="eastAsia" w:ascii="仿宋_GB2312" w:hAnsi="仿宋" w:eastAsia="仿宋_GB2312"/>
          <w:sz w:val="32"/>
          <w:szCs w:val="32"/>
        </w:rPr>
        <w:t>个，占部门项目总数的</w:t>
      </w:r>
      <w:r>
        <w:rPr>
          <w:rFonts w:hint="eastAsia" w:ascii="仿宋_GB2312" w:hAnsi="仿宋" w:eastAsia="仿宋_GB2312"/>
          <w:sz w:val="32"/>
          <w:szCs w:val="32"/>
          <w:lang w:val="en-US" w:eastAsia="zh-CN"/>
        </w:rPr>
        <w:t>100</w:t>
      </w:r>
      <w:r>
        <w:rPr>
          <w:rFonts w:hint="eastAsia" w:ascii="仿宋_GB2312" w:hAnsi="仿宋" w:eastAsia="仿宋_GB2312"/>
          <w:sz w:val="32"/>
          <w:szCs w:val="32"/>
        </w:rPr>
        <w:t>%，涉及金额</w:t>
      </w:r>
      <w:r>
        <w:rPr>
          <w:rFonts w:hint="eastAsia" w:ascii="仿宋_GB2312" w:hAnsi="仿宋" w:eastAsia="仿宋_GB2312"/>
          <w:sz w:val="32"/>
          <w:szCs w:val="32"/>
          <w:lang w:val="en-US" w:eastAsia="zh-CN"/>
        </w:rPr>
        <w:t>957.1万元，主要为：招商活动经费</w:t>
      </w:r>
      <w:r>
        <w:rPr>
          <w:rFonts w:hint="default" w:ascii="仿宋_GB2312" w:hAnsi="仿宋" w:eastAsia="仿宋_GB2312"/>
          <w:sz w:val="32"/>
          <w:szCs w:val="32"/>
          <w:lang w:val="en-US" w:eastAsia="zh-CN"/>
        </w:rPr>
        <w:t>774</w:t>
      </w:r>
      <w:r>
        <w:rPr>
          <w:rFonts w:hint="eastAsia" w:ascii="仿宋_GB2312" w:hAnsi="仿宋" w:eastAsia="仿宋_GB2312"/>
          <w:sz w:val="32"/>
          <w:szCs w:val="32"/>
          <w:lang w:val="en-US" w:eastAsia="zh-CN"/>
        </w:rPr>
        <w:t>万元；开发区管理经费</w:t>
      </w:r>
      <w:r>
        <w:rPr>
          <w:rFonts w:hint="default" w:ascii="仿宋_GB2312" w:hAnsi="仿宋" w:eastAsia="仿宋_GB2312"/>
          <w:sz w:val="32"/>
          <w:szCs w:val="32"/>
          <w:lang w:val="en-US" w:eastAsia="zh-CN"/>
        </w:rPr>
        <w:t>30</w:t>
      </w:r>
      <w:r>
        <w:rPr>
          <w:rFonts w:hint="eastAsia" w:ascii="仿宋_GB2312" w:hAnsi="仿宋" w:eastAsia="仿宋_GB2312"/>
          <w:sz w:val="32"/>
          <w:szCs w:val="32"/>
          <w:lang w:val="en-US" w:eastAsia="zh-CN"/>
        </w:rPr>
        <w:t>万元；办公设备购置</w:t>
      </w:r>
      <w:r>
        <w:rPr>
          <w:rFonts w:hint="default" w:ascii="仿宋_GB2312" w:hAnsi="仿宋" w:eastAsia="仿宋_GB2312"/>
          <w:sz w:val="32"/>
          <w:szCs w:val="32"/>
          <w:lang w:val="en-US" w:eastAsia="zh-CN"/>
        </w:rPr>
        <w:t>23</w:t>
      </w:r>
      <w:r>
        <w:rPr>
          <w:rFonts w:hint="eastAsia" w:ascii="仿宋_GB2312" w:hAnsi="仿宋" w:eastAsia="仿宋_GB2312"/>
          <w:sz w:val="32"/>
          <w:szCs w:val="32"/>
          <w:lang w:val="en-US" w:eastAsia="zh-CN"/>
        </w:rPr>
        <w:t>万元；信息化项目运行维护</w:t>
      </w:r>
      <w:r>
        <w:rPr>
          <w:rFonts w:hint="default" w:ascii="仿宋_GB2312" w:hAnsi="仿宋" w:eastAsia="仿宋_GB2312"/>
          <w:sz w:val="32"/>
          <w:szCs w:val="32"/>
          <w:lang w:val="en-US" w:eastAsia="zh-CN"/>
        </w:rPr>
        <w:t>94</w:t>
      </w:r>
      <w:r>
        <w:rPr>
          <w:rFonts w:hint="eastAsia" w:ascii="仿宋_GB2312" w:hAnsi="仿宋" w:eastAsia="仿宋_GB2312"/>
          <w:sz w:val="32"/>
          <w:szCs w:val="32"/>
          <w:lang w:val="en-US" w:eastAsia="zh-CN"/>
        </w:rPr>
        <w:t>万元；业务培训费</w:t>
      </w:r>
      <w:r>
        <w:rPr>
          <w:rFonts w:hint="default" w:ascii="仿宋_GB2312" w:hAnsi="仿宋" w:eastAsia="仿宋_GB2312"/>
          <w:sz w:val="32"/>
          <w:szCs w:val="32"/>
          <w:lang w:val="en-US" w:eastAsia="zh-CN"/>
        </w:rPr>
        <w:t>18</w:t>
      </w:r>
      <w:r>
        <w:rPr>
          <w:rFonts w:hint="eastAsia" w:ascii="仿宋_GB2312" w:hAnsi="仿宋" w:eastAsia="仿宋_GB2312"/>
          <w:sz w:val="32"/>
          <w:szCs w:val="32"/>
          <w:lang w:val="en-US" w:eastAsia="zh-CN"/>
        </w:rPr>
        <w:t>万元；党组织活动经费</w:t>
      </w:r>
      <w:r>
        <w:rPr>
          <w:rFonts w:hint="default" w:ascii="仿宋_GB2312" w:hAnsi="仿宋" w:eastAsia="仿宋_GB2312"/>
          <w:sz w:val="32"/>
          <w:szCs w:val="32"/>
          <w:lang w:val="en-US" w:eastAsia="zh-CN"/>
        </w:rPr>
        <w:t>3.6</w:t>
      </w:r>
      <w:r>
        <w:rPr>
          <w:rFonts w:hint="eastAsia" w:ascii="仿宋_GB2312" w:hAnsi="仿宋" w:eastAsia="仿宋_GB2312"/>
          <w:sz w:val="32"/>
          <w:szCs w:val="32"/>
          <w:lang w:val="en-US" w:eastAsia="zh-CN"/>
        </w:rPr>
        <w:t>万元；文件资料印刷</w:t>
      </w:r>
      <w:r>
        <w:rPr>
          <w:rFonts w:hint="default" w:ascii="仿宋_GB2312" w:hAnsi="仿宋" w:eastAsia="仿宋_GB2312"/>
          <w:sz w:val="32"/>
          <w:szCs w:val="32"/>
          <w:lang w:val="en-US" w:eastAsia="zh-CN"/>
        </w:rPr>
        <w:t>8</w:t>
      </w:r>
      <w:r>
        <w:rPr>
          <w:rFonts w:hint="eastAsia" w:ascii="仿宋_GB2312" w:hAnsi="仿宋" w:eastAsia="仿宋_GB2312"/>
          <w:sz w:val="32"/>
          <w:szCs w:val="32"/>
          <w:lang w:val="en-US" w:eastAsia="zh-CN"/>
        </w:rPr>
        <w:t>万元；业务咨询委托费</w:t>
      </w:r>
      <w:r>
        <w:rPr>
          <w:rFonts w:hint="default" w:ascii="仿宋_GB2312" w:hAnsi="仿宋" w:eastAsia="仿宋_GB2312"/>
          <w:sz w:val="32"/>
          <w:szCs w:val="32"/>
          <w:lang w:val="en-US" w:eastAsia="zh-CN"/>
        </w:rPr>
        <w:t>6.5</w:t>
      </w:r>
      <w:r>
        <w:rPr>
          <w:rFonts w:hint="eastAsia" w:ascii="仿宋_GB2312" w:hAnsi="仿宋" w:eastAsia="仿宋_GB2312"/>
          <w:sz w:val="32"/>
          <w:szCs w:val="32"/>
          <w:lang w:val="en-US" w:eastAsia="zh-CN"/>
        </w:rPr>
        <w:t>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三</w:t>
      </w:r>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整体支出绩效目标、指标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2021年度总体绩效目标为：</w:t>
      </w:r>
      <w:r>
        <w:rPr>
          <w:rFonts w:hint="eastAsia" w:ascii="仿宋_GB2312" w:hAnsi="仿宋" w:eastAsia="仿宋_GB2312" w:cs="Times New Roman"/>
          <w:sz w:val="32"/>
          <w:szCs w:val="32"/>
          <w:lang w:val="en-US" w:eastAsia="zh-CN"/>
        </w:rPr>
        <w:t>坚持以习近平新时代中国特色社会主义思想为指导，深入学习贯彻党的十九大和十九届二中、三中、四中、五中全会精神，坚持把政治建设摆在首位，增强“四个意识”，坚定“四个自信”，做到“两个维护”，认真贯彻落实中央、省、市决策部署，坚持以新发展理念引领高质量发展，按照建设“现代省会、经济强市”和构建“</w:t>
      </w:r>
      <w:r>
        <w:rPr>
          <w:rFonts w:hint="default" w:ascii="仿宋_GB2312" w:hAnsi="仿宋" w:eastAsia="仿宋_GB2312" w:cs="Times New Roman"/>
          <w:sz w:val="32"/>
          <w:szCs w:val="32"/>
          <w:lang w:val="en-US" w:eastAsia="zh-CN"/>
        </w:rPr>
        <w:t>4+4</w:t>
      </w:r>
      <w:r>
        <w:rPr>
          <w:rFonts w:hint="eastAsia" w:ascii="仿宋_GB2312" w:hAnsi="仿宋" w:eastAsia="仿宋_GB2312" w:cs="Times New Roman"/>
          <w:sz w:val="32"/>
          <w:szCs w:val="32"/>
          <w:lang w:val="en-US" w:eastAsia="zh-CN"/>
        </w:rPr>
        <w:t>”现代产业发展格局的总体要求，紧紧围绕招商引资、开发区管理等核心职能，制定规划政策，创新体制机制，搭建服务平台，推动高质量发展和高水平对外开放，全年实际利用外资规模同比增长</w:t>
      </w:r>
      <w:r>
        <w:rPr>
          <w:rFonts w:hint="default" w:ascii="仿宋_GB2312" w:hAnsi="仿宋" w:eastAsia="仿宋_GB2312" w:cs="Times New Roman"/>
          <w:sz w:val="32"/>
          <w:szCs w:val="32"/>
          <w:lang w:val="en-US" w:eastAsia="zh-CN"/>
        </w:rPr>
        <w:t>5%</w:t>
      </w:r>
      <w:r>
        <w:rPr>
          <w:rFonts w:hint="eastAsia" w:ascii="仿宋_GB2312" w:hAnsi="仿宋" w:eastAsia="仿宋_GB2312" w:cs="Times New Roman"/>
          <w:sz w:val="32"/>
          <w:szCs w:val="32"/>
          <w:lang w:val="en-US" w:eastAsia="zh-CN"/>
        </w:rPr>
        <w:t>，引进省外资金不低于</w:t>
      </w:r>
      <w:r>
        <w:rPr>
          <w:rFonts w:hint="default" w:ascii="仿宋_GB2312" w:hAnsi="仿宋" w:eastAsia="仿宋_GB2312" w:cs="Times New Roman"/>
          <w:sz w:val="32"/>
          <w:szCs w:val="32"/>
          <w:lang w:val="en-US" w:eastAsia="zh-CN"/>
        </w:rPr>
        <w:t>1275</w:t>
      </w:r>
      <w:r>
        <w:rPr>
          <w:rFonts w:hint="eastAsia" w:ascii="仿宋_GB2312" w:hAnsi="仿宋" w:eastAsia="仿宋_GB2312" w:cs="Times New Roman"/>
          <w:sz w:val="32"/>
          <w:szCs w:val="32"/>
          <w:lang w:val="en-US" w:eastAsia="zh-CN"/>
        </w:rPr>
        <w:t>亿元，全市签约重点招商引资项目</w:t>
      </w:r>
      <w:r>
        <w:rPr>
          <w:rFonts w:hint="default" w:ascii="仿宋_GB2312" w:hAnsi="仿宋" w:eastAsia="仿宋_GB2312" w:cs="Times New Roman"/>
          <w:sz w:val="32"/>
          <w:szCs w:val="32"/>
          <w:lang w:val="en-US" w:eastAsia="zh-CN"/>
        </w:rPr>
        <w:t>200</w:t>
      </w:r>
      <w:r>
        <w:rPr>
          <w:rFonts w:hint="eastAsia" w:ascii="仿宋_GB2312" w:hAnsi="仿宋" w:eastAsia="仿宋_GB2312" w:cs="Times New Roman"/>
          <w:sz w:val="32"/>
          <w:szCs w:val="32"/>
          <w:lang w:val="en-US" w:eastAsia="zh-CN"/>
        </w:rPr>
        <w:t>个，计划总投资</w:t>
      </w:r>
      <w:r>
        <w:rPr>
          <w:rFonts w:hint="default" w:ascii="仿宋_GB2312" w:hAnsi="仿宋" w:eastAsia="仿宋_GB2312" w:cs="Times New Roman"/>
          <w:sz w:val="32"/>
          <w:szCs w:val="32"/>
          <w:lang w:val="en-US" w:eastAsia="zh-CN"/>
        </w:rPr>
        <w:t>1850</w:t>
      </w:r>
      <w:r>
        <w:rPr>
          <w:rFonts w:hint="eastAsia" w:ascii="仿宋_GB2312" w:hAnsi="仿宋" w:eastAsia="仿宋_GB2312" w:cs="Times New Roman"/>
          <w:sz w:val="32"/>
          <w:szCs w:val="32"/>
          <w:lang w:val="en-US" w:eastAsia="zh-CN"/>
        </w:rPr>
        <w:t>亿元。开发区营业业务收入同比增长</w:t>
      </w:r>
      <w:r>
        <w:rPr>
          <w:rFonts w:hint="default" w:ascii="仿宋_GB2312" w:hAnsi="仿宋" w:eastAsia="仿宋_GB2312" w:cs="Times New Roman"/>
          <w:sz w:val="32"/>
          <w:szCs w:val="32"/>
          <w:lang w:val="en-US" w:eastAsia="zh-CN"/>
        </w:rPr>
        <w:t>8%</w:t>
      </w:r>
      <w:r>
        <w:rPr>
          <w:rFonts w:hint="eastAsia" w:ascii="仿宋_GB2312" w:hAnsi="仿宋" w:eastAsia="仿宋_GB2312" w:cs="Times New Roman"/>
          <w:sz w:val="32"/>
          <w:szCs w:val="32"/>
          <w:lang w:val="en-US" w:eastAsia="zh-CN"/>
        </w:rPr>
        <w:t>，为构建“</w:t>
      </w:r>
      <w:r>
        <w:rPr>
          <w:rFonts w:hint="default" w:ascii="仿宋_GB2312" w:hAnsi="仿宋" w:eastAsia="仿宋_GB2312" w:cs="Times New Roman"/>
          <w:sz w:val="32"/>
          <w:szCs w:val="32"/>
          <w:lang w:val="en-US" w:eastAsia="zh-CN"/>
        </w:rPr>
        <w:t>4+4</w:t>
      </w:r>
      <w:r>
        <w:rPr>
          <w:rFonts w:hint="eastAsia" w:ascii="仿宋_GB2312" w:hAnsi="仿宋" w:eastAsia="仿宋_GB2312" w:cs="Times New Roman"/>
          <w:sz w:val="32"/>
          <w:szCs w:val="32"/>
          <w:lang w:val="en-US" w:eastAsia="zh-CN"/>
        </w:rPr>
        <w:t>”现代产业格局，建设现代省会、经济强市提供有力支撑。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二、自评工作开展情况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（一）自评的组织工作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sz w:val="32"/>
          <w:szCs w:val="32"/>
          <w:lang w:val="en-US" w:eastAsia="zh-CN"/>
        </w:rPr>
      </w:pPr>
      <w:bookmarkStart w:id="5" w:name="_Toc11705"/>
      <w:r>
        <w:rPr>
          <w:rFonts w:hint="eastAsia" w:ascii="仿宋" w:hAnsi="仿宋" w:eastAsia="仿宋" w:cs="仿宋"/>
          <w:b/>
          <w:bCs/>
          <w:sz w:val="32"/>
          <w:szCs w:val="32"/>
          <w:lang w:val="en-US" w:eastAsia="zh-CN"/>
        </w:rPr>
        <w:t>1.前期准备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一是按照绩效评价工作要求，明确绩效评价的内容和范围，初步制定绩效评价工作方案。二是对我局各预算项目单独进行打分自评，在资料搜集、信息核实、现场调研、访谈沟通等工作的基础上，收集绩效数据，拟定项目产出、项目执行、项目效益等指标体系，准确地计量和评判各项目实施后产生的经济效益、社会效益和可持续影响，最终形成评价结论。各项目自评工作为实施全局年度绩效评价工作奠定了基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2.组织实施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办公室对我局年度绩效的相关资料进行收集、梳理。一是通过对项目资料分析、核实，确保所收集数据、资料的真实、可靠。二是逐一梳理各项目文件内容，形成资料清单，并对存在的问题及时进行标注。三是与项目负责人沟通，直接对照资料清单进行核实，随时处理标注的问题，确保资料能准确反映项目绩效目标实现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3.撰写自评工作报告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办公室在对收集到的项目数据、资料进行核对、比较、计算的基础上，对比年初项目绩效目标，形成评价结论；根据结论，撰写项目绩效自评表及重点项目绩效评价报告，并提交领导小组审定。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（二）评价的方法和过程</w:t>
      </w:r>
      <w:bookmarkEnd w:id="5"/>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0"/>
        <w:rPr>
          <w:rFonts w:hint="eastAsia" w:ascii="仿宋" w:hAnsi="仿宋" w:eastAsia="仿宋" w:cs="仿宋"/>
          <w:sz w:val="32"/>
          <w:szCs w:val="32"/>
        </w:rPr>
      </w:pPr>
      <w:bookmarkStart w:id="6" w:name="_Toc21601"/>
      <w:r>
        <w:rPr>
          <w:rFonts w:hint="eastAsia" w:ascii="仿宋" w:hAnsi="仿宋" w:eastAsia="仿宋" w:cs="仿宋"/>
          <w:sz w:val="32"/>
          <w:szCs w:val="32"/>
          <w:lang w:val="en-US" w:eastAsia="zh-CN"/>
        </w:rPr>
        <w:t>本次</w:t>
      </w:r>
      <w:r>
        <w:rPr>
          <w:rFonts w:hint="eastAsia" w:ascii="仿宋" w:hAnsi="仿宋" w:eastAsia="仿宋" w:cs="仿宋"/>
          <w:sz w:val="32"/>
          <w:szCs w:val="32"/>
        </w:rPr>
        <w:t>绩效评价工作组本着科学规范、公开公正、绩效相关的原则，根据所承担的评价项目特点，采用全面评价和重点评价相结合的方式，运用最低成本法、比较法等分析方法，对</w:t>
      </w:r>
      <w:r>
        <w:rPr>
          <w:rFonts w:hint="eastAsia" w:ascii="仿宋" w:hAnsi="仿宋" w:eastAsia="仿宋" w:cs="仿宋"/>
          <w:sz w:val="32"/>
          <w:szCs w:val="28"/>
        </w:rPr>
        <w:t>预算执行</w:t>
      </w:r>
      <w:r>
        <w:rPr>
          <w:rFonts w:hint="eastAsia" w:ascii="仿宋" w:hAnsi="仿宋" w:eastAsia="仿宋" w:cs="仿宋"/>
          <w:sz w:val="32"/>
          <w:szCs w:val="28"/>
          <w:lang w:val="en-US" w:eastAsia="zh-CN"/>
        </w:rPr>
        <w:t>率</w:t>
      </w:r>
      <w:r>
        <w:rPr>
          <w:rFonts w:hint="eastAsia" w:ascii="仿宋" w:hAnsi="仿宋" w:eastAsia="仿宋" w:cs="仿宋"/>
          <w:sz w:val="32"/>
          <w:szCs w:val="28"/>
        </w:rPr>
        <w:t>指标</w:t>
      </w:r>
      <w:r>
        <w:rPr>
          <w:rFonts w:hint="eastAsia" w:ascii="仿宋" w:hAnsi="仿宋" w:eastAsia="仿宋" w:cs="仿宋"/>
          <w:sz w:val="32"/>
          <w:szCs w:val="32"/>
        </w:rPr>
        <w:t>、产出指标、效益指标、满意度等开展绩效评价工作。</w:t>
      </w:r>
      <w:bookmarkEnd w:id="6"/>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三、整体支出绩效目标实现情况及指标分析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（一）总体绩效目标实现情况</w:t>
      </w:r>
    </w:p>
    <w:p>
      <w:pPr>
        <w:keepNext w:val="0"/>
        <w:keepLines w:val="0"/>
        <w:pageBreakBefore w:val="0"/>
        <w:kinsoku/>
        <w:wordWrap/>
        <w:overflowPunct/>
        <w:topLinePunct w:val="0"/>
        <w:autoSpaceDE/>
        <w:autoSpaceDN/>
        <w:bidi w:val="0"/>
        <w:adjustRightInd/>
        <w:snapToGrid/>
        <w:spacing w:line="560" w:lineRule="exact"/>
        <w:ind w:firstLine="614" w:firstLineChars="192"/>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我局2021年度项目预算安排收入支出957.1万元。实际支出581.384万元，预算执行率为60.74%，包含8个项目，其中重点项目1个，为招商</w:t>
      </w:r>
      <w:r>
        <w:rPr>
          <w:rFonts w:hint="eastAsia" w:ascii="仿宋_GB2312" w:hAnsi="仿宋" w:eastAsia="仿宋_GB2312" w:cs="Times New Roman"/>
          <w:sz w:val="32"/>
          <w:szCs w:val="32"/>
          <w:lang w:val="en-US" w:eastAsia="zh-CN"/>
        </w:rPr>
        <w:t>活动</w:t>
      </w:r>
      <w:r>
        <w:rPr>
          <w:rFonts w:hint="eastAsia" w:ascii="仿宋_GB2312" w:hAnsi="仿宋" w:eastAsia="仿宋_GB2312"/>
          <w:sz w:val="32"/>
          <w:szCs w:val="32"/>
          <w:lang w:val="en-US" w:eastAsia="zh-CN"/>
        </w:rPr>
        <w:t>经费项目。</w:t>
      </w:r>
    </w:p>
    <w:p>
      <w:pPr>
        <w:spacing w:line="360" w:lineRule="auto"/>
        <w:ind w:firstLine="614" w:firstLineChars="192"/>
        <w:rPr>
          <w:rFonts w:hint="default" w:ascii="仿宋_GB2312" w:hAnsi="仿宋" w:eastAsia="仿宋_GB2312"/>
          <w:sz w:val="32"/>
          <w:szCs w:val="32"/>
          <w:lang w:val="en-US" w:eastAsia="zh-CN"/>
        </w:rPr>
      </w:pPr>
      <w:r>
        <w:rPr>
          <w:rFonts w:hint="eastAsia" w:ascii="仿宋_GB2312" w:hAnsi="仿宋" w:eastAsia="仿宋_GB2312"/>
          <w:sz w:val="32"/>
          <w:szCs w:val="32"/>
        </w:rPr>
        <w:t>具体项目绩效评价结果详见下表：</w:t>
      </w:r>
    </w:p>
    <w:p>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center"/>
        <w:textAlignment w:val="auto"/>
        <w:rPr>
          <w:rFonts w:hint="eastAsia" w:ascii="仿宋_GB2312" w:hAnsi="仿宋" w:eastAsia="仿宋_GB2312" w:cs="宋体"/>
          <w:b/>
          <w:bCs/>
          <w:kern w:val="0"/>
          <w:sz w:val="28"/>
          <w:szCs w:val="28"/>
        </w:rPr>
      </w:pPr>
      <w:r>
        <w:rPr>
          <w:rFonts w:hint="eastAsia" w:ascii="仿宋_GB2312" w:hAnsi="仿宋" w:eastAsia="仿宋_GB2312" w:cs="宋体"/>
          <w:b/>
          <w:bCs/>
          <w:kern w:val="0"/>
          <w:sz w:val="28"/>
          <w:szCs w:val="28"/>
        </w:rPr>
        <w:t>202</w:t>
      </w:r>
      <w:r>
        <w:rPr>
          <w:rFonts w:hint="eastAsia" w:ascii="仿宋_GB2312" w:hAnsi="仿宋" w:eastAsia="仿宋_GB2312" w:cs="宋体"/>
          <w:b/>
          <w:bCs/>
          <w:kern w:val="0"/>
          <w:sz w:val="28"/>
          <w:szCs w:val="28"/>
          <w:lang w:val="en-US" w:eastAsia="zh-CN"/>
        </w:rPr>
        <w:t>1</w:t>
      </w:r>
      <w:r>
        <w:rPr>
          <w:rFonts w:hint="eastAsia" w:ascii="仿宋_GB2312" w:hAnsi="仿宋" w:eastAsia="仿宋_GB2312" w:cs="宋体"/>
          <w:b/>
          <w:bCs/>
          <w:kern w:val="0"/>
          <w:sz w:val="28"/>
          <w:szCs w:val="28"/>
        </w:rPr>
        <w:t>年度项目支出绩效评价结果汇总表</w:t>
      </w:r>
    </w:p>
    <w:tbl>
      <w:tblPr>
        <w:tblStyle w:val="2"/>
        <w:tblW w:w="8625" w:type="dxa"/>
        <w:jc w:val="center"/>
        <w:tblLayout w:type="fixed"/>
        <w:tblCellMar>
          <w:top w:w="0" w:type="dxa"/>
          <w:left w:w="0" w:type="dxa"/>
          <w:bottom w:w="0" w:type="dxa"/>
          <w:right w:w="108" w:type="dxa"/>
        </w:tblCellMar>
      </w:tblPr>
      <w:tblGrid>
        <w:gridCol w:w="559"/>
        <w:gridCol w:w="1378"/>
        <w:gridCol w:w="3829"/>
        <w:gridCol w:w="915"/>
        <w:gridCol w:w="1048"/>
        <w:gridCol w:w="896"/>
      </w:tblGrid>
      <w:tr>
        <w:tblPrEx>
          <w:tblCellMar>
            <w:top w:w="0" w:type="dxa"/>
            <w:left w:w="0" w:type="dxa"/>
            <w:bottom w:w="0" w:type="dxa"/>
            <w:right w:w="108" w:type="dxa"/>
          </w:tblCellMar>
        </w:tblPrEx>
        <w:trPr>
          <w:trHeight w:val="684" w:hRule="atLeast"/>
          <w:tblHeader/>
          <w:jc w:val="center"/>
        </w:trPr>
        <w:tc>
          <w:tcPr>
            <w:tcW w:w="5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lang w:bidi="ar"/>
              </w:rPr>
              <w:t>序号</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lang w:bidi="ar"/>
              </w:rPr>
              <w:t>项目名称</w:t>
            </w:r>
          </w:p>
        </w:tc>
        <w:tc>
          <w:tcPr>
            <w:tcW w:w="3829"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widowControl/>
              <w:jc w:val="center"/>
              <w:textAlignment w:val="center"/>
              <w:rPr>
                <w:rFonts w:hint="default" w:ascii="仿宋_GB2312" w:hAnsi="仿宋" w:eastAsia="仿宋_GB2312" w:cs="宋体"/>
                <w:b/>
                <w:color w:val="000000"/>
                <w:sz w:val="24"/>
                <w:lang w:val="en-US" w:eastAsia="zh-CN"/>
              </w:rPr>
            </w:pPr>
            <w:r>
              <w:rPr>
                <w:rFonts w:hint="eastAsia" w:ascii="仿宋_GB2312" w:hAnsi="仿宋" w:eastAsia="仿宋_GB2312" w:cs="宋体"/>
                <w:b/>
                <w:color w:val="000000"/>
                <w:sz w:val="24"/>
                <w:lang w:val="en-US" w:eastAsia="zh-CN"/>
              </w:rPr>
              <w:t>绩效目标</w:t>
            </w:r>
          </w:p>
        </w:tc>
        <w:tc>
          <w:tcPr>
            <w:tcW w:w="915"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仿宋_GB2312" w:hAnsi="仿宋" w:eastAsia="仿宋_GB2312" w:cs="宋体"/>
                <w:b/>
                <w:color w:val="000000"/>
                <w:kern w:val="0"/>
                <w:sz w:val="24"/>
                <w:lang w:bidi="ar"/>
              </w:rPr>
            </w:pPr>
            <w:r>
              <w:rPr>
                <w:rFonts w:hint="eastAsia" w:ascii="仿宋_GB2312" w:hAnsi="仿宋" w:eastAsia="仿宋_GB2312" w:cs="宋体"/>
                <w:b/>
                <w:color w:val="000000"/>
                <w:kern w:val="0"/>
                <w:sz w:val="24"/>
                <w:lang w:bidi="ar"/>
              </w:rPr>
              <w:t>预算金额</w:t>
            </w:r>
            <w:r>
              <w:rPr>
                <w:rFonts w:hint="eastAsia" w:ascii="仿宋_GB2312" w:hAnsi="仿宋" w:eastAsia="仿宋_GB2312" w:cs="宋体"/>
                <w:b/>
                <w:color w:val="000000"/>
                <w:kern w:val="0"/>
                <w:sz w:val="24"/>
                <w:lang w:bidi="ar"/>
              </w:rPr>
              <w:br w:type="textWrapping"/>
            </w:r>
            <w:r>
              <w:rPr>
                <w:rFonts w:hint="eastAsia" w:ascii="仿宋_GB2312" w:hAnsi="仿宋" w:eastAsia="仿宋_GB2312" w:cs="宋体"/>
                <w:b/>
                <w:color w:val="000000"/>
                <w:kern w:val="0"/>
                <w:sz w:val="24"/>
                <w:lang w:bidi="ar"/>
              </w:rPr>
              <w:t>（万元）</w:t>
            </w:r>
          </w:p>
        </w:tc>
        <w:tc>
          <w:tcPr>
            <w:tcW w:w="10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lang w:bidi="ar"/>
              </w:rPr>
              <w:t>支出金额</w:t>
            </w:r>
            <w:r>
              <w:rPr>
                <w:rFonts w:hint="eastAsia" w:ascii="仿宋_GB2312" w:hAnsi="仿宋" w:eastAsia="仿宋_GB2312" w:cs="宋体"/>
                <w:b/>
                <w:color w:val="000000"/>
                <w:kern w:val="0"/>
                <w:sz w:val="24"/>
                <w:lang w:bidi="ar"/>
              </w:rPr>
              <w:br w:type="textWrapping"/>
            </w:r>
            <w:r>
              <w:rPr>
                <w:rFonts w:hint="eastAsia" w:ascii="仿宋_GB2312" w:hAnsi="仿宋" w:eastAsia="仿宋_GB2312" w:cs="宋体"/>
                <w:b/>
                <w:color w:val="000000"/>
                <w:kern w:val="0"/>
                <w:sz w:val="24"/>
                <w:lang w:bidi="ar"/>
              </w:rPr>
              <w:t>（万元）</w:t>
            </w:r>
          </w:p>
        </w:tc>
        <w:tc>
          <w:tcPr>
            <w:tcW w:w="89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lang w:bidi="ar"/>
              </w:rPr>
              <w:t>自评分数</w:t>
            </w:r>
          </w:p>
        </w:tc>
      </w:tr>
      <w:tr>
        <w:tblPrEx>
          <w:tblCellMar>
            <w:top w:w="0" w:type="dxa"/>
            <w:left w:w="0" w:type="dxa"/>
            <w:bottom w:w="0" w:type="dxa"/>
            <w:right w:w="108" w:type="dxa"/>
          </w:tblCellMar>
        </w:tblPrEx>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1</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招商活动经费</w:t>
            </w:r>
          </w:p>
        </w:tc>
        <w:tc>
          <w:tcPr>
            <w:tcW w:w="3829"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widowControl/>
              <w:jc w:val="left"/>
              <w:textAlignment w:val="center"/>
              <w:rPr>
                <w:rFonts w:hint="eastAsia" w:ascii="仿宋_GB2312" w:hAnsi="仿宋" w:eastAsia="仿宋_GB2312" w:cs="宋体"/>
                <w:color w:val="000000"/>
                <w:sz w:val="24"/>
              </w:rPr>
            </w:pPr>
            <w:r>
              <w:rPr>
                <w:rFonts w:hint="eastAsia" w:ascii="仿宋_GB2312" w:hAnsi="仿宋" w:eastAsia="仿宋_GB2312" w:cs="宋体"/>
                <w:color w:val="000000"/>
                <w:sz w:val="24"/>
                <w:lang w:val="en-US" w:eastAsia="zh-CN"/>
              </w:rPr>
              <w:t>1.通过组织举办国（境）内外重大招商活动，有效的宣传石家庄，推介石家庄投资环境和投资项目，取得较好成效。</w:t>
            </w:r>
          </w:p>
          <w:p>
            <w:pPr>
              <w:widowControl/>
              <w:jc w:val="left"/>
              <w:textAlignment w:val="center"/>
              <w:rPr>
                <w:rFonts w:hint="eastAsia" w:ascii="仿宋_GB2312" w:hAnsi="仿宋" w:eastAsia="仿宋_GB2312" w:cs="宋体"/>
                <w:color w:val="000000"/>
                <w:sz w:val="24"/>
              </w:rPr>
            </w:pPr>
            <w:r>
              <w:rPr>
                <w:rFonts w:hint="eastAsia" w:ascii="仿宋_GB2312" w:hAnsi="仿宋" w:eastAsia="仿宋_GB2312" w:cs="宋体"/>
                <w:color w:val="000000"/>
                <w:sz w:val="24"/>
                <w:lang w:val="en-US" w:eastAsia="zh-CN"/>
              </w:rPr>
              <w:t>2.通过投招标优选5家专业机构根据服务代理招商，招引好项目在我市落地。</w:t>
            </w:r>
          </w:p>
          <w:p>
            <w:pPr>
              <w:widowControl/>
              <w:jc w:val="left"/>
              <w:textAlignment w:val="center"/>
              <w:rPr>
                <w:rFonts w:hint="eastAsia" w:ascii="仿宋_GB2312" w:hAnsi="仿宋" w:eastAsia="仿宋_GB2312" w:cs="宋体"/>
                <w:color w:val="000000"/>
                <w:sz w:val="24"/>
              </w:rPr>
            </w:pPr>
            <w:r>
              <w:rPr>
                <w:rFonts w:hint="eastAsia" w:ascii="仿宋_GB2312" w:hAnsi="仿宋" w:eastAsia="仿宋_GB2312" w:cs="宋体"/>
                <w:color w:val="000000"/>
                <w:sz w:val="24"/>
                <w:lang w:val="en-US" w:eastAsia="zh-CN"/>
              </w:rPr>
              <w:t>3.年内签约一批合作项目，引进一批资金，完成全市利用外资任务目标。</w:t>
            </w:r>
          </w:p>
        </w:tc>
        <w:tc>
          <w:tcPr>
            <w:tcW w:w="915"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774</w:t>
            </w:r>
          </w:p>
        </w:tc>
        <w:tc>
          <w:tcPr>
            <w:tcW w:w="104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417.390485</w:t>
            </w:r>
          </w:p>
        </w:tc>
        <w:tc>
          <w:tcPr>
            <w:tcW w:w="89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ind w:right="210"/>
              <w:jc w:val="center"/>
              <w:textAlignment w:val="center"/>
              <w:rPr>
                <w:rFonts w:hint="default" w:ascii="仿宋_GB2312" w:hAnsi="仿宋" w:eastAsia="仿宋_GB2312" w:cs="宋体"/>
                <w:color w:val="auto"/>
                <w:kern w:val="0"/>
                <w:sz w:val="24"/>
                <w:lang w:val="en-US" w:eastAsia="zh-CN" w:bidi="ar"/>
              </w:rPr>
            </w:pPr>
            <w:r>
              <w:rPr>
                <w:rFonts w:hint="eastAsia" w:ascii="仿宋_GB2312" w:hAnsi="仿宋" w:eastAsia="仿宋_GB2312" w:cs="宋体"/>
                <w:color w:val="auto"/>
                <w:kern w:val="0"/>
                <w:sz w:val="24"/>
                <w:lang w:val="en-US" w:eastAsia="zh-CN" w:bidi="ar"/>
              </w:rPr>
              <w:t>83.39</w:t>
            </w:r>
          </w:p>
        </w:tc>
      </w:tr>
      <w:tr>
        <w:tblPrEx>
          <w:tblCellMar>
            <w:top w:w="0" w:type="dxa"/>
            <w:left w:w="0" w:type="dxa"/>
            <w:bottom w:w="0" w:type="dxa"/>
            <w:right w:w="108" w:type="dxa"/>
          </w:tblCellMar>
        </w:tblPrEx>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2</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开发区管理经费</w:t>
            </w:r>
          </w:p>
        </w:tc>
        <w:tc>
          <w:tcPr>
            <w:tcW w:w="3829"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widowControl/>
              <w:jc w:val="left"/>
              <w:textAlignment w:val="center"/>
              <w:rPr>
                <w:rFonts w:hint="eastAsia" w:ascii="仿宋_GB2312" w:hAnsi="仿宋" w:eastAsia="仿宋_GB2312" w:cs="宋体"/>
                <w:color w:val="000000"/>
                <w:sz w:val="24"/>
              </w:rPr>
            </w:pPr>
            <w:r>
              <w:rPr>
                <w:rFonts w:hint="eastAsia" w:ascii="仿宋_GB2312" w:hAnsi="仿宋" w:eastAsia="仿宋_GB2312" w:cs="宋体"/>
                <w:color w:val="000000"/>
                <w:sz w:val="24"/>
              </w:rPr>
              <w:t>1.通过组织开发区有关人员开展业务培训，对促进工作水平方面进一步提升。</w:t>
            </w:r>
          </w:p>
          <w:p>
            <w:pPr>
              <w:widowControl/>
              <w:jc w:val="left"/>
              <w:textAlignment w:val="center"/>
              <w:rPr>
                <w:rFonts w:hint="eastAsia" w:ascii="仿宋_GB2312" w:hAnsi="仿宋" w:eastAsia="仿宋_GB2312" w:cs="宋体"/>
                <w:color w:val="000000"/>
                <w:sz w:val="24"/>
              </w:rPr>
            </w:pPr>
            <w:r>
              <w:rPr>
                <w:rFonts w:hint="eastAsia" w:ascii="仿宋_GB2312" w:hAnsi="仿宋" w:eastAsia="仿宋_GB2312" w:cs="宋体"/>
                <w:color w:val="000000"/>
                <w:sz w:val="24"/>
              </w:rPr>
              <w:t>2.通过委托第三方整理分析经济数据和产业链精准招商专家咨询，提升开发区项目建设发展。</w:t>
            </w:r>
          </w:p>
          <w:p>
            <w:pPr>
              <w:widowControl/>
              <w:jc w:val="left"/>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3.通过赴先进开发区，学习体制机制改革、人事薪酬制度改革等先进经验与成功做法，提升工作水平。</w:t>
            </w:r>
          </w:p>
        </w:tc>
        <w:tc>
          <w:tcPr>
            <w:tcW w:w="915"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30</w:t>
            </w:r>
          </w:p>
        </w:tc>
        <w:tc>
          <w:tcPr>
            <w:tcW w:w="104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21.174500</w:t>
            </w:r>
          </w:p>
        </w:tc>
        <w:tc>
          <w:tcPr>
            <w:tcW w:w="89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ind w:right="210"/>
              <w:jc w:val="right"/>
              <w:textAlignment w:val="center"/>
              <w:rPr>
                <w:rFonts w:hint="default" w:ascii="仿宋_GB2312" w:hAnsi="仿宋" w:eastAsia="仿宋_GB2312" w:cs="宋体"/>
                <w:color w:val="auto"/>
                <w:kern w:val="0"/>
                <w:sz w:val="24"/>
                <w:lang w:val="en-US" w:eastAsia="zh-CN" w:bidi="ar"/>
              </w:rPr>
            </w:pPr>
            <w:r>
              <w:rPr>
                <w:rFonts w:hint="eastAsia" w:ascii="仿宋_GB2312" w:hAnsi="仿宋" w:eastAsia="仿宋_GB2312" w:cs="宋体"/>
                <w:color w:val="auto"/>
                <w:kern w:val="0"/>
                <w:sz w:val="24"/>
                <w:lang w:val="en-US" w:eastAsia="zh-CN" w:bidi="ar"/>
              </w:rPr>
              <w:t>97.02</w:t>
            </w:r>
          </w:p>
        </w:tc>
      </w:tr>
      <w:tr>
        <w:tblPrEx>
          <w:tblCellMar>
            <w:top w:w="0" w:type="dxa"/>
            <w:left w:w="0" w:type="dxa"/>
            <w:bottom w:w="0" w:type="dxa"/>
            <w:right w:w="108" w:type="dxa"/>
          </w:tblCellMar>
        </w:tblPrEx>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3</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办公设备购置</w:t>
            </w:r>
          </w:p>
        </w:tc>
        <w:tc>
          <w:tcPr>
            <w:tcW w:w="3829"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widowControl/>
              <w:jc w:val="left"/>
              <w:textAlignment w:val="center"/>
              <w:rPr>
                <w:rFonts w:hint="eastAsia" w:ascii="仿宋_GB2312" w:hAnsi="仿宋" w:eastAsia="仿宋_GB2312" w:cs="宋体"/>
                <w:color w:val="000000"/>
                <w:sz w:val="24"/>
              </w:rPr>
            </w:pPr>
            <w:r>
              <w:rPr>
                <w:rFonts w:hint="eastAsia" w:ascii="仿宋_GB2312" w:hAnsi="仿宋" w:eastAsia="仿宋_GB2312" w:cs="宋体"/>
                <w:color w:val="000000"/>
                <w:sz w:val="24"/>
              </w:rPr>
              <w:t>通过购买办公设备，充分保障局各项工作正常平稳的运转。</w:t>
            </w:r>
          </w:p>
        </w:tc>
        <w:tc>
          <w:tcPr>
            <w:tcW w:w="915"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23</w:t>
            </w:r>
          </w:p>
        </w:tc>
        <w:tc>
          <w:tcPr>
            <w:tcW w:w="104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21.649348</w:t>
            </w:r>
          </w:p>
        </w:tc>
        <w:tc>
          <w:tcPr>
            <w:tcW w:w="89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ind w:right="210"/>
              <w:jc w:val="right"/>
              <w:textAlignment w:val="center"/>
              <w:rPr>
                <w:rFonts w:hint="default" w:ascii="仿宋_GB2312" w:hAnsi="仿宋" w:eastAsia="仿宋_GB2312" w:cs="宋体"/>
                <w:color w:val="000000"/>
                <w:kern w:val="0"/>
                <w:sz w:val="24"/>
                <w:lang w:val="en-US" w:eastAsia="zh-CN" w:bidi="ar"/>
              </w:rPr>
            </w:pPr>
            <w:r>
              <w:rPr>
                <w:rFonts w:hint="eastAsia" w:ascii="仿宋_GB2312" w:hAnsi="仿宋" w:eastAsia="仿宋_GB2312" w:cs="宋体"/>
                <w:color w:val="000000"/>
                <w:kern w:val="0"/>
                <w:sz w:val="24"/>
                <w:lang w:val="en-US" w:eastAsia="zh-CN" w:bidi="ar"/>
              </w:rPr>
              <w:t>99.41</w:t>
            </w:r>
          </w:p>
        </w:tc>
      </w:tr>
      <w:tr>
        <w:tblPrEx>
          <w:tblCellMar>
            <w:top w:w="0" w:type="dxa"/>
            <w:left w:w="0" w:type="dxa"/>
            <w:bottom w:w="0" w:type="dxa"/>
            <w:right w:w="108" w:type="dxa"/>
          </w:tblCellMar>
        </w:tblPrEx>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4</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文件资料印刷费</w:t>
            </w:r>
          </w:p>
        </w:tc>
        <w:tc>
          <w:tcPr>
            <w:tcW w:w="3829"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widowControl/>
              <w:jc w:val="left"/>
              <w:textAlignment w:val="center"/>
              <w:rPr>
                <w:rFonts w:hint="eastAsia" w:ascii="仿宋_GB2312" w:hAnsi="仿宋" w:eastAsia="仿宋_GB2312" w:cs="宋体"/>
                <w:color w:val="000000"/>
                <w:sz w:val="24"/>
              </w:rPr>
            </w:pPr>
            <w:r>
              <w:rPr>
                <w:rFonts w:hint="eastAsia" w:ascii="仿宋_GB2312" w:hAnsi="仿宋" w:eastAsia="仿宋_GB2312" w:cs="宋体"/>
                <w:color w:val="000000"/>
                <w:sz w:val="24"/>
              </w:rPr>
              <w:t>通过印刷招商材料起到较好的宣传石家庄市投资促进环境的作用</w:t>
            </w:r>
          </w:p>
        </w:tc>
        <w:tc>
          <w:tcPr>
            <w:tcW w:w="915"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8</w:t>
            </w:r>
          </w:p>
        </w:tc>
        <w:tc>
          <w:tcPr>
            <w:tcW w:w="104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7.005000</w:t>
            </w:r>
          </w:p>
        </w:tc>
        <w:tc>
          <w:tcPr>
            <w:tcW w:w="89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default" w:ascii="仿宋_GB2312" w:hAnsi="仿宋" w:eastAsia="仿宋_GB2312" w:cs="宋体"/>
                <w:color w:val="auto"/>
                <w:kern w:val="0"/>
                <w:sz w:val="24"/>
                <w:lang w:val="en-US" w:eastAsia="zh-CN" w:bidi="ar"/>
              </w:rPr>
            </w:pPr>
            <w:r>
              <w:rPr>
                <w:rFonts w:hint="eastAsia" w:ascii="仿宋_GB2312" w:hAnsi="仿宋" w:eastAsia="仿宋_GB2312" w:cs="宋体"/>
                <w:color w:val="auto"/>
                <w:kern w:val="0"/>
                <w:sz w:val="24"/>
                <w:lang w:val="en-US" w:eastAsia="zh-CN" w:bidi="ar"/>
              </w:rPr>
              <w:t>98.8</w:t>
            </w:r>
          </w:p>
        </w:tc>
      </w:tr>
      <w:tr>
        <w:tblPrEx>
          <w:tblCellMar>
            <w:top w:w="0" w:type="dxa"/>
            <w:left w:w="0" w:type="dxa"/>
            <w:bottom w:w="0" w:type="dxa"/>
            <w:right w:w="108" w:type="dxa"/>
          </w:tblCellMar>
        </w:tblPrEx>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5</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信息化项目运行维护费</w:t>
            </w:r>
          </w:p>
        </w:tc>
        <w:tc>
          <w:tcPr>
            <w:tcW w:w="3829"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widowControl/>
              <w:numPr>
                <w:ilvl w:val="0"/>
                <w:numId w:val="0"/>
              </w:numPr>
              <w:jc w:val="left"/>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1.平台访问整体情况，包括页面打开速度、页面信息准确率等,平台功能运行情况，包括功能是否满足需要，是否运行正确等。</w:t>
            </w:r>
          </w:p>
          <w:p>
            <w:pPr>
              <w:widowControl/>
              <w:numPr>
                <w:ilvl w:val="0"/>
                <w:numId w:val="0"/>
              </w:numPr>
              <w:jc w:val="left"/>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2.网站和信息系统安全运行情况，有无挂马、篡改等被攻击情况和网络攻击应对情况,根据网站物理安全、网络安全、主机安全、应用安全等情况的综合打分。</w:t>
            </w:r>
          </w:p>
          <w:p>
            <w:pPr>
              <w:widowControl/>
              <w:numPr>
                <w:ilvl w:val="0"/>
                <w:numId w:val="0"/>
              </w:numPr>
              <w:jc w:val="left"/>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3.确保视频会议系统运行流畅视频会议运行整体情况，包括管理网站打开速度、视频传输速度等。</w:t>
            </w:r>
          </w:p>
          <w:p>
            <w:pPr>
              <w:widowControl/>
              <w:numPr>
                <w:ilvl w:val="0"/>
                <w:numId w:val="0"/>
              </w:numPr>
              <w:jc w:val="left"/>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4.网站及微信公众号访问整体情况，包括页面打开速度、页面信息准确率等,网站功能运行情况，包括功能是否满足需要，是否运行正确等。</w:t>
            </w:r>
          </w:p>
        </w:tc>
        <w:tc>
          <w:tcPr>
            <w:tcW w:w="915"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94</w:t>
            </w:r>
          </w:p>
        </w:tc>
        <w:tc>
          <w:tcPr>
            <w:tcW w:w="104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92.932000</w:t>
            </w:r>
          </w:p>
        </w:tc>
        <w:tc>
          <w:tcPr>
            <w:tcW w:w="89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ind w:right="210"/>
              <w:jc w:val="center"/>
              <w:textAlignment w:val="center"/>
              <w:rPr>
                <w:rFonts w:hint="default" w:ascii="仿宋_GB2312" w:hAnsi="仿宋" w:eastAsia="仿宋_GB2312" w:cs="宋体"/>
                <w:color w:val="000000"/>
                <w:kern w:val="0"/>
                <w:sz w:val="24"/>
                <w:lang w:val="en-US" w:eastAsia="zh-CN" w:bidi="ar"/>
              </w:rPr>
            </w:pPr>
            <w:r>
              <w:rPr>
                <w:rFonts w:hint="eastAsia" w:ascii="仿宋_GB2312" w:hAnsi="仿宋" w:eastAsia="仿宋_GB2312" w:cs="宋体"/>
                <w:color w:val="000000"/>
                <w:kern w:val="0"/>
                <w:sz w:val="24"/>
                <w:lang w:val="en-US" w:eastAsia="zh-CN" w:bidi="ar"/>
              </w:rPr>
              <w:t>99.89</w:t>
            </w:r>
          </w:p>
        </w:tc>
      </w:tr>
      <w:tr>
        <w:tblPrEx>
          <w:tblCellMar>
            <w:top w:w="0" w:type="dxa"/>
            <w:left w:w="0" w:type="dxa"/>
            <w:bottom w:w="0" w:type="dxa"/>
            <w:right w:w="108" w:type="dxa"/>
          </w:tblCellMar>
        </w:tblPrEx>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6</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业务培训费</w:t>
            </w:r>
          </w:p>
        </w:tc>
        <w:tc>
          <w:tcPr>
            <w:tcW w:w="3829"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widowControl/>
              <w:numPr>
                <w:ilvl w:val="0"/>
                <w:numId w:val="1"/>
              </w:numPr>
              <w:jc w:val="left"/>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举办全市招商引资或开发区建设等业务培训1-2次，加强县市区招商部门的业务知识。</w:t>
            </w:r>
          </w:p>
          <w:p>
            <w:pPr>
              <w:widowControl/>
              <w:numPr>
                <w:ilvl w:val="0"/>
                <w:numId w:val="1"/>
              </w:numPr>
              <w:jc w:val="left"/>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通过举办培训，提高工作人员业务能力,更好的完成工作。</w:t>
            </w:r>
          </w:p>
        </w:tc>
        <w:tc>
          <w:tcPr>
            <w:tcW w:w="915"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18</w:t>
            </w:r>
          </w:p>
        </w:tc>
        <w:tc>
          <w:tcPr>
            <w:tcW w:w="104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11.159000</w:t>
            </w:r>
          </w:p>
        </w:tc>
        <w:tc>
          <w:tcPr>
            <w:tcW w:w="89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ind w:right="210"/>
              <w:jc w:val="center"/>
              <w:textAlignment w:val="center"/>
              <w:rPr>
                <w:rFonts w:hint="default" w:ascii="仿宋_GB2312" w:hAnsi="仿宋" w:eastAsia="仿宋_GB2312" w:cs="宋体"/>
                <w:color w:val="000000"/>
                <w:kern w:val="0"/>
                <w:sz w:val="24"/>
                <w:lang w:val="en-US" w:eastAsia="zh-CN" w:bidi="ar"/>
              </w:rPr>
            </w:pPr>
            <w:r>
              <w:rPr>
                <w:rFonts w:hint="eastAsia" w:ascii="仿宋_GB2312" w:hAnsi="仿宋" w:eastAsia="仿宋_GB2312" w:cs="宋体"/>
                <w:color w:val="000000"/>
                <w:kern w:val="0"/>
                <w:sz w:val="24"/>
                <w:lang w:val="en-US" w:eastAsia="zh-CN" w:bidi="ar"/>
              </w:rPr>
              <w:t>96.2</w:t>
            </w:r>
          </w:p>
        </w:tc>
      </w:tr>
      <w:tr>
        <w:tblPrEx>
          <w:tblCellMar>
            <w:top w:w="0" w:type="dxa"/>
            <w:left w:w="0" w:type="dxa"/>
            <w:bottom w:w="0" w:type="dxa"/>
            <w:right w:w="108" w:type="dxa"/>
          </w:tblCellMar>
        </w:tblPrEx>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default" w:ascii="仿宋_GB2312" w:hAnsi="仿宋" w:eastAsia="仿宋_GB2312" w:cs="宋体"/>
                <w:color w:val="auto"/>
                <w:sz w:val="24"/>
                <w:highlight w:val="none"/>
                <w:lang w:val="en-US" w:eastAsia="zh-CN"/>
              </w:rPr>
            </w:pPr>
            <w:r>
              <w:rPr>
                <w:rFonts w:hint="eastAsia" w:ascii="仿宋_GB2312" w:hAnsi="仿宋" w:eastAsia="仿宋_GB2312" w:cs="宋体"/>
                <w:color w:val="auto"/>
                <w:sz w:val="24"/>
                <w:highlight w:val="none"/>
                <w:lang w:val="en-US" w:eastAsia="zh-CN"/>
              </w:rPr>
              <w:t>7</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业务咨询委托费</w:t>
            </w:r>
          </w:p>
        </w:tc>
        <w:tc>
          <w:tcPr>
            <w:tcW w:w="3829"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widowControl/>
              <w:numPr>
                <w:ilvl w:val="0"/>
                <w:numId w:val="2"/>
              </w:numPr>
              <w:jc w:val="left"/>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通过聘请律师服务，建设法制政府，更好依法行政，防范风险。</w:t>
            </w:r>
          </w:p>
          <w:p>
            <w:pPr>
              <w:widowControl/>
              <w:numPr>
                <w:ilvl w:val="0"/>
                <w:numId w:val="2"/>
              </w:numPr>
              <w:jc w:val="left"/>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委托第三方整理机要人事档案归纳等咨询服务及委托事务所对局专项项目绩效自评，提高工作质量。</w:t>
            </w:r>
          </w:p>
          <w:p>
            <w:pPr>
              <w:widowControl/>
              <w:numPr>
                <w:ilvl w:val="0"/>
                <w:numId w:val="2"/>
              </w:numPr>
              <w:jc w:val="left"/>
              <w:textAlignment w:val="center"/>
              <w:rPr>
                <w:rFonts w:hint="default" w:ascii="仿宋_GB2312" w:hAnsi="仿宋" w:eastAsia="仿宋_GB2312" w:cs="宋体"/>
                <w:color w:val="000000"/>
                <w:sz w:val="24"/>
                <w:lang w:val="en-US" w:eastAsia="zh-CN"/>
              </w:rPr>
            </w:pPr>
            <w:r>
              <w:rPr>
                <w:rFonts w:hint="default" w:ascii="仿宋_GB2312" w:hAnsi="仿宋" w:eastAsia="仿宋_GB2312" w:cs="宋体"/>
                <w:color w:val="000000"/>
                <w:sz w:val="24"/>
                <w:lang w:val="en-US" w:eastAsia="zh-CN"/>
              </w:rPr>
              <w:t>加强法治教育培训，指导各处室开展普法宣传活动，营造良好的法治氛围。</w:t>
            </w:r>
          </w:p>
        </w:tc>
        <w:tc>
          <w:tcPr>
            <w:tcW w:w="915"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6.5</w:t>
            </w:r>
          </w:p>
        </w:tc>
        <w:tc>
          <w:tcPr>
            <w:tcW w:w="104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6.474300</w:t>
            </w:r>
          </w:p>
        </w:tc>
        <w:tc>
          <w:tcPr>
            <w:tcW w:w="89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ind w:right="210"/>
              <w:jc w:val="center"/>
              <w:textAlignment w:val="center"/>
              <w:rPr>
                <w:rFonts w:hint="default" w:ascii="仿宋_GB2312" w:hAnsi="仿宋" w:eastAsia="仿宋_GB2312" w:cs="宋体"/>
                <w:color w:val="000000"/>
                <w:kern w:val="0"/>
                <w:sz w:val="24"/>
                <w:lang w:val="en-US" w:eastAsia="zh-CN" w:bidi="ar"/>
              </w:rPr>
            </w:pPr>
            <w:r>
              <w:rPr>
                <w:rFonts w:hint="eastAsia" w:ascii="仿宋_GB2312" w:hAnsi="仿宋" w:eastAsia="仿宋_GB2312" w:cs="宋体"/>
                <w:color w:val="000000"/>
                <w:kern w:val="0"/>
                <w:sz w:val="24"/>
                <w:lang w:val="en-US" w:eastAsia="zh-CN" w:bidi="ar"/>
              </w:rPr>
              <w:t>99.96</w:t>
            </w:r>
          </w:p>
        </w:tc>
      </w:tr>
      <w:tr>
        <w:tblPrEx>
          <w:tblCellMar>
            <w:top w:w="0" w:type="dxa"/>
            <w:left w:w="0" w:type="dxa"/>
            <w:bottom w:w="0" w:type="dxa"/>
            <w:right w:w="108" w:type="dxa"/>
          </w:tblCellMar>
        </w:tblPrEx>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8</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党组织活动经费</w:t>
            </w:r>
          </w:p>
        </w:tc>
        <w:tc>
          <w:tcPr>
            <w:tcW w:w="3829"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widowControl/>
              <w:numPr>
                <w:ilvl w:val="0"/>
                <w:numId w:val="3"/>
              </w:numPr>
              <w:jc w:val="left"/>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通过组织学习，基层党组织建设全面提高。</w:t>
            </w:r>
          </w:p>
          <w:p>
            <w:pPr>
              <w:widowControl/>
              <w:numPr>
                <w:ilvl w:val="0"/>
                <w:numId w:val="3"/>
              </w:numPr>
              <w:jc w:val="left"/>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通过开展活动学习，增加党性。</w:t>
            </w:r>
          </w:p>
        </w:tc>
        <w:tc>
          <w:tcPr>
            <w:tcW w:w="915"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3.6</w:t>
            </w:r>
          </w:p>
        </w:tc>
        <w:tc>
          <w:tcPr>
            <w:tcW w:w="104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3.600000</w:t>
            </w:r>
          </w:p>
        </w:tc>
        <w:tc>
          <w:tcPr>
            <w:tcW w:w="89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ind w:right="210"/>
              <w:jc w:val="center"/>
              <w:textAlignment w:val="center"/>
              <w:rPr>
                <w:rFonts w:hint="default" w:ascii="仿宋_GB2312" w:hAnsi="仿宋" w:eastAsia="仿宋_GB2312" w:cs="宋体"/>
                <w:color w:val="000000"/>
                <w:kern w:val="0"/>
                <w:sz w:val="24"/>
                <w:lang w:val="en-US" w:eastAsia="zh-CN" w:bidi="ar"/>
              </w:rPr>
            </w:pPr>
            <w:r>
              <w:rPr>
                <w:rFonts w:hint="eastAsia" w:ascii="仿宋_GB2312" w:hAnsi="仿宋" w:eastAsia="仿宋_GB2312" w:cs="宋体"/>
                <w:color w:val="000000"/>
                <w:kern w:val="0"/>
                <w:sz w:val="24"/>
                <w:lang w:val="en-US" w:eastAsia="zh-CN" w:bidi="ar"/>
              </w:rPr>
              <w:t>100</w:t>
            </w:r>
          </w:p>
        </w:tc>
      </w:tr>
    </w:tbl>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outlineLvl w:val="0"/>
        <w:rPr>
          <w:rFonts w:hint="eastAsia" w:ascii="仿宋" w:hAnsi="仿宋" w:eastAsia="仿宋" w:cs="仿宋"/>
          <w:b/>
          <w:bCs/>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（二）分项绩效目标实现情况及指标分析</w:t>
      </w:r>
    </w:p>
    <w:p>
      <w:pPr>
        <w:keepNext w:val="0"/>
        <w:keepLines w:val="0"/>
        <w:pageBreakBefore w:val="0"/>
        <w:widowControl w:val="0"/>
        <w:kinsoku/>
        <w:wordWrap/>
        <w:overflowPunct/>
        <w:topLinePunct w:val="0"/>
        <w:autoSpaceDE/>
        <w:autoSpaceDN/>
        <w:bidi w:val="0"/>
        <w:snapToGrid/>
        <w:spacing w:line="560" w:lineRule="exact"/>
        <w:ind w:firstLine="617" w:firstLineChars="192"/>
        <w:textAlignment w:val="auto"/>
        <w:rPr>
          <w:rFonts w:hint="eastAsia" w:ascii="仿宋_GB2312" w:hAnsi="仿宋" w:eastAsia="仿宋_GB2312" w:cs="Times New Roman"/>
          <w:b/>
          <w:bCs/>
          <w:sz w:val="32"/>
          <w:szCs w:val="32"/>
          <w:lang w:val="en-US" w:eastAsia="zh-CN"/>
        </w:rPr>
      </w:pPr>
      <w:r>
        <w:rPr>
          <w:rFonts w:hint="eastAsia" w:ascii="仿宋_GB2312" w:hAnsi="仿宋" w:eastAsia="仿宋_GB2312" w:cs="Times New Roman"/>
          <w:b/>
          <w:bCs/>
          <w:sz w:val="32"/>
          <w:szCs w:val="32"/>
          <w:lang w:val="en-US" w:eastAsia="zh-CN"/>
        </w:rPr>
        <w:t>1.产出指标完成情况分析</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（1）数量指标</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2021年赴外地组织、参加招商活动、拜访客户人次数超200人，完成年初设定目标的100%；组织举办招商活动超4次，完成年初设定目标的100%；新购台式机正版软件配备率100%，完成年初设定目标的100%；每日平台数据处理条数，包括项目、客户等数据管理和数据统计等超5000条/日，完成年初设定目标的100%；组织主题宣传活动场次超2场，完成年初设定目标的100%；培训参加人次超100人，完成年初设定目标的100%；党务干部培训1次，完成年初设定目标的100%；外出参观学习次数2次，完成年初设定目标的100%。</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（2）质量指标</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通过招投标方式选定并符合招投标文件相关要求的5家代理招商公司，实际完成1家，完成年初设定目标的20%；对接客商和项目完成15项，完成年初设定目标的100%；业务工作完成率大于95%，完成年初设定目标的100%；平台访问整体情况，包括页面打开速度、页面信息准确率等达到100%，完成年初设定目标的100%；按期完成的培训计划占总培训计划的比率100%，完成年初设定目标的100%；法治教育、普法宣传覆盖1000人，完成年初设定目标的100%；党务干部培训效果100%，完成年初设定目标的100%。</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default"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（3）时效指标</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2021年均按时完工，完成年初设定目标。</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default"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（4）成本指标</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2021年所有项目均未超年初制定的成本金额，完成年初设定目标。</w:t>
      </w:r>
    </w:p>
    <w:p>
      <w:pPr>
        <w:keepNext w:val="0"/>
        <w:keepLines w:val="0"/>
        <w:pageBreakBefore w:val="0"/>
        <w:widowControl w:val="0"/>
        <w:kinsoku/>
        <w:wordWrap/>
        <w:overflowPunct/>
        <w:topLinePunct w:val="0"/>
        <w:autoSpaceDE/>
        <w:autoSpaceDN/>
        <w:bidi w:val="0"/>
        <w:snapToGrid/>
        <w:spacing w:line="560" w:lineRule="exact"/>
        <w:ind w:firstLine="617" w:firstLineChars="192"/>
        <w:textAlignment w:val="auto"/>
        <w:rPr>
          <w:rFonts w:hint="eastAsia" w:ascii="仿宋_GB2312" w:hAnsi="仿宋" w:eastAsia="仿宋_GB2312" w:cs="Times New Roman"/>
          <w:b/>
          <w:bCs/>
          <w:sz w:val="32"/>
          <w:szCs w:val="32"/>
          <w:lang w:val="en-US" w:eastAsia="zh-CN"/>
        </w:rPr>
      </w:pPr>
      <w:r>
        <w:rPr>
          <w:rFonts w:hint="eastAsia" w:ascii="仿宋_GB2312" w:hAnsi="仿宋" w:eastAsia="仿宋_GB2312" w:cs="Times New Roman"/>
          <w:b/>
          <w:bCs/>
          <w:sz w:val="32"/>
          <w:szCs w:val="32"/>
          <w:lang w:val="en-US" w:eastAsia="zh-CN"/>
        </w:rPr>
        <w:t>2.效益指标完成情况分析</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（1）经济效益指标</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2021年1-12月全市签约亿元以上项目558个,合同引资2383.23亿元。通过培训促进全市开发区发展，主营业务收入增长率提高≥20%，视频会议开展总体情况，包括音、视频、各项功能使用情况100%。</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（2）社会效益指标</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通过举办、参加招商活动及联络、对接客户，提升了石家庄市招商引资影响力，精准对接了瑞典爱立信、富世华，德国赛威传动设备，美国特斯拉、可口可乐，英国BP，日本住友，泰国正大等二十余家世界500强跨国公司，弥补了当地企业资金来源不足，促进了经济的增长和发展，引进了先进技术和设备，促进了生产力水平的提高，有效的推介、宣传石家庄投资环境和投资项目。党务干部培训、党员干部学习教育效果达100%。</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（3）可持续影响指标</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通过举办、参加招商活动及联络、对接客户，引进签约项目的同时，也引进了省外企业的先进技术及优秀管理经验，繁荣了市场经济，增加了就业机会，提高了人民生活水平，也增加了政府税收收入，对石家庄经济发展产生了可持续的积极影响。</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2021年我局积极履职，通过加强预算收支管理，不断梳理内部管理流程，建立健全内部管理制度，部门整体支出管理水平得到提升。</w:t>
      </w:r>
      <w:r>
        <w:rPr>
          <w:rFonts w:hint="eastAsia" w:ascii="仿宋_GB2312" w:hAnsi="仿宋" w:eastAsia="仿宋_GB2312"/>
          <w:sz w:val="32"/>
          <w:szCs w:val="32"/>
        </w:rPr>
        <w:t>评价项目共</w:t>
      </w:r>
      <w:r>
        <w:rPr>
          <w:rFonts w:hint="eastAsia" w:ascii="仿宋_GB2312" w:hAnsi="仿宋" w:eastAsia="仿宋_GB2312"/>
          <w:sz w:val="32"/>
          <w:szCs w:val="32"/>
          <w:lang w:val="en-US" w:eastAsia="zh-CN"/>
        </w:rPr>
        <w:t>8</w:t>
      </w:r>
      <w:r>
        <w:rPr>
          <w:rFonts w:hint="eastAsia" w:ascii="仿宋_GB2312" w:hAnsi="仿宋" w:eastAsia="仿宋_GB2312"/>
          <w:sz w:val="32"/>
          <w:szCs w:val="32"/>
        </w:rPr>
        <w:t>个</w:t>
      </w:r>
      <w:r>
        <w:rPr>
          <w:rFonts w:hint="eastAsia" w:ascii="仿宋_GB2312" w:hAnsi="仿宋" w:eastAsia="仿宋_GB2312"/>
          <w:sz w:val="32"/>
          <w:szCs w:val="32"/>
          <w:lang w:eastAsia="zh-CN"/>
        </w:rPr>
        <w:t>，</w:t>
      </w:r>
      <w:r>
        <w:rPr>
          <w:rFonts w:hint="eastAsia" w:ascii="仿宋_GB2312" w:hAnsi="仿宋" w:eastAsia="仿宋_GB2312"/>
          <w:sz w:val="32"/>
          <w:szCs w:val="32"/>
        </w:rPr>
        <w:t>占部门项目总数的</w:t>
      </w:r>
      <w:r>
        <w:rPr>
          <w:rFonts w:hint="eastAsia" w:ascii="仿宋_GB2312" w:hAnsi="仿宋" w:eastAsia="仿宋_GB2312"/>
          <w:sz w:val="32"/>
          <w:szCs w:val="32"/>
          <w:lang w:val="en-US" w:eastAsia="zh-CN"/>
        </w:rPr>
        <w:t>100%，</w:t>
      </w:r>
      <w:r>
        <w:rPr>
          <w:rFonts w:hint="eastAsia" w:ascii="仿宋_GB2312" w:hAnsi="仿宋" w:eastAsia="仿宋_GB2312"/>
          <w:sz w:val="32"/>
          <w:szCs w:val="32"/>
        </w:rPr>
        <w:t>涉及金额</w:t>
      </w:r>
      <w:r>
        <w:rPr>
          <w:rFonts w:hint="eastAsia" w:ascii="仿宋_GB2312" w:hAnsi="仿宋" w:eastAsia="仿宋_GB2312"/>
          <w:sz w:val="32"/>
          <w:szCs w:val="32"/>
          <w:lang w:val="en-US" w:eastAsia="zh-CN"/>
        </w:rPr>
        <w:t>581.384万元，其中</w:t>
      </w:r>
      <w:r>
        <w:rPr>
          <w:rFonts w:hint="eastAsia" w:ascii="仿宋_GB2312" w:hAnsi="仿宋" w:eastAsia="仿宋_GB2312"/>
          <w:sz w:val="32"/>
          <w:szCs w:val="32"/>
        </w:rPr>
        <w:t>评价得分在</w:t>
      </w:r>
      <w:r>
        <w:rPr>
          <w:rFonts w:hint="eastAsia" w:ascii="仿宋_GB2312" w:hAnsi="仿宋" w:eastAsia="仿宋_GB2312"/>
          <w:sz w:val="32"/>
          <w:szCs w:val="32"/>
          <w:lang w:val="en-US" w:eastAsia="zh-CN"/>
        </w:rPr>
        <w:t>85</w:t>
      </w:r>
      <w:r>
        <w:rPr>
          <w:rFonts w:hint="eastAsia" w:ascii="仿宋_GB2312" w:hAnsi="仿宋" w:eastAsia="仿宋_GB2312"/>
          <w:sz w:val="32"/>
          <w:szCs w:val="32"/>
        </w:rPr>
        <w:t>（含）-100分的</w:t>
      </w:r>
      <w:r>
        <w:rPr>
          <w:rFonts w:hint="eastAsia" w:ascii="仿宋_GB2312" w:hAnsi="仿宋" w:eastAsia="仿宋_GB2312"/>
          <w:sz w:val="32"/>
          <w:szCs w:val="32"/>
          <w:lang w:val="en-US" w:eastAsia="zh-CN"/>
        </w:rPr>
        <w:t>7个、</w:t>
      </w:r>
      <w:r>
        <w:rPr>
          <w:rFonts w:hint="eastAsia" w:ascii="仿宋_GB2312" w:hAnsi="仿宋" w:eastAsia="仿宋_GB2312"/>
          <w:sz w:val="32"/>
          <w:szCs w:val="32"/>
        </w:rPr>
        <w:t>评价得分在</w:t>
      </w:r>
      <w:r>
        <w:rPr>
          <w:rFonts w:hint="eastAsia" w:ascii="仿宋_GB2312" w:hAnsi="仿宋" w:eastAsia="仿宋_GB2312"/>
          <w:sz w:val="32"/>
          <w:szCs w:val="32"/>
          <w:lang w:val="en-US" w:eastAsia="zh-CN"/>
        </w:rPr>
        <w:t>75</w:t>
      </w:r>
      <w:r>
        <w:rPr>
          <w:rFonts w:hint="eastAsia" w:ascii="仿宋_GB2312" w:hAnsi="仿宋" w:eastAsia="仿宋_GB2312"/>
          <w:sz w:val="32"/>
          <w:szCs w:val="32"/>
        </w:rPr>
        <w:t>（含）-</w:t>
      </w:r>
      <w:r>
        <w:rPr>
          <w:rFonts w:hint="eastAsia" w:ascii="仿宋_GB2312" w:hAnsi="仿宋" w:eastAsia="仿宋_GB2312"/>
          <w:sz w:val="32"/>
          <w:szCs w:val="32"/>
          <w:lang w:val="en-US" w:eastAsia="zh-CN"/>
        </w:rPr>
        <w:t>85</w:t>
      </w:r>
      <w:r>
        <w:rPr>
          <w:rFonts w:hint="eastAsia" w:ascii="仿宋_GB2312" w:hAnsi="仿宋" w:eastAsia="仿宋_GB2312"/>
          <w:sz w:val="32"/>
          <w:szCs w:val="32"/>
        </w:rPr>
        <w:t>分的</w:t>
      </w:r>
      <w:r>
        <w:rPr>
          <w:rFonts w:hint="eastAsia" w:ascii="仿宋_GB2312" w:hAnsi="仿宋" w:eastAsia="仿宋_GB2312"/>
          <w:sz w:val="32"/>
          <w:szCs w:val="32"/>
          <w:lang w:val="en-US" w:eastAsia="zh-CN"/>
        </w:rPr>
        <w:t>1个、</w:t>
      </w:r>
      <w:r>
        <w:rPr>
          <w:rFonts w:hint="eastAsia" w:ascii="仿宋_GB2312" w:hAnsi="仿宋" w:eastAsia="仿宋_GB2312"/>
          <w:sz w:val="32"/>
          <w:szCs w:val="32"/>
        </w:rPr>
        <w:t>评价得分在</w:t>
      </w:r>
      <w:r>
        <w:rPr>
          <w:rFonts w:hint="eastAsia" w:ascii="仿宋_GB2312" w:hAnsi="仿宋" w:eastAsia="仿宋_GB2312"/>
          <w:sz w:val="32"/>
          <w:szCs w:val="32"/>
          <w:lang w:val="en-US" w:eastAsia="zh-CN"/>
        </w:rPr>
        <w:t>60</w:t>
      </w:r>
      <w:r>
        <w:rPr>
          <w:rFonts w:hint="eastAsia" w:ascii="仿宋_GB2312" w:hAnsi="仿宋" w:eastAsia="仿宋_GB2312"/>
          <w:sz w:val="32"/>
          <w:szCs w:val="32"/>
        </w:rPr>
        <w:t>（含）-</w:t>
      </w:r>
      <w:r>
        <w:rPr>
          <w:rFonts w:hint="eastAsia" w:ascii="仿宋_GB2312" w:hAnsi="仿宋" w:eastAsia="仿宋_GB2312"/>
          <w:sz w:val="32"/>
          <w:szCs w:val="32"/>
          <w:lang w:val="en-US" w:eastAsia="zh-CN"/>
        </w:rPr>
        <w:t>75</w:t>
      </w:r>
      <w:r>
        <w:rPr>
          <w:rFonts w:hint="eastAsia" w:ascii="仿宋_GB2312" w:hAnsi="仿宋" w:eastAsia="仿宋_GB2312"/>
          <w:sz w:val="32"/>
          <w:szCs w:val="32"/>
        </w:rPr>
        <w:t>分的</w:t>
      </w:r>
      <w:r>
        <w:rPr>
          <w:rFonts w:hint="eastAsia" w:ascii="仿宋_GB2312" w:hAnsi="仿宋" w:eastAsia="仿宋_GB2312"/>
          <w:sz w:val="32"/>
          <w:szCs w:val="32"/>
          <w:lang w:val="en-US" w:eastAsia="zh-CN"/>
        </w:rPr>
        <w:t>0个、</w:t>
      </w:r>
      <w:r>
        <w:rPr>
          <w:rFonts w:hint="eastAsia" w:ascii="仿宋_GB2312" w:hAnsi="仿宋" w:eastAsia="仿宋_GB2312"/>
          <w:sz w:val="32"/>
          <w:szCs w:val="32"/>
        </w:rPr>
        <w:t>评价得分在60分以下的0个</w:t>
      </w:r>
      <w:r>
        <w:rPr>
          <w:rFonts w:hint="eastAsia" w:ascii="仿宋_GB2312" w:hAnsi="仿宋" w:eastAsia="仿宋_GB2312"/>
          <w:sz w:val="32"/>
          <w:szCs w:val="32"/>
          <w:lang w:eastAsia="zh-CN"/>
        </w:rPr>
        <w:t>。</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经过</w:t>
      </w:r>
      <w:r>
        <w:rPr>
          <w:rFonts w:hint="eastAsia" w:ascii="仿宋_GB2312" w:hAnsi="仿宋" w:eastAsia="仿宋_GB2312"/>
          <w:sz w:val="32"/>
          <w:szCs w:val="32"/>
        </w:rPr>
        <w:t>评价结果汇总分析我局202</w:t>
      </w:r>
      <w:r>
        <w:rPr>
          <w:rFonts w:hint="eastAsia" w:ascii="仿宋_GB2312" w:hAnsi="仿宋" w:eastAsia="仿宋_GB2312"/>
          <w:sz w:val="32"/>
          <w:szCs w:val="32"/>
          <w:lang w:val="en-US" w:eastAsia="zh-CN"/>
        </w:rPr>
        <w:t>1</w:t>
      </w:r>
      <w:r>
        <w:rPr>
          <w:rFonts w:hint="eastAsia" w:ascii="仿宋_GB2312" w:hAnsi="仿宋" w:eastAsia="仿宋_GB2312"/>
          <w:sz w:val="32"/>
          <w:szCs w:val="32"/>
        </w:rPr>
        <w:t>年度</w:t>
      </w:r>
      <w:r>
        <w:rPr>
          <w:rFonts w:hint="eastAsia" w:ascii="仿宋_GB2312" w:hAnsi="仿宋" w:eastAsia="仿宋_GB2312"/>
          <w:sz w:val="32"/>
          <w:szCs w:val="32"/>
          <w:lang w:val="en-US" w:eastAsia="zh-CN"/>
        </w:rPr>
        <w:t>8个</w:t>
      </w:r>
      <w:r>
        <w:rPr>
          <w:rFonts w:hint="eastAsia" w:ascii="仿宋_GB2312" w:hAnsi="仿宋" w:eastAsia="仿宋_GB2312"/>
          <w:sz w:val="32"/>
          <w:szCs w:val="32"/>
        </w:rPr>
        <w:t>评价项目整体执行情况较好</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除招商活动经费项目</w:t>
      </w:r>
      <w:r>
        <w:rPr>
          <w:rFonts w:hint="eastAsia" w:ascii="仿宋_GB2312" w:hAnsi="仿宋" w:eastAsia="仿宋_GB2312"/>
          <w:sz w:val="32"/>
          <w:szCs w:val="32"/>
        </w:rPr>
        <w:t>招商代理机构选定未达到预期的绩效成果外</w:t>
      </w:r>
      <w:r>
        <w:rPr>
          <w:rFonts w:hint="eastAsia" w:ascii="仿宋_GB2312" w:hAnsi="仿宋" w:eastAsia="仿宋_GB2312"/>
          <w:sz w:val="32"/>
          <w:szCs w:val="32"/>
          <w:lang w:eastAsia="zh-CN"/>
        </w:rPr>
        <w:t>，</w:t>
      </w:r>
      <w:r>
        <w:rPr>
          <w:rFonts w:hint="eastAsia" w:ascii="仿宋_GB2312" w:hAnsi="仿宋" w:eastAsia="仿宋_GB2312"/>
          <w:sz w:val="32"/>
          <w:szCs w:val="32"/>
        </w:rPr>
        <w:t>其余</w:t>
      </w:r>
      <w:r>
        <w:rPr>
          <w:rFonts w:hint="eastAsia" w:ascii="仿宋_GB2312" w:hAnsi="仿宋" w:eastAsia="仿宋_GB2312"/>
          <w:sz w:val="32"/>
          <w:szCs w:val="32"/>
          <w:lang w:val="en-US" w:eastAsia="zh-CN"/>
        </w:rPr>
        <w:t>7</w:t>
      </w:r>
      <w:r>
        <w:rPr>
          <w:rFonts w:hint="eastAsia" w:ascii="仿宋_GB2312" w:hAnsi="仿宋" w:eastAsia="仿宋_GB2312"/>
          <w:sz w:val="32"/>
          <w:szCs w:val="32"/>
        </w:rPr>
        <w:t>个项目自评结果均为“优秀”</w:t>
      </w:r>
      <w:r>
        <w:rPr>
          <w:rFonts w:hint="eastAsia" w:ascii="仿宋_GB2312" w:hAnsi="仿宋" w:eastAsia="仿宋_GB2312"/>
          <w:sz w:val="32"/>
          <w:szCs w:val="32"/>
          <w:lang w:eastAsia="zh-CN"/>
        </w:rPr>
        <w:t>。</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五、存在的问题及改进措施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（一）存在的主要问题</w:t>
      </w:r>
    </w:p>
    <w:p>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jc w:val="both"/>
        <w:textAlignment w:val="auto"/>
        <w:outlineLvl w:val="1"/>
        <w:rPr>
          <w:rFonts w:hint="eastAsia" w:ascii="仿宋" w:hAnsi="仿宋" w:eastAsia="仿宋" w:cs="仿宋"/>
          <w:b/>
          <w:bCs w:val="0"/>
          <w:sz w:val="32"/>
          <w:szCs w:val="32"/>
        </w:rPr>
      </w:pPr>
      <w:bookmarkStart w:id="7" w:name="_Toc42012751"/>
      <w:r>
        <w:rPr>
          <w:rFonts w:hint="eastAsia" w:ascii="仿宋" w:hAnsi="仿宋" w:eastAsia="仿宋" w:cs="仿宋"/>
          <w:b/>
          <w:bCs w:val="0"/>
          <w:sz w:val="32"/>
          <w:szCs w:val="32"/>
          <w:lang w:val="en-US" w:eastAsia="zh-CN"/>
        </w:rPr>
        <w:t>1.</w:t>
      </w:r>
      <w:r>
        <w:rPr>
          <w:rFonts w:hint="eastAsia" w:ascii="仿宋" w:hAnsi="仿宋" w:eastAsia="仿宋" w:cs="仿宋"/>
          <w:b/>
          <w:bCs w:val="0"/>
          <w:sz w:val="32"/>
          <w:szCs w:val="32"/>
        </w:rPr>
        <w:t>优化绩效目标</w:t>
      </w:r>
      <w:bookmarkEnd w:id="7"/>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 w:hAnsi="仿宋" w:eastAsia="仿宋" w:cs="仿宋"/>
          <w:sz w:val="32"/>
          <w:szCs w:val="32"/>
        </w:rPr>
      </w:pPr>
      <w:r>
        <w:rPr>
          <w:rFonts w:hint="eastAsia" w:ascii="仿宋_GB2312" w:hAnsi="仿宋" w:eastAsia="仿宋_GB2312"/>
          <w:sz w:val="32"/>
          <w:szCs w:val="32"/>
          <w:lang w:val="en-US" w:eastAsia="zh-CN"/>
        </w:rPr>
        <w:t>项目初期编制了绩效目标，绩效目标设置较为合理、明确，符合我局的年度工作任务，但是</w:t>
      </w:r>
      <w:r>
        <w:rPr>
          <w:rFonts w:hint="eastAsia" w:ascii="仿宋_GB2312" w:hAnsi="仿宋" w:eastAsia="仿宋_GB2312"/>
          <w:sz w:val="32"/>
          <w:szCs w:val="32"/>
        </w:rPr>
        <w:t>部分项目绩效</w:t>
      </w:r>
      <w:r>
        <w:rPr>
          <w:rFonts w:hint="eastAsia" w:ascii="仿宋_GB2312" w:hAnsi="仿宋" w:eastAsia="仿宋_GB2312"/>
          <w:sz w:val="32"/>
          <w:szCs w:val="32"/>
          <w:lang w:val="en-US" w:eastAsia="zh-CN"/>
        </w:rPr>
        <w:t>指标细化、</w:t>
      </w:r>
      <w:r>
        <w:rPr>
          <w:rFonts w:hint="eastAsia" w:ascii="仿宋_GB2312" w:hAnsi="仿宋" w:eastAsia="仿宋_GB2312"/>
          <w:sz w:val="32"/>
          <w:szCs w:val="32"/>
        </w:rPr>
        <w:t>量化程度不够</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不利于</w:t>
      </w:r>
      <w:r>
        <w:rPr>
          <w:rFonts w:hint="eastAsia" w:ascii="仿宋_GB2312" w:hAnsi="仿宋" w:eastAsia="仿宋_GB2312"/>
          <w:sz w:val="32"/>
          <w:szCs w:val="32"/>
        </w:rPr>
        <w:t>后期评价阶段</w:t>
      </w:r>
      <w:r>
        <w:rPr>
          <w:rFonts w:hint="eastAsia" w:ascii="仿宋_GB2312" w:hAnsi="仿宋" w:eastAsia="仿宋_GB2312"/>
          <w:sz w:val="32"/>
          <w:szCs w:val="32"/>
          <w:lang w:val="en-US" w:eastAsia="zh-CN"/>
        </w:rPr>
        <w:t>的</w:t>
      </w:r>
      <w:r>
        <w:rPr>
          <w:rFonts w:hint="eastAsia" w:ascii="仿宋_GB2312" w:hAnsi="仿宋" w:eastAsia="仿宋_GB2312"/>
          <w:sz w:val="32"/>
          <w:szCs w:val="32"/>
        </w:rPr>
        <w:t>考核衡量</w:t>
      </w:r>
      <w:r>
        <w:rPr>
          <w:rFonts w:hint="eastAsia" w:ascii="仿宋_GB2312" w:hAnsi="仿宋" w:eastAsia="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jc w:val="both"/>
        <w:textAlignment w:val="auto"/>
        <w:outlineLvl w:val="1"/>
        <w:rPr>
          <w:rFonts w:hint="default" w:ascii="仿宋" w:hAnsi="仿宋" w:eastAsia="仿宋" w:cs="仿宋"/>
          <w:b/>
          <w:bCs w:val="0"/>
          <w:sz w:val="32"/>
          <w:szCs w:val="32"/>
          <w:lang w:val="en-US" w:eastAsia="zh-CN"/>
        </w:rPr>
      </w:pPr>
      <w:r>
        <w:rPr>
          <w:rFonts w:hint="eastAsia" w:ascii="仿宋" w:hAnsi="仿宋" w:eastAsia="仿宋" w:cs="仿宋"/>
          <w:b/>
          <w:bCs w:val="0"/>
          <w:sz w:val="32"/>
          <w:szCs w:val="32"/>
          <w:lang w:val="en-US" w:eastAsia="zh-CN"/>
        </w:rPr>
        <w:t>2.优化合作资源</w:t>
      </w:r>
    </w:p>
    <w:p>
      <w:pPr>
        <w:keepNext w:val="0"/>
        <w:keepLines w:val="0"/>
        <w:pageBreakBefore w:val="0"/>
        <w:widowControl w:val="0"/>
        <w:kinsoku/>
        <w:wordWrap/>
        <w:overflowPunct/>
        <w:topLinePunct w:val="0"/>
        <w:autoSpaceDE/>
        <w:autoSpaceDN/>
        <w:bidi w:val="0"/>
        <w:snapToGrid/>
        <w:spacing w:line="560" w:lineRule="exact"/>
        <w:ind w:firstLine="614" w:firstLineChars="192"/>
        <w:textAlignment w:val="auto"/>
        <w:rPr>
          <w:rFonts w:hint="eastAsia" w:ascii="仿宋_GB2312" w:hAnsi="仿宋" w:eastAsia="仿宋_GB2312" w:cs="仿宋"/>
          <w:b/>
          <w:bCs/>
          <w:sz w:val="32"/>
          <w:szCs w:val="32"/>
          <w:lang w:val="en-US" w:eastAsia="zh-CN"/>
        </w:rPr>
      </w:pPr>
      <w:bookmarkStart w:id="8" w:name="_Toc42012753"/>
      <w:r>
        <w:rPr>
          <w:rFonts w:hint="eastAsia" w:ascii="仿宋_GB2312" w:hAnsi="仿宋" w:eastAsia="仿宋_GB2312"/>
          <w:sz w:val="32"/>
          <w:szCs w:val="32"/>
          <w:lang w:val="en-US" w:eastAsia="zh-CN"/>
        </w:rPr>
        <w:t>通过政府采购中公开招标的采购方式确定了5家代理招商专业机构，</w:t>
      </w:r>
      <w:bookmarkEnd w:id="8"/>
      <w:r>
        <w:rPr>
          <w:rFonts w:hint="eastAsia" w:ascii="仿宋_GB2312" w:hAnsi="仿宋" w:eastAsia="仿宋_GB2312"/>
          <w:sz w:val="32"/>
          <w:szCs w:val="32"/>
          <w:lang w:val="en-US" w:eastAsia="zh-CN"/>
        </w:rPr>
        <w:t>并与之签订了代理招商协议，合同结束期前，仅1家公司达成了合同约定的节点标准，支付了合同总额30%的年度费用，其余4家未达到相关标准。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（二）针对问题提出具体的改进措施或建议</w:t>
      </w:r>
    </w:p>
    <w:p>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jc w:val="both"/>
        <w:textAlignment w:val="auto"/>
        <w:outlineLvl w:val="1"/>
        <w:rPr>
          <w:rFonts w:hint="eastAsia" w:ascii="仿宋_GB2312" w:hAnsi="仿宋" w:eastAsia="仿宋_GB2312"/>
          <w:sz w:val="32"/>
          <w:szCs w:val="32"/>
        </w:rPr>
      </w:pPr>
      <w:r>
        <w:rPr>
          <w:rFonts w:hint="eastAsia" w:ascii="仿宋_GB2312" w:hAnsi="仿宋" w:eastAsia="仿宋_GB2312"/>
          <w:b/>
          <w:bCs/>
          <w:sz w:val="32"/>
          <w:szCs w:val="32"/>
          <w:lang w:val="en-US" w:eastAsia="zh-CN"/>
        </w:rPr>
        <w:t>1.</w:t>
      </w:r>
      <w:r>
        <w:rPr>
          <w:rFonts w:hint="eastAsia" w:ascii="仿宋_GB2312" w:hAnsi="仿宋" w:eastAsia="仿宋_GB2312"/>
          <w:b/>
          <w:bCs/>
          <w:sz w:val="32"/>
          <w:szCs w:val="32"/>
        </w:rPr>
        <w:t>预算编制阶段。</w:t>
      </w:r>
      <w:r>
        <w:rPr>
          <w:rFonts w:hint="eastAsia" w:ascii="仿宋_GB2312" w:hAnsi="仿宋" w:eastAsia="仿宋_GB2312"/>
          <w:sz w:val="32"/>
          <w:szCs w:val="32"/>
        </w:rPr>
        <w:t>财政预算项目申报阶段</w:t>
      </w:r>
      <w:r>
        <w:rPr>
          <w:rFonts w:hint="eastAsia" w:ascii="仿宋_GB2312" w:hAnsi="仿宋" w:eastAsia="仿宋_GB2312"/>
          <w:sz w:val="32"/>
          <w:szCs w:val="32"/>
          <w:lang w:eastAsia="zh-CN"/>
        </w:rPr>
        <w:t>，</w:t>
      </w:r>
      <w:r>
        <w:rPr>
          <w:rFonts w:hint="eastAsia" w:ascii="仿宋_GB2312" w:hAnsi="仿宋" w:eastAsia="仿宋_GB2312"/>
          <w:sz w:val="32"/>
          <w:szCs w:val="32"/>
        </w:rPr>
        <w:t>我局将认真</w:t>
      </w:r>
      <w:r>
        <w:rPr>
          <w:rFonts w:hint="eastAsia" w:ascii="仿宋_GB2312" w:hAnsi="仿宋" w:eastAsia="仿宋_GB2312"/>
          <w:sz w:val="32"/>
          <w:szCs w:val="32"/>
          <w:lang w:eastAsia="zh-CN"/>
        </w:rPr>
        <w:t>、</w:t>
      </w:r>
      <w:r>
        <w:rPr>
          <w:rFonts w:hint="eastAsia" w:ascii="仿宋_GB2312" w:hAnsi="仿宋" w:eastAsia="仿宋_GB2312"/>
          <w:sz w:val="32"/>
          <w:szCs w:val="32"/>
        </w:rPr>
        <w:t>科学合理填报绩效目标申报表</w:t>
      </w:r>
      <w:r>
        <w:rPr>
          <w:rFonts w:hint="eastAsia" w:ascii="仿宋_GB2312" w:hAnsi="仿宋" w:eastAsia="仿宋_GB2312"/>
          <w:sz w:val="32"/>
          <w:szCs w:val="32"/>
          <w:lang w:eastAsia="zh-CN"/>
        </w:rPr>
        <w:t>，</w:t>
      </w:r>
      <w:r>
        <w:rPr>
          <w:rFonts w:hint="eastAsia" w:ascii="仿宋_GB2312" w:hAnsi="仿宋" w:eastAsia="仿宋_GB2312"/>
          <w:sz w:val="32"/>
          <w:szCs w:val="32"/>
        </w:rPr>
        <w:t>同时进一步加强绩效目标申报表审核工作，保证各项指标细化、量化，进一步提高绩效目标设定的科学合理性。</w:t>
      </w:r>
      <w:r>
        <w:rPr>
          <w:rFonts w:hint="eastAsia" w:ascii="仿宋" w:hAnsi="仿宋" w:eastAsia="仿宋" w:cs="仿宋"/>
          <w:sz w:val="32"/>
          <w:szCs w:val="32"/>
        </w:rPr>
        <w:t>进一步加强各项目的预算资金管理，加大对预算编制与执行的监督管理力度，提高预算资金使用效率。</w:t>
      </w:r>
    </w:p>
    <w:p>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jc w:val="both"/>
        <w:textAlignment w:val="auto"/>
        <w:outlineLvl w:val="1"/>
        <w:rPr>
          <w:rFonts w:hint="eastAsia" w:ascii="仿宋_GB2312" w:hAnsi="仿宋" w:eastAsia="仿宋_GB2312"/>
          <w:sz w:val="32"/>
          <w:szCs w:val="32"/>
        </w:rPr>
      </w:pPr>
      <w:r>
        <w:rPr>
          <w:rFonts w:hint="eastAsia" w:ascii="仿宋_GB2312" w:hAnsi="仿宋" w:eastAsia="仿宋_GB2312"/>
          <w:b/>
          <w:bCs/>
          <w:sz w:val="32"/>
          <w:szCs w:val="32"/>
          <w:lang w:val="en-US" w:eastAsia="zh-CN"/>
        </w:rPr>
        <w:t>2.</w:t>
      </w:r>
      <w:r>
        <w:rPr>
          <w:rFonts w:hint="eastAsia" w:ascii="仿宋_GB2312" w:hAnsi="仿宋" w:eastAsia="仿宋_GB2312"/>
          <w:b/>
          <w:bCs/>
          <w:sz w:val="32"/>
          <w:szCs w:val="32"/>
        </w:rPr>
        <w:t>预算执行阶段</w:t>
      </w:r>
      <w:r>
        <w:rPr>
          <w:rFonts w:hint="eastAsia" w:ascii="仿宋_GB2312" w:hAnsi="仿宋" w:eastAsia="仿宋_GB2312"/>
          <w:b/>
          <w:bCs/>
          <w:sz w:val="32"/>
          <w:szCs w:val="32"/>
          <w:lang w:eastAsia="zh-CN"/>
        </w:rPr>
        <w:t>。</w:t>
      </w:r>
      <w:r>
        <w:rPr>
          <w:rFonts w:hint="eastAsia" w:ascii="仿宋_GB2312" w:hAnsi="仿宋" w:eastAsia="仿宋_GB2312"/>
          <w:sz w:val="32"/>
          <w:szCs w:val="32"/>
        </w:rPr>
        <w:t>进一步强化项目操作管理，通过实行全过程的绩效运行监控工作，及时发现执行偏差并纠正，保证项目按计划有序开展。</w:t>
      </w:r>
    </w:p>
    <w:p>
      <w:pPr>
        <w:keepNext w:val="0"/>
        <w:keepLines w:val="0"/>
        <w:pageBreakBefore w:val="0"/>
        <w:widowControl w:val="0"/>
        <w:kinsoku/>
        <w:wordWrap/>
        <w:overflowPunct/>
        <w:topLinePunct w:val="0"/>
        <w:autoSpaceDE/>
        <w:autoSpaceDN/>
        <w:bidi w:val="0"/>
        <w:snapToGrid/>
        <w:spacing w:line="560" w:lineRule="exact"/>
        <w:ind w:firstLine="643" w:firstLineChars="200"/>
        <w:textAlignment w:val="auto"/>
        <w:rPr>
          <w:rFonts w:hint="eastAsia" w:ascii="仿宋_GB2312" w:hAnsi="仿宋" w:eastAsia="仿宋_GB2312"/>
          <w:sz w:val="32"/>
          <w:szCs w:val="32"/>
        </w:rPr>
      </w:pPr>
      <w:r>
        <w:rPr>
          <w:rFonts w:hint="eastAsia" w:ascii="仿宋_GB2312" w:hAnsi="仿宋" w:eastAsia="仿宋_GB2312"/>
          <w:b/>
          <w:bCs/>
          <w:sz w:val="32"/>
          <w:szCs w:val="32"/>
          <w:lang w:val="en-US" w:eastAsia="zh-CN"/>
        </w:rPr>
        <w:t>3.</w:t>
      </w:r>
      <w:r>
        <w:rPr>
          <w:rFonts w:hint="eastAsia" w:ascii="仿宋_GB2312" w:hAnsi="仿宋" w:eastAsia="仿宋_GB2312"/>
          <w:b/>
          <w:bCs/>
          <w:sz w:val="32"/>
          <w:szCs w:val="32"/>
        </w:rPr>
        <w:t>项目完成阶段。</w:t>
      </w:r>
      <w:r>
        <w:rPr>
          <w:rFonts w:hint="eastAsia" w:ascii="仿宋_GB2312" w:hAnsi="仿宋" w:eastAsia="仿宋_GB2312"/>
          <w:sz w:val="32"/>
          <w:szCs w:val="32"/>
        </w:rPr>
        <w:t>进一步强化对绩效成果性资料的整理，归集，通过询问、实地调研等多种方式对项目实施效果和满意度进行统计与分析，不断提高财政资金使用效益。</w:t>
      </w:r>
    </w:p>
    <w:p>
      <w:pPr>
        <w:keepNext w:val="0"/>
        <w:keepLines w:val="0"/>
        <w:pageBreakBefore w:val="0"/>
        <w:widowControl w:val="0"/>
        <w:kinsoku/>
        <w:wordWrap/>
        <w:overflowPunct/>
        <w:topLinePunct w:val="0"/>
        <w:autoSpaceDE/>
        <w:autoSpaceDN/>
        <w:bidi w:val="0"/>
        <w:snapToGrid/>
        <w:spacing w:line="560" w:lineRule="exact"/>
        <w:ind w:firstLine="643" w:firstLineChars="200"/>
        <w:textAlignment w:val="auto"/>
        <w:rPr>
          <w:rFonts w:hint="eastAsia" w:ascii="仿宋" w:hAnsi="仿宋" w:eastAsia="仿宋" w:cs="仿宋"/>
          <w:sz w:val="32"/>
          <w:szCs w:val="32"/>
        </w:rPr>
      </w:pPr>
      <w:r>
        <w:rPr>
          <w:rFonts w:hint="eastAsia" w:ascii="仿宋_GB2312" w:hAnsi="仿宋" w:eastAsia="仿宋_GB2312" w:cs="Times New Roman"/>
          <w:b/>
          <w:bCs/>
          <w:sz w:val="32"/>
          <w:szCs w:val="32"/>
          <w:lang w:val="en-US" w:eastAsia="zh-CN"/>
        </w:rPr>
        <w:t>4.</w:t>
      </w:r>
      <w:r>
        <w:rPr>
          <w:rFonts w:hint="eastAsia" w:ascii="仿宋_GB2312" w:hAnsi="仿宋" w:eastAsia="仿宋_GB2312" w:cs="Times New Roman"/>
          <w:b/>
          <w:bCs/>
          <w:sz w:val="32"/>
          <w:szCs w:val="32"/>
        </w:rPr>
        <w:t>重视结果应用</w:t>
      </w:r>
      <w:r>
        <w:rPr>
          <w:rFonts w:hint="eastAsia" w:ascii="仿宋_GB2312" w:hAnsi="仿宋" w:eastAsia="仿宋_GB2312" w:cs="Times New Roman"/>
          <w:b/>
          <w:bCs/>
          <w:sz w:val="32"/>
          <w:szCs w:val="32"/>
          <w:lang w:eastAsia="zh-CN"/>
        </w:rPr>
        <w:t>。</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p>
      <w:pPr>
        <w:keepNext w:val="0"/>
        <w:keepLines w:val="0"/>
        <w:pageBreakBefore w:val="0"/>
        <w:widowControl w:val="0"/>
        <w:kinsoku/>
        <w:wordWrap/>
        <w:overflowPunct/>
        <w:topLinePunct w:val="0"/>
        <w:autoSpaceDE/>
        <w:autoSpaceDN/>
        <w:bidi w:val="0"/>
        <w:snapToGrid/>
        <w:spacing w:line="560" w:lineRule="exact"/>
        <w:ind w:firstLine="643" w:firstLineChars="200"/>
        <w:textAlignment w:val="auto"/>
        <w:rPr>
          <w:rFonts w:hint="eastAsia" w:ascii="仿宋_GB2312" w:hAnsi="仿宋" w:eastAsia="仿宋_GB2312"/>
          <w:sz w:val="32"/>
          <w:szCs w:val="32"/>
          <w:lang w:val="en-US" w:eastAsia="zh-CN"/>
        </w:rPr>
      </w:pPr>
      <w:r>
        <w:rPr>
          <w:rFonts w:hint="eastAsia" w:ascii="仿宋_GB2312" w:hAnsi="仿宋" w:eastAsia="仿宋_GB2312"/>
          <w:b/>
          <w:bCs/>
          <w:sz w:val="32"/>
          <w:szCs w:val="32"/>
          <w:lang w:val="en-US" w:eastAsia="zh-CN"/>
        </w:rPr>
        <w:t>5.强化学习培训。</w:t>
      </w:r>
      <w:r>
        <w:rPr>
          <w:rFonts w:hint="eastAsia" w:ascii="仿宋_GB2312" w:hAnsi="仿宋" w:eastAsia="仿宋_GB2312"/>
          <w:sz w:val="32"/>
          <w:szCs w:val="32"/>
          <w:lang w:val="en-US" w:eastAsia="zh-CN"/>
        </w:rPr>
        <w:t>对</w:t>
      </w:r>
      <w:r>
        <w:rPr>
          <w:rFonts w:hint="eastAsia" w:ascii="仿宋_GB2312" w:hAnsi="仿宋" w:eastAsia="仿宋_GB2312"/>
          <w:sz w:val="32"/>
          <w:szCs w:val="32"/>
        </w:rPr>
        <w:t>各业务处室</w:t>
      </w:r>
      <w:r>
        <w:rPr>
          <w:rFonts w:hint="eastAsia" w:ascii="仿宋_GB2312" w:hAnsi="仿宋" w:eastAsia="仿宋_GB2312"/>
          <w:sz w:val="32"/>
          <w:szCs w:val="32"/>
          <w:lang w:val="en-US" w:eastAsia="zh-CN"/>
        </w:rPr>
        <w:t>相关人员加强培训，特别是加强针对《预算法》《行政事业单位会计制度》，项目立项规范，绩效评价相关方针、政策以及市财政有关规定等的学习培训，切实提高部门预算收支、项目立项和绩效目标的管理水平。</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 w:eastAsia="仿宋_GB2312"/>
          <w:sz w:val="32"/>
          <w:szCs w:val="32"/>
          <w:lang w:val="en-US" w:eastAsia="zh-CN"/>
        </w:rPr>
      </w:pPr>
      <w:bookmarkStart w:id="9" w:name="_GoBack"/>
      <w:bookmarkEnd w:id="9"/>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 w:eastAsia="仿宋_GB2312"/>
          <w:sz w:val="32"/>
          <w:szCs w:val="32"/>
          <w:lang w:val="en-US" w:eastAsia="zh-CN"/>
        </w:rPr>
      </w:pPr>
    </w:p>
    <w:p>
      <w:pPr>
        <w:keepNext w:val="0"/>
        <w:keepLines w:val="0"/>
        <w:pageBreakBefore w:val="0"/>
        <w:widowControl w:val="0"/>
        <w:kinsoku/>
        <w:wordWrap w:val="0"/>
        <w:overflowPunct/>
        <w:topLinePunct w:val="0"/>
        <w:autoSpaceDE/>
        <w:autoSpaceDN/>
        <w:bidi w:val="0"/>
        <w:snapToGrid/>
        <w:spacing w:line="560" w:lineRule="exact"/>
        <w:ind w:firstLine="640" w:firstLineChars="200"/>
        <w:jc w:val="right"/>
        <w:textAlignment w:val="auto"/>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 xml:space="preserve">石家庄市投资促进局     </w:t>
      </w:r>
    </w:p>
    <w:p>
      <w:pPr>
        <w:keepNext w:val="0"/>
        <w:keepLines w:val="0"/>
        <w:pageBreakBefore w:val="0"/>
        <w:widowControl w:val="0"/>
        <w:kinsoku/>
        <w:wordWrap w:val="0"/>
        <w:overflowPunct/>
        <w:topLinePunct w:val="0"/>
        <w:autoSpaceDE/>
        <w:autoSpaceDN/>
        <w:bidi w:val="0"/>
        <w:snapToGrid/>
        <w:spacing w:line="560" w:lineRule="exact"/>
        <w:ind w:firstLine="640" w:firstLineChars="200"/>
        <w:jc w:val="right"/>
        <w:textAlignment w:val="auto"/>
        <w:rPr>
          <w:rFonts w:hint="default"/>
          <w:lang w:val="en-US" w:eastAsia="zh-CN"/>
        </w:rPr>
      </w:pPr>
      <w:r>
        <w:rPr>
          <w:rFonts w:hint="eastAsia" w:ascii="仿宋_GB2312" w:hAnsi="仿宋" w:eastAsia="仿宋_GB2312"/>
          <w:sz w:val="32"/>
          <w:szCs w:val="32"/>
          <w:lang w:val="en-US" w:eastAsia="zh-CN"/>
        </w:rPr>
        <w:t xml:space="preserve">2022年3月   </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DE91B3"/>
    <w:multiLevelType w:val="singleLevel"/>
    <w:tmpl w:val="BDDE91B3"/>
    <w:lvl w:ilvl="0" w:tentative="0">
      <w:start w:val="1"/>
      <w:numFmt w:val="decimal"/>
      <w:lvlText w:val="%1."/>
      <w:lvlJc w:val="left"/>
      <w:pPr>
        <w:tabs>
          <w:tab w:val="left" w:pos="312"/>
        </w:tabs>
      </w:pPr>
    </w:lvl>
  </w:abstractNum>
  <w:abstractNum w:abstractNumId="1">
    <w:nsid w:val="4602AC61"/>
    <w:multiLevelType w:val="singleLevel"/>
    <w:tmpl w:val="4602AC61"/>
    <w:lvl w:ilvl="0" w:tentative="0">
      <w:start w:val="1"/>
      <w:numFmt w:val="decimal"/>
      <w:lvlText w:val="%1."/>
      <w:lvlJc w:val="left"/>
      <w:pPr>
        <w:tabs>
          <w:tab w:val="left" w:pos="312"/>
        </w:tabs>
      </w:pPr>
    </w:lvl>
  </w:abstractNum>
  <w:abstractNum w:abstractNumId="2">
    <w:nsid w:val="4CF56BCB"/>
    <w:multiLevelType w:val="singleLevel"/>
    <w:tmpl w:val="4CF56BCB"/>
    <w:lvl w:ilvl="0" w:tentative="0">
      <w:start w:val="1"/>
      <w:numFmt w:val="decimal"/>
      <w:lvlText w:val="%1."/>
      <w:lvlJc w:val="left"/>
      <w:pPr>
        <w:tabs>
          <w:tab w:val="left" w:pos="312"/>
        </w:tabs>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817CF4"/>
    <w:rsid w:val="12E84200"/>
    <w:rsid w:val="143F42F3"/>
    <w:rsid w:val="19466124"/>
    <w:rsid w:val="1BDE0896"/>
    <w:rsid w:val="1EED5CE6"/>
    <w:rsid w:val="205729C5"/>
    <w:rsid w:val="23694EE9"/>
    <w:rsid w:val="262F241A"/>
    <w:rsid w:val="2728405B"/>
    <w:rsid w:val="277F4CDB"/>
    <w:rsid w:val="278D40BF"/>
    <w:rsid w:val="2F9E5F1A"/>
    <w:rsid w:val="32DC6C84"/>
    <w:rsid w:val="32E26A66"/>
    <w:rsid w:val="33E800AC"/>
    <w:rsid w:val="38A81BB8"/>
    <w:rsid w:val="3FCE63A8"/>
    <w:rsid w:val="42F35D37"/>
    <w:rsid w:val="448E4357"/>
    <w:rsid w:val="453C0257"/>
    <w:rsid w:val="46B67B95"/>
    <w:rsid w:val="474D22A8"/>
    <w:rsid w:val="47530F1F"/>
    <w:rsid w:val="47B642F1"/>
    <w:rsid w:val="4CAC181F"/>
    <w:rsid w:val="52754094"/>
    <w:rsid w:val="541F321E"/>
    <w:rsid w:val="585A4825"/>
    <w:rsid w:val="5F2B2A77"/>
    <w:rsid w:val="60C74A21"/>
    <w:rsid w:val="61335EC0"/>
    <w:rsid w:val="65F75DA9"/>
    <w:rsid w:val="66331C55"/>
    <w:rsid w:val="67C47F0C"/>
    <w:rsid w:val="692C3FBB"/>
    <w:rsid w:val="6C20148A"/>
    <w:rsid w:val="6CFA35E4"/>
    <w:rsid w:val="6FC9479E"/>
    <w:rsid w:val="74065409"/>
    <w:rsid w:val="76EC6B38"/>
    <w:rsid w:val="799B3482"/>
    <w:rsid w:val="7AC555F6"/>
    <w:rsid w:val="7B4936A1"/>
    <w:rsid w:val="7C9E08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2022-03-16T16:44:00Z</dcterms:created>
  <dc:creator>admin</dc:creator>
  <cp:lastModifiedBy>admin</cp:lastModifiedBy>
  <dcterms:modified xsi:type="dcterms:W3CDTF">2022-03-25T07:34:12Z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6BA0C9BD91A84110884024E04F490666</vt:lpwstr>
  </property>
</Properties>
</file>