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仿宋_GB2312" w:eastAsia="仿宋_GB2312"/>
          <w:snapToGrid w:val="0"/>
          <w:kern w:val="0"/>
          <w:sz w:val="32"/>
          <w:szCs w:val="32"/>
        </w:rPr>
      </w:pPr>
    </w:p>
    <w:p>
      <w:pPr>
        <w:spacing w:line="560" w:lineRule="exact"/>
        <w:jc w:val="center"/>
        <w:rPr>
          <w:rFonts w:ascii="宋体" w:hAnsi="宋体" w:cs="宋体"/>
          <w:b/>
          <w:bCs/>
          <w:snapToGrid w:val="0"/>
          <w:kern w:val="0"/>
          <w:sz w:val="44"/>
          <w:szCs w:val="44"/>
        </w:rPr>
      </w:pPr>
    </w:p>
    <w:p>
      <w:pPr>
        <w:spacing w:line="560" w:lineRule="exact"/>
        <w:jc w:val="center"/>
        <w:outlineLvl w:val="0"/>
        <w:rPr>
          <w:rFonts w:ascii="宋体" w:hAnsi="宋体" w:cs="宋体"/>
          <w:b/>
          <w:bCs/>
          <w:sz w:val="44"/>
          <w:szCs w:val="44"/>
        </w:rPr>
      </w:pPr>
      <w:r>
        <w:rPr>
          <w:rFonts w:hint="eastAsia" w:ascii="宋体" w:hAnsi="宋体" w:cs="宋体"/>
          <w:b/>
          <w:bCs/>
          <w:sz w:val="44"/>
          <w:szCs w:val="44"/>
        </w:rPr>
        <w:t>石家庄市政府投资项目代建中心</w:t>
      </w:r>
    </w:p>
    <w:p>
      <w:pPr>
        <w:spacing w:line="560" w:lineRule="exact"/>
        <w:jc w:val="center"/>
        <w:outlineLvl w:val="0"/>
        <w:rPr>
          <w:rFonts w:ascii="宋体" w:hAnsi="宋体" w:cs="宋体"/>
          <w:b/>
          <w:bCs/>
          <w:sz w:val="44"/>
          <w:szCs w:val="44"/>
        </w:rPr>
      </w:pPr>
      <w:r>
        <w:rPr>
          <w:rFonts w:hint="eastAsia" w:ascii="宋体" w:hAnsi="宋体" w:cs="宋体"/>
          <w:b/>
          <w:bCs/>
          <w:sz w:val="44"/>
          <w:szCs w:val="44"/>
        </w:rPr>
        <w:t>2021年度整体支出绩效自评报告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为贯彻落实市委、市政府《关于全面落实预算绩效管理的实施意见》（石发﹝2019﹞8号）文件精神，遵循“科学性、规范性、客观性和公正性”的原则，石家庄市政府投资项目代建中心对2021年部门整体支出情况实施了绩效自评价，形成自评报告，现将自评情况汇报如下：</w:t>
      </w:r>
    </w:p>
    <w:p>
      <w:pPr>
        <w:adjustRightInd w:val="0"/>
        <w:snapToGrid w:val="0"/>
        <w:spacing w:line="560" w:lineRule="exact"/>
        <w:ind w:firstLine="640" w:firstLineChars="200"/>
        <w:outlineLvl w:val="0"/>
        <w:rPr>
          <w:rFonts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pPr>
        <w:adjustRightInd w:val="0"/>
        <w:snapToGrid w:val="0"/>
        <w:spacing w:line="560" w:lineRule="exact"/>
        <w:ind w:firstLine="643" w:firstLineChars="200"/>
        <w:outlineLvl w:val="1"/>
        <w:rPr>
          <w:rFonts w:ascii="仿宋" w:hAnsi="仿宋" w:eastAsia="仿宋" w:cs="楷体_GB2312"/>
          <w:b/>
          <w:bCs/>
          <w:sz w:val="32"/>
          <w:szCs w:val="32"/>
        </w:rPr>
      </w:pPr>
      <w:r>
        <w:rPr>
          <w:rFonts w:hint="eastAsia" w:ascii="仿宋" w:hAnsi="仿宋" w:eastAsia="仿宋" w:cs="楷体_GB2312"/>
          <w:b/>
          <w:bCs/>
          <w:sz w:val="32"/>
          <w:szCs w:val="32"/>
        </w:rPr>
        <w:t>（一）部门概况</w:t>
      </w:r>
    </w:p>
    <w:p>
      <w:pPr>
        <w:adjustRightInd w:val="0"/>
        <w:snapToGrid w:val="0"/>
        <w:spacing w:line="560" w:lineRule="exact"/>
        <w:ind w:firstLine="640" w:firstLineChars="200"/>
        <w:outlineLvl w:val="2"/>
        <w:rPr>
          <w:rFonts w:ascii="仿宋" w:hAnsi="仿宋" w:eastAsia="仿宋" w:cs="仿宋"/>
          <w:sz w:val="32"/>
          <w:szCs w:val="32"/>
        </w:rPr>
      </w:pPr>
      <w:r>
        <w:rPr>
          <w:rFonts w:hint="eastAsia" w:ascii="仿宋" w:hAnsi="仿宋" w:eastAsia="仿宋" w:cs="仿宋"/>
          <w:sz w:val="32"/>
          <w:szCs w:val="32"/>
        </w:rPr>
        <w:t>1.部门职能</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根据《石家庄市机构编制委员会关于组建市政府投资项目代建中心的批复》（石机编﹝2017﹞2号）《石家庄市政府投资项目代建中心职能配置、内设机构和人员编制规定》，石家庄市政府投资项目代建中心（以下简称“我单位”或“中心”）成立于2017年，是直属市政府的正处级事业单位（公益一类），主要职责是：负责政府投资代建项目</w:t>
      </w:r>
      <w:r>
        <w:rPr>
          <w:rStyle w:val="16"/>
          <w:rFonts w:ascii="仿宋" w:hAnsi="仿宋" w:eastAsia="仿宋" w:cs="仿宋"/>
          <w:sz w:val="32"/>
          <w:szCs w:val="32"/>
        </w:rPr>
        <w:footnoteReference w:id="0"/>
      </w:r>
      <w:r>
        <w:rPr>
          <w:rFonts w:hint="eastAsia" w:ascii="仿宋" w:hAnsi="仿宋" w:eastAsia="仿宋" w:cs="仿宋"/>
          <w:sz w:val="32"/>
          <w:szCs w:val="32"/>
        </w:rPr>
        <w:t>的建设管理，项目可行性研究报告批复后，代建管理机构履行项目建设管理单位职责实行代建，完成项目竣工验收后移交项目使用单位。</w:t>
      </w:r>
    </w:p>
    <w:p>
      <w:pPr>
        <w:adjustRightInd w:val="0"/>
        <w:snapToGrid w:val="0"/>
        <w:spacing w:line="560" w:lineRule="exact"/>
        <w:ind w:firstLine="640" w:firstLineChars="200"/>
        <w:outlineLvl w:val="2"/>
        <w:rPr>
          <w:rFonts w:ascii="仿宋" w:hAnsi="仿宋" w:eastAsia="仿宋" w:cs="仿宋"/>
          <w:sz w:val="32"/>
          <w:szCs w:val="32"/>
        </w:rPr>
      </w:pPr>
      <w:r>
        <w:rPr>
          <w:rFonts w:hint="eastAsia" w:ascii="仿宋" w:hAnsi="仿宋" w:eastAsia="仿宋" w:cs="仿宋"/>
          <w:sz w:val="32"/>
          <w:szCs w:val="32"/>
        </w:rPr>
        <w:t>2.组织机构</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我单位内设10个科室，包括办公室、计划财务和后评价科、审计科、工程技术科（总工办）、招标合同科、造价审查科、工程一科、工程二科、工程三科、项目审核科。其主要职责如下：</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办公室。负责中心日常工作的综合协调和督查督办；负责中心文电运转、会务组织、机要保密、档案管理、信访维稳、安全稳定、国家安全、重大风险防范、政务公开、后勤保障等工作；负责起草中心重要文件、综合文稿和领导讲话；负责中心国有资产管理工作；负责承办人大代表建议、政协委员提案答复工作；负责新闻宣传、网站建设等工作；负责中心老干部服务工作，指导所属单位老干部服务工作；负责中心和所属单位的机构编制、人事管理、教育培训工作；负责所属单位领导班子建设和科级干部管理；负责中心平安建设、意识形态工作；负责中心及直属单位党群工作；负责中心及下属单位的内部纪检监察工作；负责监督各项招标事宜；负责中心党组交办的其他工作。</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计划财务和后评价科。负责中心财务、代建项目资金的管理、预决算编报和银行账户管理有关事宜；负责编报代建项目用款计划；负责与市财政局接洽代建项目工程款拨入事宜；负责代建项目工程款拨付工作；负责代建项目履约保证金等资金的管理工作；负责新承接代建项目的对接沟通工作；负责中心人员工资福利管理、报批、发放及各类社会保险和公积金核算缴存工作；负责中心内控工作；负责中心及代建项目预算绩效评价工作；牵头负责代建项目保障农民工工资支付和根治拖欠农民工工资工作；负责中心党组交办的其他工作。</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3）审计科。负责本单位及代建项目财务收支的审计工作；负责对重点代建项目进行跟踪审计；负责对各科室和下属单位贯彻落实国家、省、市重大政策措施及中心重大决策部署情况和执行国家基本建设程序、招投标等法律法规情况进行审计及审计调查；负责依法依规组织对参建单位项目管理工作进行审计及审计调查；在市审计机关的指导下开展相关审计工作；配合市纪委监委派驻机构做好纪检监察工作；负责中心党组交办的其他工作。</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4）工程技术科（总工办）。负责中心技术委员会的日常工作；牵头负责设计变更的管理工作；牵头负责代建项目工地标准化管理、大气污染防治和安全、质量等监督管理工作；负责项目管理交流、管理制度的制定，以及落实情况的督导、考核、检查与奖惩；对索赔、工期延期等问题进行审核；负责新技术、新工艺、新材料在代建项目中的推广与应用；负责组织工程技术培训与考察、业务对外交流活动；负责工程设备材料库的管理工作；负责项目成果、奖项的申报及管理工作；负责代建项目工程档案的管理工作，指导工程科室办理项目档案移交工作；负责中心专业工程技术人员的调配工作；创办工程信息简报；参与制定重大施工技术方案和重大质量事故的处理方案；参与代建项目竣工验收工作；负责中心党组交办的其他工作。</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5）招标合同科。负责中心招标采购委员会的日常工作；负责项目施工招标标段划分工作；负责结合项目进度计划编制招标（采购）方案；负责代建项目的勘察、设计、施工、监理、重要设备和材料的招标（采购）工作；负责合同（协议）审查、编号、登记及备案工作；负责招标代理机构的管理工作；负责中心法律顾问的沟通联络工作；负责处理合同争议理赔；负责中心党组交办的其他工作。</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6）造价审查科。负责代建项目工程量、工程款审核，配合编制代建项目用款计划；指导代建项目投资估算、工程概算的编制工作；负责因造价引起的合同争议的初步审核；负责对代建项目结算进行审核及报审；负责工程造价信息采集与建筑材料及设备的价格审核工作；负责委托造价咨询机构进行咨询服务；参与设计变更及签证工作；负责中心党组交办的其他工作。</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7）工程一科。负责代建项目的初步设计文件或概算编制，并配合使用单位做好报审工作；负责代建项目技术方案的论证工作；负责代建项目施工图设计及预算编制，组织报审；负责代建工程合同的起草、签订工作；负责代建项目相关审批、基础设施接入、报验等手续办理工作；负责代建项目建设全过程管理；负责代建项目工地标准化管理、大气污染防治和安全、质量等监督管理工作；负责代建项目保障农民工工资支付和根治拖欠农民工工资监督管理工作；负责提出代建项目用款计划，参与代建项目结算、决算工作；负责监督合同履约情况，并及时提出反馈意见；负责监督协调代建项目农民工工资支付工作；负责监督参建单位履行职责，将代建过程中的违法、违规行为及时报告有关行政主管部门；负责组织代建项目竣工验收、使用移交等工作；负责中心党组交办的其他工作。</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（8）工程二科。同工程一科。</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（9）工程三科。同工程一科。</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（10）项目审核科。同工程一科。</w:t>
      </w:r>
    </w:p>
    <w:p>
      <w:pPr>
        <w:adjustRightInd w:val="0"/>
        <w:snapToGrid w:val="0"/>
        <w:spacing w:line="560" w:lineRule="exact"/>
        <w:ind w:firstLine="640" w:firstLineChars="200"/>
        <w:outlineLvl w:val="2"/>
        <w:rPr>
          <w:rFonts w:ascii="仿宋" w:hAnsi="仿宋" w:eastAsia="仿宋" w:cs="仿宋"/>
          <w:sz w:val="32"/>
          <w:szCs w:val="32"/>
        </w:rPr>
      </w:pPr>
      <w:r>
        <w:rPr>
          <w:rFonts w:hint="eastAsia" w:ascii="仿宋" w:hAnsi="仿宋" w:eastAsia="仿宋" w:cs="仿宋"/>
          <w:sz w:val="32"/>
          <w:szCs w:val="32"/>
        </w:rPr>
        <w:t>3.人员情况</w:t>
      </w:r>
    </w:p>
    <w:p>
      <w:pPr>
        <w:adjustRightInd w:val="0"/>
        <w:snapToGrid w:val="0"/>
        <w:spacing w:line="560" w:lineRule="exact"/>
        <w:ind w:firstLine="640" w:firstLineChars="200"/>
        <w:rPr>
          <w:rFonts w:ascii="仿宋" w:hAnsi="仿宋" w:eastAsia="仿宋" w:cs="仿宋"/>
          <w:sz w:val="32"/>
          <w:szCs w:val="32"/>
        </w:rPr>
      </w:pPr>
      <w:bookmarkStart w:id="0" w:name="_Toc456965831"/>
      <w:r>
        <w:rPr>
          <w:rFonts w:hint="eastAsia" w:ascii="仿宋" w:hAnsi="仿宋" w:eastAsia="仿宋" w:cs="仿宋"/>
          <w:sz w:val="32"/>
          <w:szCs w:val="32"/>
        </w:rPr>
        <w:t>截至2021年末，我单位实有人员65人。其中，在职人员54人（在编人员54人），离退休人员11人。</w:t>
      </w:r>
      <w:bookmarkEnd w:id="0"/>
    </w:p>
    <w:p>
      <w:pPr>
        <w:adjustRightInd w:val="0"/>
        <w:snapToGrid w:val="0"/>
        <w:spacing w:line="560" w:lineRule="exact"/>
        <w:ind w:firstLine="640" w:firstLineChars="200"/>
        <w:outlineLvl w:val="2"/>
        <w:rPr>
          <w:rFonts w:ascii="仿宋" w:hAnsi="仿宋" w:eastAsia="仿宋" w:cs="仿宋"/>
          <w:sz w:val="32"/>
          <w:szCs w:val="32"/>
        </w:rPr>
      </w:pPr>
      <w:r>
        <w:rPr>
          <w:rFonts w:hint="eastAsia" w:ascii="仿宋" w:hAnsi="仿宋" w:eastAsia="仿宋" w:cs="仿宋"/>
          <w:sz w:val="32"/>
          <w:szCs w:val="32"/>
        </w:rPr>
        <w:t>4.部门资产</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截至2021年12月31日，单位资产总额</w:t>
      </w:r>
      <w:r>
        <w:rPr>
          <w:rFonts w:hint="eastAsia" w:ascii="仿宋" w:hAnsi="仿宋" w:eastAsia="仿宋" w:cs="仿宋"/>
          <w:sz w:val="32"/>
          <w:szCs w:val="32"/>
          <w:highlight w:val="none"/>
        </w:rPr>
        <w:t>255690.16</w:t>
      </w:r>
      <w:r>
        <w:rPr>
          <w:rStyle w:val="16"/>
          <w:rFonts w:hint="eastAsia" w:ascii="仿宋" w:hAnsi="仿宋" w:eastAsia="仿宋" w:cs="仿宋"/>
          <w:sz w:val="32"/>
          <w:szCs w:val="32"/>
          <w:highlight w:val="none"/>
        </w:rPr>
        <w:footnoteReference w:id="1"/>
      </w:r>
      <w:r>
        <w:rPr>
          <w:rFonts w:hint="eastAsia" w:ascii="仿宋" w:hAnsi="仿宋" w:eastAsia="仿宋" w:cs="仿宋"/>
          <w:sz w:val="32"/>
          <w:szCs w:val="32"/>
        </w:rPr>
        <w:t>万元，其中流动资产7813.45万元，固定资产97.64万元</w:t>
      </w:r>
      <w:bookmarkStart w:id="16" w:name="_GoBack"/>
      <w:bookmarkEnd w:id="16"/>
      <w:r>
        <w:rPr>
          <w:rFonts w:hint="eastAsia" w:ascii="仿宋" w:hAnsi="仿宋" w:eastAsia="仿宋" w:cs="仿宋"/>
          <w:sz w:val="32"/>
          <w:szCs w:val="32"/>
        </w:rPr>
        <w:t>。固定资产主要是办公家具、办公设备等。</w:t>
      </w:r>
    </w:p>
    <w:p>
      <w:pPr>
        <w:adjustRightInd w:val="0"/>
        <w:snapToGrid w:val="0"/>
        <w:spacing w:line="560" w:lineRule="exact"/>
        <w:ind w:firstLine="643" w:firstLineChars="200"/>
        <w:outlineLvl w:val="1"/>
        <w:rPr>
          <w:rFonts w:ascii="仿宋" w:hAnsi="仿宋" w:eastAsia="仿宋" w:cs="楷体_GB2312"/>
          <w:b/>
          <w:bCs/>
          <w:snapToGrid w:val="0"/>
          <w:kern w:val="0"/>
          <w:sz w:val="32"/>
          <w:szCs w:val="32"/>
        </w:rPr>
      </w:pPr>
      <w:r>
        <w:rPr>
          <w:rFonts w:hint="eastAsia" w:ascii="仿宋" w:hAnsi="仿宋" w:eastAsia="仿宋" w:cs="楷体_GB2312"/>
          <w:b/>
          <w:bCs/>
          <w:snapToGrid w:val="0"/>
          <w:kern w:val="0"/>
          <w:sz w:val="32"/>
          <w:szCs w:val="32"/>
        </w:rPr>
        <w:t>（二）部门收支预决算情况</w:t>
      </w:r>
    </w:p>
    <w:p>
      <w:pPr>
        <w:adjustRightInd w:val="0"/>
        <w:snapToGrid w:val="0"/>
        <w:spacing w:line="560" w:lineRule="exact"/>
        <w:ind w:firstLine="640" w:firstLineChars="200"/>
        <w:outlineLvl w:val="2"/>
        <w:rPr>
          <w:rFonts w:ascii="仿宋" w:hAnsi="仿宋" w:eastAsia="仿宋" w:cs="楷体_GB2312"/>
          <w:snapToGrid w:val="0"/>
          <w:kern w:val="0"/>
          <w:sz w:val="32"/>
          <w:szCs w:val="32"/>
        </w:rPr>
      </w:pPr>
      <w:r>
        <w:rPr>
          <w:rFonts w:hint="eastAsia" w:ascii="仿宋" w:hAnsi="仿宋" w:eastAsia="仿宋" w:cs="楷体_GB2312"/>
          <w:snapToGrid w:val="0"/>
          <w:kern w:val="0"/>
          <w:sz w:val="32"/>
          <w:szCs w:val="32"/>
        </w:rPr>
        <w:t>1.预算安排情况</w:t>
      </w:r>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snapToGrid w:val="0"/>
          <w:kern w:val="0"/>
          <w:sz w:val="32"/>
          <w:szCs w:val="32"/>
        </w:rPr>
        <w:t>2021年部门预算收入60522.51万元，其中，本年收入58417.70万元，包括一般公共预算收入24015.86万元，政府性基金预算收入34401.84万元；上年结转2104.81万元。按支出类型划分，基本支出1000.18万元，包括人员经费921.27万元和日常公用经费78.91万元；项目支出59522.33万元。</w:t>
      </w:r>
    </w:p>
    <w:p>
      <w:pPr>
        <w:adjustRightInd w:val="0"/>
        <w:snapToGrid w:val="0"/>
        <w:spacing w:line="560" w:lineRule="exact"/>
        <w:ind w:firstLine="640" w:firstLineChars="200"/>
        <w:outlineLvl w:val="2"/>
        <w:rPr>
          <w:rFonts w:ascii="仿宋" w:hAnsi="仿宋" w:eastAsia="仿宋" w:cs="仿宋"/>
          <w:snapToGrid w:val="0"/>
          <w:kern w:val="0"/>
          <w:sz w:val="32"/>
          <w:szCs w:val="32"/>
        </w:rPr>
      </w:pPr>
      <w:r>
        <w:rPr>
          <w:rFonts w:hint="eastAsia" w:ascii="仿宋" w:hAnsi="仿宋" w:eastAsia="仿宋" w:cs="仿宋"/>
          <w:snapToGrid w:val="0"/>
          <w:kern w:val="0"/>
          <w:sz w:val="32"/>
          <w:szCs w:val="32"/>
        </w:rPr>
        <w:t>2.预算执行情况</w:t>
      </w:r>
    </w:p>
    <w:p>
      <w:pPr>
        <w:pStyle w:val="5"/>
        <w:adjustRightInd w:val="0"/>
        <w:snapToGrid w:val="0"/>
        <w:spacing w:line="560" w:lineRule="exact"/>
        <w:ind w:firstLine="640" w:firstLineChars="200"/>
        <w:rPr>
          <w:rFonts w:hint="eastAsia" w:ascii="仿宋" w:hAnsi="仿宋" w:eastAsia="仿宋" w:cs="仿宋"/>
          <w:snapToGrid w:val="0"/>
          <w:kern w:val="0"/>
          <w:sz w:val="32"/>
          <w:szCs w:val="32"/>
        </w:rPr>
        <w:sectPr>
          <w:footerReference r:id="rId4" w:type="default"/>
          <w:pgSz w:w="11906" w:h="16838"/>
          <w:pgMar w:top="1440" w:right="1474" w:bottom="1440" w:left="1587" w:header="851" w:footer="992" w:gutter="0"/>
          <w:pgNumType w:fmt="numberInDash"/>
          <w:cols w:space="0" w:num="1"/>
          <w:docGrid w:type="lines" w:linePitch="312" w:charSpace="0"/>
        </w:sectPr>
      </w:pPr>
      <w:r>
        <w:rPr>
          <w:rFonts w:hint="eastAsia" w:ascii="仿宋" w:hAnsi="仿宋" w:eastAsia="仿宋"/>
          <w:iCs/>
          <w:snapToGrid w:val="0"/>
          <w:kern w:val="0"/>
          <w:sz w:val="32"/>
          <w:szCs w:val="32"/>
        </w:rPr>
        <w:t>截至2021年12月31日，本单位实际支出59236.31万元，其中，基本支出</w:t>
      </w:r>
      <w:r>
        <w:rPr>
          <w:rFonts w:hint="eastAsia" w:ascii="仿宋" w:hAnsi="仿宋" w:eastAsia="仿宋" w:cs="仿宋"/>
          <w:snapToGrid w:val="0"/>
          <w:kern w:val="0"/>
          <w:sz w:val="32"/>
          <w:szCs w:val="32"/>
        </w:rPr>
        <w:t>821.98</w:t>
      </w:r>
      <w:r>
        <w:rPr>
          <w:rFonts w:hint="eastAsia" w:ascii="仿宋" w:hAnsi="仿宋" w:eastAsia="仿宋"/>
          <w:iCs/>
          <w:snapToGrid w:val="0"/>
          <w:kern w:val="0"/>
          <w:sz w:val="32"/>
          <w:szCs w:val="32"/>
        </w:rPr>
        <w:t>万元，包括人员经费743.07万元和公用经费78.91万元；项目支出</w:t>
      </w:r>
      <w:r>
        <w:rPr>
          <w:rFonts w:hint="eastAsia" w:ascii="仿宋" w:hAnsi="仿宋" w:eastAsia="仿宋" w:cs="仿宋"/>
          <w:snapToGrid w:val="0"/>
          <w:kern w:val="0"/>
          <w:sz w:val="32"/>
          <w:szCs w:val="32"/>
        </w:rPr>
        <w:t>58414.33</w:t>
      </w:r>
      <w:r>
        <w:rPr>
          <w:rFonts w:hint="eastAsia" w:ascii="仿宋" w:hAnsi="仿宋" w:eastAsia="仿宋"/>
          <w:iCs/>
          <w:snapToGrid w:val="0"/>
          <w:kern w:val="0"/>
          <w:sz w:val="32"/>
          <w:szCs w:val="32"/>
        </w:rPr>
        <w:t>万元，主要为政府投资代建项目建设资金支出57117.36万元，专项业务支出1296.97万元。年末结转结余</w:t>
      </w:r>
      <w:r>
        <w:rPr>
          <w:rFonts w:hint="eastAsia" w:ascii="仿宋" w:hAnsi="仿宋" w:eastAsia="仿宋" w:cs="仿宋"/>
          <w:snapToGrid w:val="0"/>
          <w:kern w:val="0"/>
          <w:sz w:val="32"/>
          <w:szCs w:val="32"/>
        </w:rPr>
        <w:t>1286.2</w:t>
      </w:r>
      <w:r>
        <w:rPr>
          <w:rFonts w:hint="eastAsia" w:ascii="仿宋" w:hAnsi="仿宋" w:eastAsia="仿宋"/>
          <w:iCs/>
          <w:snapToGrid w:val="0"/>
          <w:kern w:val="0"/>
          <w:sz w:val="32"/>
          <w:szCs w:val="32"/>
        </w:rPr>
        <w:t>万元，其中，基本支出结转</w:t>
      </w:r>
      <w:r>
        <w:rPr>
          <w:rFonts w:hint="eastAsia" w:ascii="仿宋" w:hAnsi="仿宋" w:eastAsia="仿宋" w:cs="仿宋"/>
          <w:snapToGrid w:val="0"/>
          <w:kern w:val="0"/>
          <w:sz w:val="32"/>
          <w:szCs w:val="32"/>
        </w:rPr>
        <w:t>1108</w:t>
      </w:r>
      <w:r>
        <w:rPr>
          <w:rFonts w:hint="eastAsia" w:ascii="仿宋" w:hAnsi="仿宋" w:eastAsia="仿宋"/>
          <w:iCs/>
          <w:snapToGrid w:val="0"/>
          <w:kern w:val="0"/>
          <w:sz w:val="32"/>
          <w:szCs w:val="32"/>
        </w:rPr>
        <w:t>万元，项目支出结转结余</w:t>
      </w:r>
      <w:r>
        <w:rPr>
          <w:rFonts w:hint="eastAsia" w:ascii="仿宋" w:hAnsi="仿宋" w:eastAsia="仿宋" w:cs="仿宋"/>
          <w:snapToGrid w:val="0"/>
          <w:kern w:val="0"/>
          <w:sz w:val="32"/>
          <w:szCs w:val="32"/>
        </w:rPr>
        <w:t>178.2</w:t>
      </w:r>
      <w:r>
        <w:rPr>
          <w:rFonts w:hint="eastAsia" w:ascii="仿宋" w:hAnsi="仿宋" w:eastAsia="仿宋"/>
          <w:iCs/>
          <w:snapToGrid w:val="0"/>
          <w:kern w:val="0"/>
          <w:sz w:val="32"/>
          <w:szCs w:val="32"/>
        </w:rPr>
        <w:t>万元。基本支出结转主要是应发个人补贴，项目支出结转主要是石家庄市第二中学整体改造三期工程退配套费。</w:t>
      </w:r>
      <w:r>
        <w:rPr>
          <w:rFonts w:hint="eastAsia" w:ascii="仿宋" w:hAnsi="仿宋" w:eastAsia="仿宋" w:cs="仿宋"/>
          <w:snapToGrid w:val="0"/>
          <w:kern w:val="0"/>
          <w:sz w:val="32"/>
          <w:szCs w:val="32"/>
        </w:rPr>
        <w:t>部门预算调整及执行情况见表</w:t>
      </w:r>
      <w:r>
        <w:rPr>
          <w:rFonts w:ascii="仿宋" w:hAnsi="仿宋" w:eastAsia="仿宋" w:cs="仿宋"/>
          <w:snapToGrid w:val="0"/>
          <w:kern w:val="0"/>
          <w:sz w:val="32"/>
          <w:szCs w:val="32"/>
        </w:rPr>
        <w:t>1</w:t>
      </w:r>
      <w:r>
        <w:rPr>
          <w:rFonts w:hint="eastAsia" w:ascii="仿宋" w:hAnsi="仿宋" w:eastAsia="仿宋" w:cs="仿宋"/>
          <w:snapToGrid w:val="0"/>
          <w:kern w:val="0"/>
          <w:sz w:val="32"/>
          <w:szCs w:val="32"/>
        </w:rPr>
        <w:t>。</w:t>
      </w:r>
    </w:p>
    <w:p>
      <w:pPr>
        <w:adjustRightInd w:val="0"/>
        <w:snapToGrid w:val="0"/>
        <w:spacing w:line="560" w:lineRule="exact"/>
        <w:jc w:val="center"/>
        <w:rPr>
          <w:rFonts w:ascii="黑体" w:hAnsi="黑体" w:eastAsia="黑体"/>
          <w:bCs/>
          <w:snapToGrid w:val="0"/>
          <w:kern w:val="0"/>
          <w:sz w:val="28"/>
          <w:szCs w:val="28"/>
        </w:rPr>
      </w:pPr>
      <w:r>
        <w:rPr>
          <w:rFonts w:ascii="黑体" w:hAnsi="黑体" w:eastAsia="黑体"/>
          <w:bCs/>
          <w:snapToGrid w:val="0"/>
          <w:kern w:val="0"/>
          <w:sz w:val="28"/>
          <w:szCs w:val="28"/>
        </w:rPr>
        <w:t>表1：</w:t>
      </w:r>
      <w:r>
        <w:rPr>
          <w:rFonts w:hint="eastAsia" w:ascii="黑体" w:hAnsi="黑体" w:eastAsia="黑体"/>
          <w:bCs/>
          <w:snapToGrid w:val="0"/>
          <w:kern w:val="0"/>
          <w:sz w:val="28"/>
          <w:szCs w:val="28"/>
        </w:rPr>
        <w:t>2021</w:t>
      </w:r>
      <w:r>
        <w:rPr>
          <w:rFonts w:ascii="黑体" w:hAnsi="黑体" w:eastAsia="黑体"/>
          <w:bCs/>
          <w:snapToGrid w:val="0"/>
          <w:kern w:val="0"/>
          <w:sz w:val="28"/>
          <w:szCs w:val="28"/>
        </w:rPr>
        <w:t>年度</w:t>
      </w:r>
      <w:r>
        <w:rPr>
          <w:rFonts w:hint="eastAsia" w:ascii="黑体" w:hAnsi="黑体" w:eastAsia="黑体"/>
          <w:bCs/>
          <w:snapToGrid w:val="0"/>
          <w:kern w:val="0"/>
          <w:sz w:val="28"/>
          <w:szCs w:val="28"/>
        </w:rPr>
        <w:t>部门</w:t>
      </w:r>
      <w:r>
        <w:rPr>
          <w:rFonts w:ascii="黑体" w:hAnsi="黑体" w:eastAsia="黑体"/>
          <w:bCs/>
          <w:snapToGrid w:val="0"/>
          <w:kern w:val="0"/>
          <w:sz w:val="28"/>
          <w:szCs w:val="28"/>
        </w:rPr>
        <w:t>预算</w:t>
      </w:r>
      <w:r>
        <w:rPr>
          <w:rFonts w:hint="eastAsia" w:ascii="黑体" w:hAnsi="黑体" w:eastAsia="黑体"/>
          <w:bCs/>
          <w:snapToGrid w:val="0"/>
          <w:kern w:val="0"/>
          <w:sz w:val="28"/>
          <w:szCs w:val="28"/>
        </w:rPr>
        <w:t>调整及执行</w:t>
      </w:r>
      <w:r>
        <w:rPr>
          <w:rFonts w:ascii="黑体" w:hAnsi="黑体" w:eastAsia="黑体"/>
          <w:bCs/>
          <w:snapToGrid w:val="0"/>
          <w:kern w:val="0"/>
          <w:sz w:val="28"/>
          <w:szCs w:val="28"/>
        </w:rPr>
        <w:t>情况表</w:t>
      </w:r>
    </w:p>
    <w:p>
      <w:pPr>
        <w:adjustRightInd w:val="0"/>
        <w:snapToGrid w:val="0"/>
        <w:spacing w:line="560" w:lineRule="exact"/>
        <w:jc w:val="right"/>
        <w:rPr>
          <w:rFonts w:ascii="宋体" w:hAnsi="宋体"/>
          <w:bCs/>
          <w:snapToGrid w:val="0"/>
          <w:kern w:val="0"/>
          <w:sz w:val="20"/>
          <w:szCs w:val="20"/>
        </w:rPr>
      </w:pPr>
      <w:r>
        <w:rPr>
          <w:rFonts w:hint="eastAsia" w:ascii="黑体" w:hAnsi="黑体" w:eastAsia="黑体"/>
          <w:bCs/>
          <w:snapToGrid w:val="0"/>
          <w:kern w:val="0"/>
          <w:sz w:val="20"/>
          <w:szCs w:val="20"/>
        </w:rPr>
        <w:t>单位：万元</w:t>
      </w:r>
    </w:p>
    <w:tbl>
      <w:tblPr>
        <w:tblStyle w:val="13"/>
        <w:tblW w:w="8871" w:type="dxa"/>
        <w:jc w:val="center"/>
        <w:tblInd w:w="0" w:type="dxa"/>
        <w:tblLayout w:type="fixed"/>
        <w:tblCellMar>
          <w:top w:w="0" w:type="dxa"/>
          <w:left w:w="0" w:type="dxa"/>
          <w:bottom w:w="0" w:type="dxa"/>
          <w:right w:w="0" w:type="dxa"/>
        </w:tblCellMar>
      </w:tblPr>
      <w:tblGrid>
        <w:gridCol w:w="1284"/>
        <w:gridCol w:w="2256"/>
        <w:gridCol w:w="1777"/>
        <w:gridCol w:w="1777"/>
        <w:gridCol w:w="1777"/>
      </w:tblGrid>
      <w:tr>
        <w:tblPrEx>
          <w:tblLayout w:type="fixed"/>
          <w:tblCellMar>
            <w:top w:w="0" w:type="dxa"/>
            <w:left w:w="0" w:type="dxa"/>
            <w:bottom w:w="0" w:type="dxa"/>
            <w:right w:w="0" w:type="dxa"/>
          </w:tblCellMar>
        </w:tblPrEx>
        <w:trPr>
          <w:trHeight w:val="397" w:hRule="atLeast"/>
          <w:tblHeader/>
          <w:jc w:val="center"/>
        </w:trPr>
        <w:tc>
          <w:tcPr>
            <w:tcW w:w="128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adjustRightInd w:val="0"/>
              <w:snapToGrid w:val="0"/>
              <w:jc w:val="center"/>
              <w:textAlignment w:val="center"/>
              <w:rPr>
                <w:rFonts w:ascii="宋体" w:hAnsi="宋体" w:cs="宋体"/>
                <w:b/>
                <w:snapToGrid w:val="0"/>
                <w:color w:val="000000"/>
                <w:kern w:val="0"/>
                <w:sz w:val="20"/>
                <w:szCs w:val="20"/>
              </w:rPr>
            </w:pPr>
            <w:r>
              <w:rPr>
                <w:rFonts w:hint="eastAsia" w:ascii="宋体" w:hAnsi="宋体" w:cs="宋体"/>
                <w:b/>
                <w:snapToGrid w:val="0"/>
                <w:color w:val="000000"/>
                <w:kern w:val="0"/>
                <w:sz w:val="20"/>
                <w:szCs w:val="20"/>
                <w:lang w:bidi="ar"/>
              </w:rPr>
              <w:t>序  号</w:t>
            </w:r>
          </w:p>
        </w:tc>
        <w:tc>
          <w:tcPr>
            <w:tcW w:w="225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center"/>
              <w:textAlignment w:val="center"/>
              <w:rPr>
                <w:rFonts w:ascii="宋体" w:hAnsi="宋体" w:cs="宋体"/>
                <w:b/>
                <w:snapToGrid w:val="0"/>
                <w:color w:val="000000"/>
                <w:kern w:val="0"/>
                <w:sz w:val="20"/>
                <w:szCs w:val="20"/>
              </w:rPr>
            </w:pPr>
            <w:r>
              <w:rPr>
                <w:rFonts w:hint="eastAsia" w:ascii="宋体" w:hAnsi="宋体" w:cs="宋体"/>
                <w:b/>
                <w:snapToGrid w:val="0"/>
                <w:color w:val="000000"/>
                <w:kern w:val="0"/>
                <w:sz w:val="20"/>
                <w:szCs w:val="20"/>
                <w:lang w:bidi="ar"/>
              </w:rPr>
              <w:t>支出内容</w:t>
            </w:r>
          </w:p>
        </w:tc>
        <w:tc>
          <w:tcPr>
            <w:tcW w:w="17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center"/>
              <w:textAlignment w:val="center"/>
              <w:rPr>
                <w:rFonts w:ascii="宋体" w:hAnsi="宋体" w:cs="宋体"/>
                <w:b/>
                <w:snapToGrid w:val="0"/>
                <w:color w:val="000000"/>
                <w:kern w:val="0"/>
                <w:sz w:val="20"/>
                <w:szCs w:val="20"/>
              </w:rPr>
            </w:pPr>
            <w:r>
              <w:rPr>
                <w:rFonts w:hint="eastAsia" w:ascii="宋体" w:hAnsi="宋体" w:cs="宋体"/>
                <w:b/>
                <w:snapToGrid w:val="0"/>
                <w:color w:val="000000"/>
                <w:kern w:val="0"/>
                <w:sz w:val="20"/>
                <w:szCs w:val="20"/>
                <w:lang w:bidi="ar"/>
              </w:rPr>
              <w:t>调整预算数</w:t>
            </w:r>
          </w:p>
        </w:tc>
        <w:tc>
          <w:tcPr>
            <w:tcW w:w="17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center"/>
              <w:textAlignment w:val="center"/>
              <w:rPr>
                <w:rFonts w:ascii="宋体" w:hAnsi="宋体" w:cs="宋体"/>
                <w:b/>
                <w:snapToGrid w:val="0"/>
                <w:color w:val="000000"/>
                <w:kern w:val="0"/>
                <w:sz w:val="20"/>
                <w:szCs w:val="20"/>
                <w:lang w:bidi="ar"/>
              </w:rPr>
            </w:pPr>
            <w:r>
              <w:rPr>
                <w:rFonts w:hint="eastAsia" w:ascii="宋体" w:hAnsi="宋体" w:cs="宋体"/>
                <w:b/>
                <w:snapToGrid w:val="0"/>
                <w:color w:val="000000"/>
                <w:kern w:val="0"/>
                <w:sz w:val="20"/>
                <w:szCs w:val="20"/>
                <w:lang w:bidi="ar"/>
              </w:rPr>
              <w:t>决算数</w:t>
            </w:r>
          </w:p>
        </w:tc>
        <w:tc>
          <w:tcPr>
            <w:tcW w:w="17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center"/>
              <w:textAlignment w:val="center"/>
              <w:rPr>
                <w:rFonts w:ascii="宋体" w:hAnsi="宋体" w:cs="宋体"/>
                <w:b/>
                <w:snapToGrid w:val="0"/>
                <w:color w:val="000000"/>
                <w:kern w:val="0"/>
                <w:sz w:val="20"/>
                <w:szCs w:val="20"/>
                <w:lang w:bidi="ar"/>
              </w:rPr>
            </w:pPr>
            <w:r>
              <w:rPr>
                <w:rFonts w:hint="eastAsia" w:ascii="宋体" w:hAnsi="宋体" w:cs="宋体"/>
                <w:b/>
                <w:snapToGrid w:val="0"/>
                <w:color w:val="000000"/>
                <w:kern w:val="0"/>
                <w:sz w:val="20"/>
                <w:szCs w:val="20"/>
                <w:lang w:bidi="ar"/>
              </w:rPr>
              <w:t>差异金额</w:t>
            </w:r>
          </w:p>
        </w:tc>
      </w:tr>
      <w:tr>
        <w:tblPrEx>
          <w:tblLayout w:type="fixed"/>
          <w:tblCellMar>
            <w:top w:w="0" w:type="dxa"/>
            <w:left w:w="0" w:type="dxa"/>
            <w:bottom w:w="0" w:type="dxa"/>
            <w:right w:w="0" w:type="dxa"/>
          </w:tblCellMar>
        </w:tblPrEx>
        <w:trPr>
          <w:trHeight w:val="397" w:hRule="atLeast"/>
          <w:jc w:val="center"/>
        </w:trPr>
        <w:tc>
          <w:tcPr>
            <w:tcW w:w="128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adjustRightInd w:val="0"/>
              <w:snapToGrid w:val="0"/>
              <w:jc w:val="center"/>
              <w:textAlignment w:val="center"/>
              <w:rPr>
                <w:rFonts w:ascii="宋体" w:hAnsi="宋体" w:cs="宋体"/>
                <w:b/>
                <w:snapToGrid w:val="0"/>
                <w:color w:val="000000"/>
                <w:kern w:val="0"/>
                <w:sz w:val="20"/>
                <w:szCs w:val="20"/>
              </w:rPr>
            </w:pPr>
            <w:r>
              <w:rPr>
                <w:rFonts w:hint="eastAsia" w:ascii="宋体" w:hAnsi="宋体" w:cs="宋体"/>
                <w:b/>
                <w:snapToGrid w:val="0"/>
                <w:color w:val="000000"/>
                <w:kern w:val="0"/>
                <w:sz w:val="20"/>
                <w:szCs w:val="20"/>
              </w:rPr>
              <w:t>一</w:t>
            </w:r>
          </w:p>
        </w:tc>
        <w:tc>
          <w:tcPr>
            <w:tcW w:w="225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left"/>
              <w:textAlignment w:val="center"/>
              <w:rPr>
                <w:rFonts w:ascii="宋体" w:hAnsi="宋体" w:cs="宋体"/>
                <w:bCs/>
                <w:snapToGrid w:val="0"/>
                <w:color w:val="000000"/>
                <w:kern w:val="0"/>
                <w:sz w:val="20"/>
                <w:szCs w:val="20"/>
                <w:lang w:bidi="ar"/>
              </w:rPr>
            </w:pPr>
            <w:r>
              <w:rPr>
                <w:rFonts w:hint="eastAsia" w:ascii="宋体" w:hAnsi="宋体" w:cs="宋体"/>
                <w:bCs/>
                <w:snapToGrid w:val="0"/>
                <w:color w:val="000000"/>
                <w:kern w:val="0"/>
                <w:sz w:val="20"/>
                <w:szCs w:val="20"/>
                <w:lang w:bidi="ar"/>
              </w:rPr>
              <w:t>基本支出</w:t>
            </w:r>
          </w:p>
        </w:tc>
        <w:tc>
          <w:tcPr>
            <w:tcW w:w="17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right"/>
              <w:textAlignment w:val="center"/>
              <w:rPr>
                <w:rFonts w:ascii="宋体" w:hAnsi="宋体" w:cs="宋体"/>
                <w:bCs/>
                <w:snapToGrid w:val="0"/>
                <w:color w:val="000000"/>
                <w:kern w:val="0"/>
                <w:sz w:val="20"/>
                <w:szCs w:val="20"/>
              </w:rPr>
            </w:pPr>
            <w:r>
              <w:rPr>
                <w:rFonts w:hint="eastAsia" w:ascii="宋体" w:hAnsi="宋体" w:cs="宋体"/>
                <w:bCs/>
                <w:snapToGrid w:val="0"/>
                <w:color w:val="000000"/>
                <w:kern w:val="0"/>
                <w:sz w:val="20"/>
                <w:szCs w:val="20"/>
              </w:rPr>
              <w:t>1000.18</w:t>
            </w:r>
          </w:p>
        </w:tc>
        <w:tc>
          <w:tcPr>
            <w:tcW w:w="17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right"/>
              <w:textAlignment w:val="center"/>
              <w:rPr>
                <w:rFonts w:ascii="宋体" w:hAnsi="宋体" w:cs="宋体"/>
                <w:bCs/>
                <w:snapToGrid w:val="0"/>
                <w:color w:val="000000"/>
                <w:kern w:val="0"/>
                <w:sz w:val="20"/>
                <w:szCs w:val="20"/>
              </w:rPr>
            </w:pPr>
            <w:r>
              <w:rPr>
                <w:rFonts w:hint="eastAsia" w:ascii="宋体" w:hAnsi="宋体" w:cs="宋体"/>
                <w:bCs/>
                <w:snapToGrid w:val="0"/>
                <w:color w:val="000000"/>
                <w:kern w:val="0"/>
                <w:sz w:val="20"/>
                <w:szCs w:val="20"/>
              </w:rPr>
              <w:t>821.98</w:t>
            </w:r>
          </w:p>
        </w:tc>
        <w:tc>
          <w:tcPr>
            <w:tcW w:w="17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right"/>
              <w:textAlignment w:val="center"/>
              <w:rPr>
                <w:rFonts w:ascii="宋体" w:hAnsi="宋体" w:cs="宋体"/>
                <w:bCs/>
                <w:snapToGrid w:val="0"/>
                <w:color w:val="000000"/>
                <w:kern w:val="0"/>
                <w:sz w:val="20"/>
                <w:szCs w:val="20"/>
              </w:rPr>
            </w:pPr>
            <w:r>
              <w:rPr>
                <w:rFonts w:hint="eastAsia" w:ascii="宋体" w:hAnsi="宋体" w:cs="宋体"/>
                <w:bCs/>
                <w:snapToGrid w:val="0"/>
                <w:color w:val="000000"/>
                <w:kern w:val="0"/>
                <w:sz w:val="20"/>
                <w:szCs w:val="20"/>
                <w:lang w:bidi="ar"/>
              </w:rPr>
              <w:t>178.20</w:t>
            </w:r>
          </w:p>
        </w:tc>
      </w:tr>
      <w:tr>
        <w:tblPrEx>
          <w:tblLayout w:type="fixed"/>
          <w:tblCellMar>
            <w:top w:w="0" w:type="dxa"/>
            <w:left w:w="0" w:type="dxa"/>
            <w:bottom w:w="0" w:type="dxa"/>
            <w:right w:w="0" w:type="dxa"/>
          </w:tblCellMar>
        </w:tblPrEx>
        <w:trPr>
          <w:trHeight w:val="397" w:hRule="atLeast"/>
          <w:jc w:val="center"/>
        </w:trPr>
        <w:tc>
          <w:tcPr>
            <w:tcW w:w="128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adjustRightInd w:val="0"/>
              <w:snapToGrid w:val="0"/>
              <w:jc w:val="center"/>
              <w:textAlignment w:val="center"/>
              <w:rPr>
                <w:rFonts w:ascii="宋体" w:hAnsi="宋体" w:cs="宋体"/>
                <w:bCs/>
                <w:snapToGrid w:val="0"/>
                <w:color w:val="000000"/>
                <w:kern w:val="0"/>
                <w:sz w:val="20"/>
                <w:szCs w:val="20"/>
              </w:rPr>
            </w:pPr>
            <w:r>
              <w:rPr>
                <w:rFonts w:hint="eastAsia" w:ascii="宋体" w:hAnsi="宋体" w:cs="宋体"/>
                <w:bCs/>
                <w:snapToGrid w:val="0"/>
                <w:color w:val="000000"/>
                <w:kern w:val="0"/>
                <w:sz w:val="20"/>
                <w:szCs w:val="20"/>
              </w:rPr>
              <w:t>1</w:t>
            </w:r>
          </w:p>
        </w:tc>
        <w:tc>
          <w:tcPr>
            <w:tcW w:w="225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center"/>
              <w:textAlignment w:val="center"/>
              <w:rPr>
                <w:rFonts w:ascii="宋体" w:hAnsi="宋体" w:cs="宋体"/>
                <w:bCs/>
                <w:snapToGrid w:val="0"/>
                <w:color w:val="000000"/>
                <w:kern w:val="0"/>
                <w:sz w:val="20"/>
                <w:szCs w:val="20"/>
                <w:lang w:bidi="ar"/>
              </w:rPr>
            </w:pPr>
            <w:r>
              <w:rPr>
                <w:rFonts w:hint="eastAsia" w:ascii="宋体" w:hAnsi="宋体" w:cs="宋体"/>
                <w:bCs/>
                <w:snapToGrid w:val="0"/>
                <w:color w:val="000000"/>
                <w:kern w:val="0"/>
                <w:sz w:val="20"/>
                <w:szCs w:val="20"/>
                <w:lang w:bidi="ar"/>
              </w:rPr>
              <w:t>人员经费</w:t>
            </w:r>
          </w:p>
        </w:tc>
        <w:tc>
          <w:tcPr>
            <w:tcW w:w="17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right"/>
              <w:textAlignment w:val="center"/>
              <w:rPr>
                <w:rFonts w:ascii="宋体" w:hAnsi="宋体" w:cs="宋体"/>
                <w:bCs/>
                <w:snapToGrid w:val="0"/>
                <w:color w:val="000000"/>
                <w:kern w:val="0"/>
                <w:sz w:val="20"/>
                <w:szCs w:val="20"/>
              </w:rPr>
            </w:pPr>
            <w:r>
              <w:rPr>
                <w:rFonts w:hint="eastAsia" w:ascii="宋体" w:hAnsi="宋体" w:cs="宋体"/>
                <w:bCs/>
                <w:snapToGrid w:val="0"/>
                <w:color w:val="000000"/>
                <w:kern w:val="0"/>
                <w:sz w:val="20"/>
                <w:szCs w:val="20"/>
              </w:rPr>
              <w:t>921.27</w:t>
            </w:r>
          </w:p>
        </w:tc>
        <w:tc>
          <w:tcPr>
            <w:tcW w:w="17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right"/>
              <w:textAlignment w:val="center"/>
              <w:rPr>
                <w:rFonts w:ascii="宋体" w:hAnsi="宋体" w:cs="宋体"/>
                <w:bCs/>
                <w:snapToGrid w:val="0"/>
                <w:kern w:val="0"/>
                <w:sz w:val="20"/>
                <w:szCs w:val="20"/>
              </w:rPr>
            </w:pPr>
            <w:r>
              <w:rPr>
                <w:rFonts w:hint="eastAsia" w:ascii="宋体" w:hAnsi="宋体" w:cs="宋体"/>
                <w:bCs/>
                <w:snapToGrid w:val="0"/>
                <w:kern w:val="0"/>
                <w:sz w:val="20"/>
                <w:szCs w:val="20"/>
              </w:rPr>
              <w:t>743.07</w:t>
            </w:r>
          </w:p>
        </w:tc>
        <w:tc>
          <w:tcPr>
            <w:tcW w:w="17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right"/>
              <w:textAlignment w:val="center"/>
              <w:rPr>
                <w:rFonts w:ascii="宋体" w:hAnsi="宋体" w:cs="宋体"/>
                <w:bCs/>
                <w:snapToGrid w:val="0"/>
                <w:color w:val="000000"/>
                <w:kern w:val="0"/>
                <w:sz w:val="20"/>
                <w:szCs w:val="20"/>
              </w:rPr>
            </w:pPr>
            <w:r>
              <w:rPr>
                <w:rFonts w:hint="eastAsia" w:ascii="宋体" w:hAnsi="宋体" w:cs="宋体"/>
                <w:bCs/>
                <w:snapToGrid w:val="0"/>
                <w:color w:val="000000"/>
                <w:kern w:val="0"/>
                <w:sz w:val="20"/>
                <w:szCs w:val="20"/>
                <w:lang w:bidi="ar"/>
              </w:rPr>
              <w:t>178.20</w:t>
            </w:r>
          </w:p>
        </w:tc>
      </w:tr>
      <w:tr>
        <w:tblPrEx>
          <w:tblLayout w:type="fixed"/>
          <w:tblCellMar>
            <w:top w:w="0" w:type="dxa"/>
            <w:left w:w="0" w:type="dxa"/>
            <w:bottom w:w="0" w:type="dxa"/>
            <w:right w:w="0" w:type="dxa"/>
          </w:tblCellMar>
        </w:tblPrEx>
        <w:trPr>
          <w:trHeight w:val="397" w:hRule="atLeast"/>
          <w:jc w:val="center"/>
        </w:trPr>
        <w:tc>
          <w:tcPr>
            <w:tcW w:w="128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adjustRightInd w:val="0"/>
              <w:snapToGrid w:val="0"/>
              <w:jc w:val="center"/>
              <w:textAlignment w:val="center"/>
              <w:rPr>
                <w:rFonts w:ascii="宋体" w:hAnsi="宋体" w:cs="宋体"/>
                <w:bCs/>
                <w:snapToGrid w:val="0"/>
                <w:color w:val="000000"/>
                <w:kern w:val="0"/>
                <w:sz w:val="20"/>
                <w:szCs w:val="20"/>
              </w:rPr>
            </w:pPr>
            <w:r>
              <w:rPr>
                <w:rFonts w:hint="eastAsia" w:ascii="宋体" w:hAnsi="宋体" w:cs="宋体"/>
                <w:bCs/>
                <w:snapToGrid w:val="0"/>
                <w:color w:val="000000"/>
                <w:kern w:val="0"/>
                <w:sz w:val="20"/>
                <w:szCs w:val="20"/>
              </w:rPr>
              <w:t>2</w:t>
            </w:r>
          </w:p>
        </w:tc>
        <w:tc>
          <w:tcPr>
            <w:tcW w:w="225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center"/>
              <w:textAlignment w:val="center"/>
              <w:rPr>
                <w:rFonts w:ascii="宋体" w:hAnsi="宋体" w:cs="宋体"/>
                <w:bCs/>
                <w:snapToGrid w:val="0"/>
                <w:color w:val="000000"/>
                <w:kern w:val="0"/>
                <w:sz w:val="20"/>
                <w:szCs w:val="20"/>
                <w:lang w:bidi="ar"/>
              </w:rPr>
            </w:pPr>
            <w:r>
              <w:rPr>
                <w:rFonts w:hint="eastAsia" w:ascii="宋体" w:hAnsi="宋体" w:cs="宋体"/>
                <w:bCs/>
                <w:snapToGrid w:val="0"/>
                <w:color w:val="000000"/>
                <w:kern w:val="0"/>
                <w:sz w:val="20"/>
                <w:szCs w:val="20"/>
                <w:lang w:bidi="ar"/>
              </w:rPr>
              <w:t>公用经费</w:t>
            </w:r>
          </w:p>
        </w:tc>
        <w:tc>
          <w:tcPr>
            <w:tcW w:w="17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right"/>
              <w:textAlignment w:val="center"/>
              <w:rPr>
                <w:rFonts w:ascii="宋体" w:hAnsi="宋体" w:cs="宋体"/>
                <w:bCs/>
                <w:snapToGrid w:val="0"/>
                <w:color w:val="000000"/>
                <w:kern w:val="0"/>
                <w:sz w:val="20"/>
                <w:szCs w:val="20"/>
              </w:rPr>
            </w:pPr>
            <w:r>
              <w:rPr>
                <w:rFonts w:hint="eastAsia" w:ascii="宋体" w:hAnsi="宋体" w:cs="宋体"/>
                <w:bCs/>
                <w:snapToGrid w:val="0"/>
                <w:color w:val="000000"/>
                <w:kern w:val="0"/>
                <w:sz w:val="20"/>
                <w:szCs w:val="20"/>
              </w:rPr>
              <w:t>78.91</w:t>
            </w:r>
          </w:p>
        </w:tc>
        <w:tc>
          <w:tcPr>
            <w:tcW w:w="17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right"/>
              <w:textAlignment w:val="center"/>
              <w:rPr>
                <w:rFonts w:ascii="宋体" w:hAnsi="宋体" w:cs="宋体"/>
                <w:bCs/>
                <w:snapToGrid w:val="0"/>
                <w:color w:val="000000"/>
                <w:kern w:val="0"/>
                <w:sz w:val="20"/>
                <w:szCs w:val="20"/>
              </w:rPr>
            </w:pPr>
            <w:r>
              <w:rPr>
                <w:rFonts w:hint="eastAsia" w:ascii="宋体" w:hAnsi="宋体" w:cs="宋体"/>
                <w:bCs/>
                <w:snapToGrid w:val="0"/>
                <w:color w:val="000000"/>
                <w:kern w:val="0"/>
                <w:sz w:val="20"/>
                <w:szCs w:val="20"/>
              </w:rPr>
              <w:t>78.91</w:t>
            </w:r>
          </w:p>
        </w:tc>
        <w:tc>
          <w:tcPr>
            <w:tcW w:w="17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right"/>
              <w:textAlignment w:val="center"/>
              <w:rPr>
                <w:rFonts w:ascii="宋体" w:hAnsi="宋体" w:cs="宋体"/>
                <w:bCs/>
                <w:snapToGrid w:val="0"/>
                <w:color w:val="000000"/>
                <w:kern w:val="0"/>
                <w:sz w:val="20"/>
                <w:szCs w:val="20"/>
              </w:rPr>
            </w:pPr>
            <w:r>
              <w:rPr>
                <w:rFonts w:hint="eastAsia" w:ascii="宋体" w:hAnsi="宋体" w:cs="宋体"/>
                <w:bCs/>
                <w:snapToGrid w:val="0"/>
                <w:color w:val="000000"/>
                <w:kern w:val="0"/>
                <w:sz w:val="20"/>
                <w:szCs w:val="20"/>
                <w:lang w:bidi="ar"/>
              </w:rPr>
              <w:t>-</w:t>
            </w:r>
          </w:p>
        </w:tc>
      </w:tr>
      <w:tr>
        <w:tblPrEx>
          <w:tblLayout w:type="fixed"/>
          <w:tblCellMar>
            <w:top w:w="0" w:type="dxa"/>
            <w:left w:w="0" w:type="dxa"/>
            <w:bottom w:w="0" w:type="dxa"/>
            <w:right w:w="0" w:type="dxa"/>
          </w:tblCellMar>
        </w:tblPrEx>
        <w:trPr>
          <w:trHeight w:val="397" w:hRule="atLeast"/>
          <w:jc w:val="center"/>
        </w:trPr>
        <w:tc>
          <w:tcPr>
            <w:tcW w:w="128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adjustRightInd w:val="0"/>
              <w:snapToGrid w:val="0"/>
              <w:jc w:val="center"/>
              <w:textAlignment w:val="center"/>
              <w:rPr>
                <w:rFonts w:ascii="宋体" w:hAnsi="宋体" w:cs="宋体"/>
                <w:b/>
                <w:snapToGrid w:val="0"/>
                <w:color w:val="000000"/>
                <w:kern w:val="0"/>
                <w:sz w:val="20"/>
                <w:szCs w:val="20"/>
              </w:rPr>
            </w:pPr>
            <w:r>
              <w:rPr>
                <w:rFonts w:hint="eastAsia" w:ascii="宋体" w:hAnsi="宋体" w:cs="宋体"/>
                <w:b/>
                <w:snapToGrid w:val="0"/>
                <w:color w:val="000000"/>
                <w:kern w:val="0"/>
                <w:sz w:val="20"/>
                <w:szCs w:val="20"/>
              </w:rPr>
              <w:t>二</w:t>
            </w:r>
          </w:p>
        </w:tc>
        <w:tc>
          <w:tcPr>
            <w:tcW w:w="225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left"/>
              <w:textAlignment w:val="center"/>
              <w:rPr>
                <w:rFonts w:ascii="宋体" w:hAnsi="宋体" w:cs="宋体"/>
                <w:bCs/>
                <w:snapToGrid w:val="0"/>
                <w:color w:val="000000"/>
                <w:kern w:val="0"/>
                <w:sz w:val="20"/>
                <w:szCs w:val="20"/>
              </w:rPr>
            </w:pPr>
            <w:r>
              <w:rPr>
                <w:rFonts w:hint="eastAsia" w:ascii="宋体" w:hAnsi="宋体" w:cs="宋体"/>
                <w:bCs/>
                <w:snapToGrid w:val="0"/>
                <w:color w:val="000000"/>
                <w:kern w:val="0"/>
                <w:sz w:val="20"/>
                <w:szCs w:val="20"/>
                <w:lang w:bidi="ar"/>
              </w:rPr>
              <w:t>项目支出</w:t>
            </w:r>
          </w:p>
        </w:tc>
        <w:tc>
          <w:tcPr>
            <w:tcW w:w="17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right"/>
              <w:textAlignment w:val="center"/>
              <w:rPr>
                <w:rFonts w:ascii="宋体" w:hAnsi="宋体" w:cs="宋体"/>
                <w:bCs/>
                <w:snapToGrid w:val="0"/>
                <w:color w:val="000000"/>
                <w:kern w:val="0"/>
                <w:sz w:val="20"/>
                <w:szCs w:val="20"/>
              </w:rPr>
            </w:pPr>
            <w:r>
              <w:rPr>
                <w:rFonts w:hint="eastAsia" w:ascii="宋体" w:hAnsi="宋体" w:cs="宋体"/>
                <w:bCs/>
                <w:snapToGrid w:val="0"/>
                <w:color w:val="000000"/>
                <w:kern w:val="0"/>
                <w:sz w:val="20"/>
                <w:szCs w:val="20"/>
              </w:rPr>
              <w:t>59522.33</w:t>
            </w:r>
          </w:p>
        </w:tc>
        <w:tc>
          <w:tcPr>
            <w:tcW w:w="17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right"/>
              <w:textAlignment w:val="center"/>
              <w:rPr>
                <w:rFonts w:ascii="宋体" w:hAnsi="宋体" w:cs="宋体"/>
                <w:bCs/>
                <w:snapToGrid w:val="0"/>
                <w:color w:val="000000"/>
                <w:kern w:val="0"/>
                <w:sz w:val="20"/>
                <w:szCs w:val="20"/>
              </w:rPr>
            </w:pPr>
            <w:r>
              <w:rPr>
                <w:rFonts w:hint="eastAsia" w:ascii="宋体" w:hAnsi="宋体" w:cs="宋体"/>
                <w:bCs/>
                <w:snapToGrid w:val="0"/>
                <w:color w:val="000000"/>
                <w:kern w:val="0"/>
                <w:sz w:val="20"/>
                <w:szCs w:val="20"/>
              </w:rPr>
              <w:t>58414.83</w:t>
            </w:r>
          </w:p>
        </w:tc>
        <w:tc>
          <w:tcPr>
            <w:tcW w:w="17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right"/>
              <w:textAlignment w:val="center"/>
              <w:rPr>
                <w:rFonts w:ascii="宋体" w:hAnsi="宋体" w:cs="宋体"/>
                <w:bCs/>
                <w:snapToGrid w:val="0"/>
                <w:color w:val="000000"/>
                <w:kern w:val="0"/>
                <w:sz w:val="20"/>
                <w:szCs w:val="20"/>
              </w:rPr>
            </w:pPr>
            <w:r>
              <w:rPr>
                <w:rFonts w:hint="eastAsia" w:ascii="宋体" w:hAnsi="宋体" w:cs="宋体"/>
                <w:bCs/>
                <w:snapToGrid w:val="0"/>
                <w:color w:val="000000"/>
                <w:kern w:val="0"/>
                <w:sz w:val="20"/>
                <w:szCs w:val="20"/>
                <w:lang w:bidi="ar"/>
              </w:rPr>
              <w:t>1107.50</w:t>
            </w:r>
          </w:p>
        </w:tc>
      </w:tr>
      <w:tr>
        <w:tblPrEx>
          <w:tblLayout w:type="fixed"/>
          <w:tblCellMar>
            <w:top w:w="0" w:type="dxa"/>
            <w:left w:w="0" w:type="dxa"/>
            <w:bottom w:w="0" w:type="dxa"/>
            <w:right w:w="0" w:type="dxa"/>
          </w:tblCellMar>
        </w:tblPrEx>
        <w:trPr>
          <w:trHeight w:val="397" w:hRule="atLeast"/>
          <w:jc w:val="center"/>
        </w:trPr>
        <w:tc>
          <w:tcPr>
            <w:tcW w:w="354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adjustRightInd w:val="0"/>
              <w:snapToGrid w:val="0"/>
              <w:jc w:val="center"/>
              <w:textAlignment w:val="center"/>
              <w:rPr>
                <w:rFonts w:ascii="宋体" w:hAnsi="宋体" w:cs="宋体"/>
                <w:bCs/>
                <w:snapToGrid w:val="0"/>
                <w:color w:val="000000"/>
                <w:kern w:val="0"/>
                <w:sz w:val="20"/>
                <w:szCs w:val="20"/>
                <w:lang w:bidi="ar"/>
              </w:rPr>
            </w:pPr>
            <w:r>
              <w:rPr>
                <w:rFonts w:hint="eastAsia" w:ascii="宋体" w:hAnsi="宋体" w:cs="宋体"/>
                <w:b/>
                <w:snapToGrid w:val="0"/>
                <w:color w:val="000000"/>
                <w:kern w:val="0"/>
                <w:sz w:val="20"/>
                <w:szCs w:val="20"/>
              </w:rPr>
              <w:t>合</w:t>
            </w:r>
            <w:r>
              <w:rPr>
                <w:rFonts w:hint="eastAsia" w:ascii="宋体" w:hAnsi="宋体" w:cs="宋体"/>
                <w:b/>
                <w:snapToGrid w:val="0"/>
                <w:color w:val="000000"/>
                <w:kern w:val="0"/>
                <w:sz w:val="20"/>
                <w:szCs w:val="20"/>
                <w:lang w:val="en-US" w:eastAsia="zh-CN"/>
              </w:rPr>
              <w:t xml:space="preserve">  </w:t>
            </w:r>
            <w:r>
              <w:rPr>
                <w:rFonts w:hint="eastAsia" w:ascii="宋体" w:hAnsi="宋体" w:cs="宋体"/>
                <w:b/>
                <w:snapToGrid w:val="0"/>
                <w:color w:val="000000"/>
                <w:kern w:val="0"/>
                <w:sz w:val="20"/>
                <w:szCs w:val="20"/>
              </w:rPr>
              <w:t>计</w:t>
            </w:r>
          </w:p>
        </w:tc>
        <w:tc>
          <w:tcPr>
            <w:tcW w:w="17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right"/>
              <w:textAlignment w:val="center"/>
              <w:rPr>
                <w:rFonts w:ascii="宋体" w:hAnsi="宋体" w:cs="宋体"/>
                <w:bCs/>
                <w:snapToGrid w:val="0"/>
                <w:color w:val="000000"/>
                <w:kern w:val="0"/>
                <w:sz w:val="20"/>
                <w:szCs w:val="20"/>
              </w:rPr>
            </w:pPr>
            <w:r>
              <w:rPr>
                <w:rFonts w:hint="eastAsia" w:ascii="宋体" w:hAnsi="宋体" w:cs="宋体"/>
                <w:snapToGrid w:val="0"/>
                <w:color w:val="000000"/>
                <w:kern w:val="0"/>
                <w:sz w:val="20"/>
                <w:szCs w:val="20"/>
                <w:lang w:bidi="ar"/>
              </w:rPr>
              <w:t>60522.51</w:t>
            </w:r>
          </w:p>
        </w:tc>
        <w:tc>
          <w:tcPr>
            <w:tcW w:w="17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right"/>
              <w:textAlignment w:val="center"/>
              <w:rPr>
                <w:rFonts w:ascii="宋体" w:hAnsi="宋体" w:cs="宋体"/>
                <w:bCs/>
                <w:snapToGrid w:val="0"/>
                <w:color w:val="000000"/>
                <w:kern w:val="0"/>
                <w:sz w:val="20"/>
                <w:szCs w:val="20"/>
              </w:rPr>
            </w:pPr>
            <w:r>
              <w:rPr>
                <w:rFonts w:hint="eastAsia" w:ascii="宋体" w:hAnsi="宋体" w:cs="宋体"/>
                <w:snapToGrid w:val="0"/>
                <w:color w:val="000000"/>
                <w:kern w:val="0"/>
                <w:sz w:val="20"/>
                <w:szCs w:val="20"/>
                <w:lang w:bidi="ar"/>
              </w:rPr>
              <w:t>59236.81</w:t>
            </w:r>
          </w:p>
        </w:tc>
        <w:tc>
          <w:tcPr>
            <w:tcW w:w="177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adjustRightInd w:val="0"/>
              <w:snapToGrid w:val="0"/>
              <w:jc w:val="right"/>
              <w:textAlignment w:val="center"/>
              <w:rPr>
                <w:rFonts w:ascii="宋体" w:hAnsi="宋体" w:cs="宋体"/>
                <w:bCs/>
                <w:snapToGrid w:val="0"/>
                <w:color w:val="000000"/>
                <w:kern w:val="0"/>
                <w:sz w:val="20"/>
                <w:szCs w:val="20"/>
                <w:lang w:bidi="ar"/>
              </w:rPr>
            </w:pPr>
            <w:r>
              <w:rPr>
                <w:rFonts w:hint="eastAsia" w:ascii="宋体" w:hAnsi="宋体" w:cs="宋体"/>
                <w:snapToGrid w:val="0"/>
                <w:color w:val="000000"/>
                <w:kern w:val="0"/>
                <w:sz w:val="20"/>
                <w:szCs w:val="20"/>
                <w:lang w:bidi="ar"/>
              </w:rPr>
              <w:t>1285.70</w:t>
            </w:r>
          </w:p>
        </w:tc>
      </w:tr>
    </w:tbl>
    <w:p>
      <w:pPr>
        <w:adjustRightInd w:val="0"/>
        <w:snapToGrid w:val="0"/>
        <w:spacing w:line="560" w:lineRule="exact"/>
        <w:ind w:firstLine="643" w:firstLineChars="200"/>
        <w:rPr>
          <w:rFonts w:ascii="仿宋" w:hAnsi="仿宋" w:eastAsia="仿宋" w:cs="楷体_GB2312"/>
          <w:b/>
          <w:bCs/>
          <w:snapToGrid w:val="0"/>
          <w:kern w:val="0"/>
          <w:sz w:val="32"/>
          <w:szCs w:val="32"/>
        </w:rPr>
      </w:pPr>
    </w:p>
    <w:p>
      <w:pPr>
        <w:adjustRightInd w:val="0"/>
        <w:snapToGrid w:val="0"/>
        <w:spacing w:line="560" w:lineRule="exact"/>
        <w:ind w:firstLine="643" w:firstLineChars="200"/>
        <w:outlineLvl w:val="1"/>
        <w:rPr>
          <w:rFonts w:ascii="仿宋" w:hAnsi="仿宋" w:eastAsia="仿宋" w:cs="楷体_GB2312"/>
          <w:b/>
          <w:bCs/>
          <w:snapToGrid w:val="0"/>
          <w:kern w:val="0"/>
          <w:sz w:val="32"/>
          <w:szCs w:val="32"/>
        </w:rPr>
      </w:pPr>
      <w:r>
        <w:rPr>
          <w:rFonts w:hint="eastAsia" w:ascii="仿宋" w:hAnsi="仿宋" w:eastAsia="仿宋" w:cs="楷体_GB2312"/>
          <w:b/>
          <w:bCs/>
          <w:snapToGrid w:val="0"/>
          <w:kern w:val="0"/>
          <w:sz w:val="32"/>
          <w:szCs w:val="32"/>
        </w:rPr>
        <w:t>（三）部门整体支出绩效目标、指标</w:t>
      </w:r>
    </w:p>
    <w:p>
      <w:pPr>
        <w:adjustRightInd w:val="0"/>
        <w:snapToGrid w:val="0"/>
        <w:spacing w:line="560" w:lineRule="exact"/>
        <w:ind w:firstLine="640" w:firstLineChars="200"/>
        <w:rPr>
          <w:rFonts w:ascii="仿宋" w:hAnsi="仿宋" w:eastAsia="仿宋"/>
          <w:snapToGrid w:val="0"/>
          <w:kern w:val="0"/>
          <w:sz w:val="32"/>
          <w:szCs w:val="32"/>
        </w:rPr>
      </w:pPr>
      <w:r>
        <w:rPr>
          <w:rFonts w:hint="eastAsia" w:ascii="仿宋" w:hAnsi="仿宋" w:eastAsia="仿宋"/>
          <w:snapToGrid w:val="0"/>
          <w:kern w:val="0"/>
          <w:sz w:val="32"/>
          <w:szCs w:val="32"/>
          <w:lang w:bidi="ar"/>
        </w:rPr>
        <w:t>2021年，我单位继续严管理、抓落实、快推进，以市委、市政府确定的重点民生项目为核心，集中精力抓好代建项目推进。继续推进完成2020年未完工的项目，确保时限性强的项目如期完工验收。启动实施2021年新代建项目。按照市委、市政府统一安排部署，不断加强内部制度建设，将改革向纵深推进。以建精品、创品牌、树标杆为目标，不断提升项目管理水平，展示良好的政府投资项目形象。</w:t>
      </w:r>
    </w:p>
    <w:p>
      <w:pPr>
        <w:numPr>
          <w:ilvl w:val="255"/>
          <w:numId w:val="0"/>
        </w:numPr>
        <w:adjustRightInd w:val="0"/>
        <w:snapToGrid w:val="0"/>
        <w:spacing w:line="560" w:lineRule="exact"/>
        <w:ind w:firstLine="640" w:firstLineChars="200"/>
        <w:rPr>
          <w:rFonts w:ascii="仿宋" w:hAnsi="仿宋" w:eastAsia="仿宋"/>
          <w:snapToGrid w:val="0"/>
          <w:kern w:val="0"/>
          <w:sz w:val="32"/>
          <w:szCs w:val="32"/>
        </w:rPr>
      </w:pPr>
      <w:r>
        <w:rPr>
          <w:rFonts w:hint="eastAsia" w:ascii="仿宋" w:hAnsi="仿宋" w:eastAsia="仿宋"/>
          <w:snapToGrid w:val="0"/>
          <w:kern w:val="0"/>
          <w:sz w:val="32"/>
          <w:szCs w:val="32"/>
        </w:rPr>
        <w:t>分项绩效目标如下：</w:t>
      </w:r>
    </w:p>
    <w:p>
      <w:pPr>
        <w:adjustRightInd w:val="0"/>
        <w:snapToGrid w:val="0"/>
        <w:spacing w:line="560" w:lineRule="exact"/>
        <w:ind w:firstLine="640" w:firstLineChars="200"/>
        <w:rPr>
          <w:rFonts w:ascii="仿宋" w:hAnsi="仿宋" w:eastAsia="仿宋"/>
          <w:snapToGrid w:val="0"/>
          <w:kern w:val="0"/>
          <w:sz w:val="32"/>
          <w:szCs w:val="32"/>
        </w:rPr>
      </w:pPr>
      <w:r>
        <w:rPr>
          <w:rFonts w:hint="eastAsia" w:ascii="仿宋" w:hAnsi="仿宋" w:eastAsia="仿宋"/>
          <w:snapToGrid w:val="0"/>
          <w:kern w:val="0"/>
          <w:sz w:val="32"/>
          <w:szCs w:val="32"/>
        </w:rPr>
        <w:t>1.以市委、市政府确定的重点民生项目为核心，集中精力抓好代建项目推进。绩效目标：继续推进完成2020年未完工的项目，确保代建项目如期竣工验收，如石家庄市二中三期项目，项目如期完工；启动2021年新代建项目，保证新代建项目如期开工，如石家庄市消防支队项目、石家庄市第一中学新建教学楼项目。绩效指标：工程按期完成率100%；通过验收的工程量占验收建设总量90%；新代建项目按期开工率100%。</w:t>
      </w:r>
    </w:p>
    <w:p>
      <w:pPr>
        <w:adjustRightInd w:val="0"/>
        <w:snapToGrid w:val="0"/>
        <w:spacing w:line="560" w:lineRule="exact"/>
        <w:ind w:firstLine="640" w:firstLineChars="200"/>
        <w:rPr>
          <w:rFonts w:ascii="仿宋" w:hAnsi="仿宋" w:eastAsia="仿宋"/>
          <w:snapToGrid w:val="0"/>
          <w:kern w:val="0"/>
          <w:sz w:val="32"/>
          <w:szCs w:val="32"/>
        </w:rPr>
      </w:pPr>
      <w:r>
        <w:rPr>
          <w:rFonts w:hint="eastAsia" w:ascii="仿宋" w:hAnsi="仿宋" w:eastAsia="仿宋"/>
          <w:snapToGrid w:val="0"/>
          <w:kern w:val="0"/>
          <w:sz w:val="32"/>
          <w:szCs w:val="32"/>
        </w:rPr>
        <w:t>2.按照市委、市政府统一安排部署，不断提高代建项目质量、安全及文明施工水平。绩效目标：促进代建项目质量、安全及文明施工水平提高，保障施工质量安全及扬尘治理水平规范现场管理。绩效指标：项目现场考核覆盖率大于或等于90%；进行现场检查考核并对检查出具考核报告大于或等于10次；检查考核完成后应在三天内出具考核报告。</w:t>
      </w:r>
    </w:p>
    <w:p>
      <w:pPr>
        <w:adjustRightInd w:val="0"/>
        <w:snapToGrid w:val="0"/>
        <w:spacing w:line="560" w:lineRule="exact"/>
        <w:ind w:firstLine="640" w:firstLineChars="200"/>
        <w:rPr>
          <w:snapToGrid w:val="0"/>
          <w:kern w:val="0"/>
        </w:rPr>
      </w:pPr>
      <w:r>
        <w:rPr>
          <w:rFonts w:hint="eastAsia" w:ascii="仿宋" w:hAnsi="仿宋" w:eastAsia="仿宋"/>
          <w:snapToGrid w:val="0"/>
          <w:kern w:val="0"/>
          <w:sz w:val="32"/>
          <w:szCs w:val="32"/>
        </w:rPr>
        <w:t>3.以建精品、创品牌、树标杆为目标，不断提升项目管理水平，展示良好的政府投资项目形象。绩效目标：外抓管理、内强素质，严把工程质量关、参建单位管理关、现场文明施工关，促进代建项目质量、安全及文明施工水平提高；保障施工质量安全及扬尘治理水平规范现场管理，努力将每一项代建工程打造成为质量标杆工程、扬尘治理标杆工地，展示良好的政府投资项目形象。绩效指标：通过验收的单位工程均符合河北省建筑质量验收规范确定的标准；发生较大及以上安全事故率为零；严格按照《石家庄市严管建筑施工扬尘十二条》规定达到“六个百分百、两个全覆盖”，代建项目工地环保合格率100%。</w:t>
      </w:r>
    </w:p>
    <w:p>
      <w:pPr>
        <w:adjustRightInd w:val="0"/>
        <w:snapToGrid w:val="0"/>
        <w:spacing w:line="560" w:lineRule="exact"/>
        <w:ind w:firstLine="640" w:firstLineChars="200"/>
        <w:outlineLvl w:val="0"/>
        <w:rPr>
          <w:rFonts w:ascii="黑体" w:hAnsi="黑体" w:eastAsia="黑体"/>
          <w:snapToGrid w:val="0"/>
          <w:kern w:val="0"/>
          <w:sz w:val="32"/>
          <w:szCs w:val="32"/>
        </w:rPr>
      </w:pPr>
      <w:r>
        <w:rPr>
          <w:rFonts w:hint="eastAsia" w:ascii="黑体" w:hAnsi="黑体" w:eastAsia="黑体"/>
          <w:snapToGrid w:val="0"/>
          <w:kern w:val="0"/>
          <w:sz w:val="32"/>
          <w:szCs w:val="32"/>
        </w:rPr>
        <w:t>二、自评工作开展情况</w:t>
      </w:r>
    </w:p>
    <w:p>
      <w:pPr>
        <w:adjustRightInd w:val="0"/>
        <w:snapToGrid w:val="0"/>
        <w:spacing w:line="560" w:lineRule="exact"/>
        <w:ind w:firstLine="643" w:firstLineChars="200"/>
        <w:outlineLvl w:val="1"/>
        <w:rPr>
          <w:rFonts w:ascii="仿宋" w:hAnsi="仿宋" w:eastAsia="仿宋" w:cs="楷体_GB2312"/>
          <w:snapToGrid w:val="0"/>
          <w:kern w:val="0"/>
          <w:sz w:val="32"/>
          <w:szCs w:val="32"/>
        </w:rPr>
      </w:pPr>
      <w:r>
        <w:rPr>
          <w:rFonts w:hint="eastAsia" w:ascii="仿宋" w:hAnsi="仿宋" w:eastAsia="仿宋" w:cs="楷体_GB2312"/>
          <w:b/>
          <w:bCs/>
          <w:snapToGrid w:val="0"/>
          <w:kern w:val="0"/>
          <w:sz w:val="32"/>
          <w:szCs w:val="32"/>
        </w:rPr>
        <w:t>（一）自评的组织工作</w:t>
      </w:r>
    </w:p>
    <w:p>
      <w:pPr>
        <w:adjustRightInd w:val="0"/>
        <w:snapToGrid w:val="0"/>
        <w:spacing w:line="560" w:lineRule="exact"/>
        <w:ind w:firstLine="640" w:firstLineChars="200"/>
        <w:outlineLvl w:val="2"/>
        <w:rPr>
          <w:rFonts w:ascii="仿宋" w:hAnsi="仿宋" w:eastAsia="仿宋" w:cs="仿宋"/>
          <w:snapToGrid w:val="0"/>
          <w:kern w:val="0"/>
          <w:sz w:val="32"/>
          <w:szCs w:val="32"/>
        </w:rPr>
      </w:pPr>
      <w:r>
        <w:rPr>
          <w:rFonts w:hint="eastAsia" w:ascii="仿宋" w:hAnsi="仿宋" w:eastAsia="仿宋" w:cs="仿宋"/>
          <w:snapToGrid w:val="0"/>
          <w:kern w:val="0"/>
          <w:sz w:val="32"/>
          <w:szCs w:val="32"/>
        </w:rPr>
        <w:t>1.</w:t>
      </w:r>
      <w:r>
        <w:rPr>
          <w:rFonts w:hint="eastAsia" w:ascii="仿宋" w:hAnsi="仿宋" w:eastAsia="仿宋" w:cs="仿宋"/>
          <w:snapToGrid w:val="0"/>
          <w:kern w:val="0"/>
          <w:sz w:val="32"/>
          <w:szCs w:val="32"/>
          <w:highlight w:val="none"/>
        </w:rPr>
        <w:t>组织机构</w:t>
      </w:r>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为加快单位预算绩效管理体系建设，强化预算绩效管理工作开展，保障部门整体支出自评工作顺利开展，我单位组建了由樊风波副主任担任工作组组长，计财科科长陈娟为副组长，办公室、审计科、项目审核科等科室负责及项目负责人为成员的部门自评工作领导小组</w:t>
      </w:r>
      <w:r>
        <w:rPr>
          <w:rFonts w:hint="eastAsia" w:ascii="仿宋" w:hAnsi="仿宋" w:eastAsia="仿宋" w:cs="仿宋"/>
          <w:snapToGrid w:val="0"/>
          <w:kern w:val="0"/>
          <w:sz w:val="32"/>
          <w:szCs w:val="32"/>
          <w:lang w:eastAsia="zh-CN"/>
        </w:rPr>
        <w:t>，领导小组下设绩效自评工作小组</w:t>
      </w:r>
      <w:r>
        <w:rPr>
          <w:rFonts w:hint="eastAsia" w:ascii="仿宋" w:hAnsi="仿宋" w:eastAsia="仿宋" w:cs="仿宋"/>
          <w:snapToGrid w:val="0"/>
          <w:kern w:val="0"/>
          <w:sz w:val="32"/>
          <w:szCs w:val="32"/>
        </w:rPr>
        <w:t>（以下简称“自评工作组”），负责本次部门自评工作的组织领导和具体实施。</w:t>
      </w:r>
    </w:p>
    <w:p>
      <w:pPr>
        <w:adjustRightInd w:val="0"/>
        <w:snapToGrid w:val="0"/>
        <w:spacing w:line="560" w:lineRule="exact"/>
        <w:ind w:firstLine="640" w:firstLineChars="200"/>
        <w:outlineLvl w:val="2"/>
        <w:rPr>
          <w:rFonts w:ascii="仿宋" w:hAnsi="仿宋" w:eastAsia="仿宋" w:cs="仿宋"/>
          <w:snapToGrid w:val="0"/>
          <w:kern w:val="0"/>
          <w:sz w:val="32"/>
          <w:szCs w:val="32"/>
        </w:rPr>
      </w:pPr>
      <w:bookmarkStart w:id="1" w:name="_Toc7510957"/>
      <w:bookmarkStart w:id="2" w:name="_Toc520666771"/>
      <w:bookmarkStart w:id="3" w:name="_Toc520808401"/>
      <w:r>
        <w:rPr>
          <w:rFonts w:hint="eastAsia" w:ascii="仿宋" w:hAnsi="仿宋" w:eastAsia="仿宋" w:cs="仿宋"/>
          <w:snapToGrid w:val="0"/>
          <w:kern w:val="0"/>
          <w:sz w:val="32"/>
          <w:szCs w:val="32"/>
        </w:rPr>
        <w:t>2.评价内容</w:t>
      </w:r>
      <w:bookmarkEnd w:id="1"/>
      <w:bookmarkEnd w:id="2"/>
      <w:bookmarkEnd w:id="3"/>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按照市财政局对于部门整体支出评价的要求，结合上一年度部门自评工作经验，本次主要对我单位2021年度部门整体支出的绩效目标设定情况、资金投入和使用情况、为实现绩效目标制定的制度及采取的措施、绩效目标的实现程度及效果等内容进行评价。</w:t>
      </w:r>
    </w:p>
    <w:p>
      <w:pPr>
        <w:adjustRightInd w:val="0"/>
        <w:snapToGrid w:val="0"/>
        <w:spacing w:line="560" w:lineRule="exact"/>
        <w:ind w:firstLine="640" w:firstLineChars="200"/>
        <w:outlineLvl w:val="2"/>
        <w:rPr>
          <w:rFonts w:ascii="仿宋" w:hAnsi="仿宋" w:eastAsia="仿宋" w:cs="仿宋"/>
          <w:snapToGrid w:val="0"/>
          <w:kern w:val="0"/>
          <w:sz w:val="32"/>
          <w:szCs w:val="32"/>
        </w:rPr>
      </w:pPr>
      <w:r>
        <w:rPr>
          <w:rFonts w:hint="eastAsia" w:ascii="仿宋" w:hAnsi="仿宋" w:eastAsia="仿宋" w:cs="仿宋"/>
          <w:snapToGrid w:val="0"/>
          <w:kern w:val="0"/>
          <w:sz w:val="32"/>
          <w:szCs w:val="32"/>
        </w:rPr>
        <w:t>3.评价过程</w:t>
      </w:r>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本次部门整体支出评价采取业务科室上报底数和完成资料，自评工作组进行复核汇总的方式开展，主要包括制定工作方案、进行任务布置及辅导、收集并分析相关资料、撰写部门整体支出绩效自评报告等。</w:t>
      </w:r>
    </w:p>
    <w:p>
      <w:pPr>
        <w:numPr>
          <w:ilvl w:val="0"/>
          <w:numId w:val="1"/>
        </w:numPr>
        <w:adjustRightInd w:val="0"/>
        <w:snapToGrid w:val="0"/>
        <w:spacing w:line="560" w:lineRule="exact"/>
        <w:ind w:left="0" w:firstLine="643" w:firstLineChars="200"/>
        <w:outlineLvl w:val="1"/>
        <w:rPr>
          <w:rFonts w:ascii="仿宋" w:hAnsi="仿宋" w:eastAsia="仿宋" w:cs="楷体_GB2312"/>
          <w:b/>
          <w:bCs/>
          <w:snapToGrid w:val="0"/>
          <w:kern w:val="0"/>
          <w:sz w:val="32"/>
          <w:szCs w:val="32"/>
        </w:rPr>
      </w:pPr>
      <w:r>
        <w:rPr>
          <w:rFonts w:hint="eastAsia" w:ascii="仿宋" w:hAnsi="仿宋" w:eastAsia="仿宋" w:cs="楷体_GB2312"/>
          <w:b/>
          <w:bCs/>
          <w:snapToGrid w:val="0"/>
          <w:kern w:val="0"/>
          <w:sz w:val="32"/>
          <w:szCs w:val="32"/>
        </w:rPr>
        <w:t>自评的方法和过程</w:t>
      </w:r>
    </w:p>
    <w:p>
      <w:pPr>
        <w:adjustRightInd w:val="0"/>
        <w:snapToGrid w:val="0"/>
        <w:spacing w:line="560" w:lineRule="exact"/>
        <w:ind w:firstLine="640" w:firstLineChars="200"/>
        <w:outlineLvl w:val="2"/>
        <w:rPr>
          <w:rFonts w:ascii="仿宋" w:hAnsi="仿宋" w:eastAsia="仿宋" w:cs="仿宋"/>
          <w:snapToGrid w:val="0"/>
          <w:kern w:val="0"/>
          <w:sz w:val="32"/>
          <w:szCs w:val="32"/>
        </w:rPr>
      </w:pPr>
      <w:r>
        <w:rPr>
          <w:rFonts w:hint="eastAsia" w:ascii="仿宋" w:hAnsi="仿宋" w:eastAsia="仿宋" w:cs="仿宋"/>
          <w:snapToGrid w:val="0"/>
          <w:kern w:val="0"/>
          <w:sz w:val="32"/>
          <w:szCs w:val="32"/>
        </w:rPr>
        <w:t>1.自评方法</w:t>
      </w:r>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本次部门整体支出评价的主要采取比较法和数据核对法。</w:t>
      </w:r>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1）比较法。重点将2021年度工作计划与年度工作总结、2021年度产出与效益、2021年度单位部门整体绩效目标、分项绩效目标指标与实际完成情况等方面进行比较，评价部门整体支出绩效目标和指标的完成情况以及产生的实效。</w:t>
      </w:r>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（2）数据核对法。自评工作组对业务科室提供的单位整体绩效目标中各项目标和指标的完成情况与原始记录文件进行核对，确保评价结果真实、客观。</w:t>
      </w:r>
    </w:p>
    <w:p>
      <w:pPr>
        <w:adjustRightInd w:val="0"/>
        <w:snapToGrid w:val="0"/>
        <w:spacing w:line="560" w:lineRule="exact"/>
        <w:ind w:firstLine="640" w:firstLineChars="200"/>
        <w:outlineLvl w:val="2"/>
        <w:rPr>
          <w:rFonts w:ascii="仿宋" w:hAnsi="仿宋" w:eastAsia="仿宋" w:cs="仿宋"/>
          <w:snapToGrid w:val="0"/>
          <w:kern w:val="0"/>
          <w:sz w:val="32"/>
          <w:szCs w:val="32"/>
        </w:rPr>
      </w:pPr>
      <w:r>
        <w:rPr>
          <w:rFonts w:hint="eastAsia" w:ascii="仿宋" w:hAnsi="仿宋" w:eastAsia="仿宋" w:cs="仿宋"/>
          <w:snapToGrid w:val="0"/>
          <w:kern w:val="0"/>
          <w:sz w:val="32"/>
          <w:szCs w:val="32"/>
        </w:rPr>
        <w:t>2.自评工作过程</w:t>
      </w:r>
    </w:p>
    <w:p>
      <w:pPr>
        <w:autoSpaceDE w:val="0"/>
        <w:autoSpaceDN w:val="0"/>
        <w:adjustRightInd w:val="0"/>
        <w:snapToGrid w:val="0"/>
        <w:spacing w:line="560" w:lineRule="exact"/>
        <w:ind w:firstLine="640" w:firstLineChars="200"/>
        <w:rPr>
          <w:rFonts w:ascii="仿宋" w:hAnsi="仿宋" w:eastAsia="仿宋" w:cs="仿宋"/>
          <w:bCs/>
          <w:snapToGrid w:val="0"/>
          <w:kern w:val="0"/>
          <w:sz w:val="32"/>
          <w:szCs w:val="32"/>
        </w:rPr>
      </w:pPr>
      <w:r>
        <w:rPr>
          <w:rFonts w:hint="eastAsia" w:ascii="仿宋" w:hAnsi="仿宋" w:eastAsia="仿宋" w:cs="仿宋"/>
          <w:bCs/>
          <w:snapToGrid w:val="0"/>
          <w:kern w:val="0"/>
          <w:sz w:val="32"/>
          <w:szCs w:val="32"/>
        </w:rPr>
        <w:t>（1）评价准备阶段</w:t>
      </w:r>
    </w:p>
    <w:p>
      <w:pPr>
        <w:autoSpaceDE w:val="0"/>
        <w:autoSpaceDN w:val="0"/>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2022年2月14日－3月3日为评价准备阶段：在结合2021年度评价工作实际需要的基础上，我单位组建了自评工作组，制定了评价工作方案，部署了任务分工，明确了工作进度安排，设计了数据与资料收据底稿，与相关科室建立了联系，初步了解部门2021年履职情况。</w:t>
      </w:r>
    </w:p>
    <w:p>
      <w:pPr>
        <w:adjustRightInd w:val="0"/>
        <w:snapToGrid w:val="0"/>
        <w:spacing w:line="560" w:lineRule="exact"/>
        <w:ind w:firstLine="640" w:firstLineChars="200"/>
        <w:rPr>
          <w:rFonts w:ascii="仿宋" w:hAnsi="仿宋" w:eastAsia="仿宋" w:cs="仿宋"/>
          <w:snapToGrid w:val="0"/>
          <w:color w:val="000000"/>
          <w:kern w:val="0"/>
          <w:sz w:val="32"/>
          <w:szCs w:val="32"/>
        </w:rPr>
      </w:pPr>
      <w:r>
        <w:rPr>
          <w:rFonts w:hint="eastAsia" w:ascii="仿宋" w:hAnsi="仿宋" w:eastAsia="仿宋" w:cs="仿宋"/>
          <w:snapToGrid w:val="0"/>
          <w:color w:val="000000"/>
          <w:kern w:val="0"/>
          <w:sz w:val="32"/>
          <w:szCs w:val="32"/>
        </w:rPr>
        <w:t>（2）评价实施阶段</w:t>
      </w:r>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color w:val="000000"/>
          <w:kern w:val="0"/>
          <w:sz w:val="32"/>
          <w:szCs w:val="32"/>
        </w:rPr>
        <w:t>2022年3月4日－3月1</w:t>
      </w:r>
      <w:r>
        <w:rPr>
          <w:rFonts w:hint="eastAsia" w:ascii="仿宋" w:hAnsi="仿宋" w:eastAsia="仿宋" w:cs="仿宋"/>
          <w:snapToGrid w:val="0"/>
          <w:kern w:val="0"/>
          <w:sz w:val="32"/>
          <w:szCs w:val="32"/>
        </w:rPr>
        <w:t>8日为评价实施阶段：在前期工作基础上，收集、</w:t>
      </w:r>
      <w:r>
        <w:rPr>
          <w:rFonts w:hint="eastAsia" w:ascii="仿宋" w:hAnsi="仿宋" w:eastAsia="仿宋" w:cs="仿宋"/>
          <w:snapToGrid w:val="0"/>
          <w:color w:val="000000"/>
          <w:kern w:val="0"/>
          <w:sz w:val="32"/>
          <w:szCs w:val="32"/>
        </w:rPr>
        <w:t>整理</w:t>
      </w:r>
      <w:r>
        <w:rPr>
          <w:rFonts w:hint="eastAsia" w:ascii="仿宋" w:hAnsi="仿宋" w:eastAsia="仿宋" w:cs="仿宋"/>
          <w:snapToGrid w:val="0"/>
          <w:kern w:val="0"/>
          <w:sz w:val="32"/>
          <w:szCs w:val="32"/>
        </w:rPr>
        <w:t>、分析相关科室提交的资料，自评工作组根据资料提交情况与相关科室沟通资料补充意见，并开展部门现场座谈，综合部门提交资料及现场座谈结果，形成评价结论。</w:t>
      </w:r>
    </w:p>
    <w:p>
      <w:pPr>
        <w:adjustRightInd w:val="0"/>
        <w:snapToGrid w:val="0"/>
        <w:spacing w:line="560" w:lineRule="exact"/>
        <w:ind w:firstLine="640" w:firstLineChars="200"/>
        <w:rPr>
          <w:rFonts w:ascii="仿宋" w:hAnsi="仿宋" w:eastAsia="仿宋" w:cs="仿宋"/>
          <w:snapToGrid w:val="0"/>
          <w:color w:val="000000"/>
          <w:kern w:val="0"/>
          <w:sz w:val="32"/>
          <w:szCs w:val="32"/>
        </w:rPr>
      </w:pPr>
      <w:r>
        <w:rPr>
          <w:rFonts w:hint="eastAsia" w:ascii="仿宋" w:hAnsi="仿宋" w:eastAsia="仿宋" w:cs="仿宋"/>
          <w:snapToGrid w:val="0"/>
          <w:color w:val="000000"/>
          <w:kern w:val="0"/>
          <w:sz w:val="32"/>
          <w:szCs w:val="32"/>
        </w:rPr>
        <w:t>（3）总结分析阶段</w:t>
      </w:r>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2022年3月19日－3月31日为分析阶段：自评工作组根据收集到的相关资料以及现场调研结果，对部门履职的产出和效果进行分析，撰写部门整体支出绩效自评报告，提交相关科室征求意见。在市财政局规定的时间内，形成部门整体支出绩效自评报告正式稿，并报送市财政局。</w:t>
      </w:r>
    </w:p>
    <w:p>
      <w:pPr>
        <w:adjustRightInd w:val="0"/>
        <w:snapToGrid w:val="0"/>
        <w:spacing w:line="560" w:lineRule="exact"/>
        <w:ind w:firstLine="640" w:firstLineChars="200"/>
        <w:outlineLvl w:val="0"/>
        <w:rPr>
          <w:rFonts w:ascii="黑体" w:hAnsi="黑体" w:eastAsia="黑体"/>
          <w:b/>
          <w:bCs/>
          <w:snapToGrid w:val="0"/>
          <w:kern w:val="0"/>
          <w:sz w:val="32"/>
          <w:szCs w:val="32"/>
        </w:rPr>
      </w:pPr>
      <w:r>
        <w:rPr>
          <w:rFonts w:hint="eastAsia" w:ascii="黑体" w:hAnsi="黑体" w:eastAsia="黑体"/>
          <w:snapToGrid w:val="0"/>
          <w:kern w:val="0"/>
          <w:sz w:val="32"/>
          <w:szCs w:val="32"/>
        </w:rPr>
        <w:t>三、部门整体支出绩效目标实现情况及指标分析</w:t>
      </w:r>
    </w:p>
    <w:p>
      <w:pPr>
        <w:numPr>
          <w:ilvl w:val="255"/>
          <w:numId w:val="0"/>
        </w:numPr>
        <w:adjustRightInd w:val="0"/>
        <w:snapToGrid w:val="0"/>
        <w:spacing w:line="560" w:lineRule="exact"/>
        <w:ind w:firstLine="643" w:firstLineChars="200"/>
        <w:outlineLvl w:val="1"/>
        <w:rPr>
          <w:rFonts w:ascii="仿宋" w:hAnsi="仿宋" w:eastAsia="仿宋" w:cs="仿宋"/>
          <w:b/>
          <w:bCs/>
          <w:snapToGrid w:val="0"/>
          <w:kern w:val="0"/>
          <w:sz w:val="32"/>
          <w:szCs w:val="32"/>
        </w:rPr>
      </w:pPr>
      <w:r>
        <w:rPr>
          <w:rFonts w:hint="eastAsia" w:ascii="仿宋" w:hAnsi="仿宋" w:eastAsia="仿宋" w:cs="仿宋"/>
          <w:b/>
          <w:bCs/>
          <w:snapToGrid w:val="0"/>
          <w:kern w:val="0"/>
          <w:sz w:val="32"/>
          <w:szCs w:val="32"/>
        </w:rPr>
        <w:t>（一）总体绩效目标实现情况</w:t>
      </w:r>
    </w:p>
    <w:p>
      <w:pPr>
        <w:adjustRightInd w:val="0"/>
        <w:snapToGrid w:val="0"/>
        <w:spacing w:line="560" w:lineRule="exact"/>
        <w:ind w:firstLine="640" w:firstLineChars="200"/>
        <w:rPr>
          <w:rFonts w:ascii="仿宋" w:hAnsi="仿宋" w:eastAsia="仿宋" w:cs="仿宋"/>
          <w:snapToGrid w:val="0"/>
          <w:kern w:val="0"/>
          <w:sz w:val="32"/>
          <w:szCs w:val="32"/>
          <w:lang w:bidi="ar"/>
        </w:rPr>
      </w:pPr>
      <w:r>
        <w:rPr>
          <w:rFonts w:hint="eastAsia" w:ascii="仿宋" w:hAnsi="仿宋" w:eastAsia="仿宋" w:cs="仿宋"/>
          <w:snapToGrid w:val="0"/>
          <w:kern w:val="0"/>
          <w:sz w:val="32"/>
          <w:szCs w:val="32"/>
        </w:rPr>
        <w:t>2021年，我单位继续以</w:t>
      </w:r>
      <w:r>
        <w:rPr>
          <w:rFonts w:hint="eastAsia" w:ascii="仿宋" w:hAnsi="仿宋" w:eastAsia="仿宋" w:cs="仿宋"/>
          <w:snapToGrid w:val="0"/>
          <w:kern w:val="0"/>
          <w:sz w:val="32"/>
          <w:szCs w:val="32"/>
          <w:lang w:bidi="ar"/>
        </w:rPr>
        <w:t>严管理、抓落实、快推进为原则，以市委、市政府确定的重点民生项目为核心，集中精力抓好代建项目推进，不断提高代建项目质量，努力展示良好的政府投资项目形象，实现2020年未完工项目按期推进、完工验收，推动2021年新代建项目按计划启动实施，并制定出台《代建项目施工、</w:t>
      </w:r>
      <w:r>
        <w:rPr>
          <w:rFonts w:hint="eastAsia" w:ascii="仿宋" w:hAnsi="仿宋" w:eastAsia="仿宋" w:cs="仿宋"/>
          <w:snapToGrid w:val="0"/>
          <w:kern w:val="0"/>
          <w:sz w:val="32"/>
          <w:szCs w:val="32"/>
          <w:lang w:eastAsia="zh-CN" w:bidi="ar"/>
        </w:rPr>
        <w:t>监理</w:t>
      </w:r>
      <w:r>
        <w:rPr>
          <w:rFonts w:hint="eastAsia" w:ascii="仿宋" w:hAnsi="仿宋" w:eastAsia="仿宋" w:cs="仿宋"/>
          <w:snapToGrid w:val="0"/>
          <w:kern w:val="0"/>
          <w:sz w:val="32"/>
          <w:szCs w:val="32"/>
          <w:lang w:bidi="ar"/>
        </w:rPr>
        <w:t>工作考核》《预算绩效管理办法》《绩效自评管理办法》等11项内部管控制度，不断加强内部控制建设，以优异的成绩完成了总体绩效目标。此外，2021</w:t>
      </w:r>
      <w:r>
        <w:rPr>
          <w:rFonts w:hint="eastAsia" w:ascii="仿宋" w:hAnsi="仿宋" w:eastAsia="仿宋" w:cs="仿宋"/>
          <w:snapToGrid w:val="0"/>
          <w:kern w:val="0"/>
          <w:sz w:val="32"/>
          <w:szCs w:val="32"/>
        </w:rPr>
        <w:t>年初我市突发新冠疫情，我单位上下迅速行动、全员上阵，团结带领50余个参建单位、2000余人克服低温严寒、施工环境恶劣等困难，用5天时间完成了6.2万平方米的市人民医院定点康复医院改造、3座负压急救车洗消站建设，并在20天内完成了7所高校、8个宾馆酒店隔离点4400余房间改造，协助市领导指挥督导黄庄公寓集中隔离点建设，为抗击疫情作出了积极贡献。</w:t>
      </w:r>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总体绩效目标实现情况见表3。</w:t>
      </w:r>
    </w:p>
    <w:p>
      <w:pPr>
        <w:pStyle w:val="17"/>
        <w:adjustRightInd w:val="0"/>
        <w:snapToGrid w:val="0"/>
        <w:spacing w:line="560" w:lineRule="exact"/>
        <w:jc w:val="center"/>
        <w:rPr>
          <w:rFonts w:ascii="黑体" w:hAnsi="黑体" w:eastAsia="黑体" w:cs="黑体"/>
          <w:snapToGrid w:val="0"/>
          <w:kern w:val="0"/>
          <w:sz w:val="28"/>
          <w:szCs w:val="28"/>
        </w:rPr>
      </w:pPr>
      <w:r>
        <w:rPr>
          <w:rFonts w:hint="eastAsia" w:ascii="黑体" w:hAnsi="黑体" w:eastAsia="黑体" w:cs="黑体"/>
          <w:snapToGrid w:val="0"/>
          <w:kern w:val="0"/>
          <w:sz w:val="28"/>
          <w:szCs w:val="28"/>
        </w:rPr>
        <w:t>表3：总体绩效目标实现情况</w:t>
      </w:r>
    </w:p>
    <w:tbl>
      <w:tblPr>
        <w:tblStyle w:val="13"/>
        <w:tblW w:w="9061" w:type="dxa"/>
        <w:jc w:val="center"/>
        <w:tblInd w:w="0" w:type="dxa"/>
        <w:tblLayout w:type="fixed"/>
        <w:tblCellMar>
          <w:top w:w="0" w:type="dxa"/>
          <w:left w:w="108" w:type="dxa"/>
          <w:bottom w:w="0" w:type="dxa"/>
          <w:right w:w="108" w:type="dxa"/>
        </w:tblCellMar>
      </w:tblPr>
      <w:tblGrid>
        <w:gridCol w:w="3124"/>
        <w:gridCol w:w="4815"/>
        <w:gridCol w:w="1122"/>
      </w:tblGrid>
      <w:tr>
        <w:tblPrEx>
          <w:tblLayout w:type="fixed"/>
          <w:tblCellMar>
            <w:top w:w="0" w:type="dxa"/>
            <w:left w:w="108" w:type="dxa"/>
            <w:bottom w:w="0" w:type="dxa"/>
            <w:right w:w="108" w:type="dxa"/>
          </w:tblCellMar>
        </w:tblPrEx>
        <w:trPr>
          <w:trHeight w:val="510" w:hRule="atLeast"/>
          <w:tblHeader/>
          <w:jc w:val="center"/>
        </w:trPr>
        <w:tc>
          <w:tcPr>
            <w:tcW w:w="3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总体绩效目标</w:t>
            </w:r>
          </w:p>
        </w:tc>
        <w:tc>
          <w:tcPr>
            <w:tcW w:w="48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总体绩效目标完成情况</w:t>
            </w:r>
          </w:p>
        </w:tc>
        <w:tc>
          <w:tcPr>
            <w:tcW w:w="11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是否完成</w:t>
            </w:r>
          </w:p>
        </w:tc>
      </w:tr>
      <w:tr>
        <w:tblPrEx>
          <w:tblLayout w:type="fixed"/>
          <w:tblCellMar>
            <w:top w:w="0" w:type="dxa"/>
            <w:left w:w="108" w:type="dxa"/>
            <w:bottom w:w="0" w:type="dxa"/>
            <w:right w:w="108" w:type="dxa"/>
          </w:tblCellMar>
        </w:tblPrEx>
        <w:trPr>
          <w:trHeight w:val="1304" w:hRule="atLeast"/>
          <w:jc w:val="center"/>
        </w:trPr>
        <w:tc>
          <w:tcPr>
            <w:tcW w:w="3124"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2021年，代建中心将继续严管理、抓落实、快推进，以市委、市政府确定的重点民生项目为核心，集中精力抓好代建项目推进。</w:t>
            </w:r>
            <w:r>
              <w:rPr>
                <w:rFonts w:hint="eastAsia" w:ascii="宋体" w:hAnsi="宋体" w:cs="宋体"/>
                <w:snapToGrid w:val="0"/>
                <w:color w:val="000000"/>
                <w:kern w:val="0"/>
                <w:sz w:val="20"/>
                <w:szCs w:val="20"/>
                <w:lang w:bidi="ar"/>
              </w:rPr>
              <w:br w:type="textWrapping"/>
            </w:r>
            <w:r>
              <w:rPr>
                <w:rFonts w:hint="eastAsia" w:ascii="宋体" w:hAnsi="宋体" w:cs="宋体"/>
                <w:snapToGrid w:val="0"/>
                <w:color w:val="000000"/>
                <w:kern w:val="0"/>
                <w:sz w:val="20"/>
                <w:szCs w:val="20"/>
                <w:lang w:bidi="ar"/>
              </w:rPr>
              <w:t>继续推进完成2020年未完工的项目，确保时限性强的项目如期完工验收。启动实施2021年新代建项目。按照市委、市政府统一安排部署，不断加强内部制度建设，将改革向纵深推进。以建精品、创品牌、树标杆为目标，不断提升项目管理水平，展示良好的政府投资项目形象。</w:t>
            </w:r>
          </w:p>
        </w:tc>
        <w:tc>
          <w:tcPr>
            <w:tcW w:w="4815"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2021年，我单位以严管理、抓落实、快推进为原则，以市委、市政府确定的重点民生项目为核心，集中精力抓好代建项目推进工作，始终保持快速推进项目的高压态势。</w:t>
            </w:r>
            <w:r>
              <w:rPr>
                <w:rFonts w:hint="eastAsia" w:ascii="宋体" w:hAnsi="宋体" w:cs="宋体"/>
                <w:b/>
                <w:bCs/>
                <w:snapToGrid w:val="0"/>
                <w:color w:val="000000"/>
                <w:kern w:val="0"/>
                <w:sz w:val="20"/>
                <w:szCs w:val="20"/>
                <w:lang w:bidi="ar"/>
              </w:rPr>
              <w:t>第一，</w:t>
            </w:r>
            <w:r>
              <w:rPr>
                <w:rFonts w:hint="eastAsia" w:ascii="宋体" w:hAnsi="宋体" w:cs="宋体"/>
                <w:snapToGrid w:val="0"/>
                <w:color w:val="000000"/>
                <w:kern w:val="0"/>
                <w:sz w:val="20"/>
                <w:szCs w:val="20"/>
                <w:lang w:bidi="ar"/>
              </w:rPr>
              <w:t>我单位继续推进完成建设2020年未完工的项目，全面优化工作流程，强化服务机制，积极主动参与到项目推进各项工作中，采取有效措施，确保时限性强的项目如期完工验收，确保项目建设顺利推进；</w:t>
            </w:r>
            <w:r>
              <w:rPr>
                <w:rFonts w:hint="eastAsia" w:ascii="宋体" w:hAnsi="宋体" w:cs="宋体"/>
                <w:b/>
                <w:bCs/>
                <w:snapToGrid w:val="0"/>
                <w:color w:val="000000"/>
                <w:kern w:val="0"/>
                <w:sz w:val="20"/>
                <w:szCs w:val="20"/>
                <w:lang w:bidi="ar"/>
              </w:rPr>
              <w:t>第二，</w:t>
            </w:r>
            <w:r>
              <w:rPr>
                <w:rFonts w:hint="eastAsia" w:ascii="宋体" w:hAnsi="宋体" w:cs="宋体"/>
                <w:snapToGrid w:val="0"/>
                <w:color w:val="000000"/>
                <w:kern w:val="0"/>
                <w:sz w:val="20"/>
                <w:szCs w:val="20"/>
                <w:lang w:bidi="ar"/>
              </w:rPr>
              <w:t>我单位按计划启动实施了2021年新代建项目。按照市委、市政府统一安排部署，不断加强内部制度建设，制定出台《代建项目施工、建立工作考核》《预算绩效管理办法》《绩效自评管理办法》等11项内部管控制度，确保项目招标采购、预算管理、造价控制、现场管理等重点工作和关键环节有章可循、有据可依，将改革向纵深推进。</w:t>
            </w:r>
            <w:r>
              <w:rPr>
                <w:rFonts w:hint="eastAsia" w:ascii="宋体" w:hAnsi="宋体" w:cs="宋体"/>
                <w:b/>
                <w:bCs/>
                <w:snapToGrid w:val="0"/>
                <w:color w:val="000000"/>
                <w:kern w:val="0"/>
                <w:sz w:val="20"/>
                <w:szCs w:val="20"/>
                <w:lang w:bidi="ar"/>
              </w:rPr>
              <w:t>第三，</w:t>
            </w:r>
            <w:r>
              <w:rPr>
                <w:rFonts w:hint="eastAsia" w:ascii="宋体" w:hAnsi="宋体" w:cs="宋体"/>
                <w:snapToGrid w:val="0"/>
                <w:color w:val="000000"/>
                <w:kern w:val="0"/>
                <w:sz w:val="20"/>
                <w:szCs w:val="20"/>
                <w:lang w:bidi="ar"/>
              </w:rPr>
              <w:t>以建精品、创品牌、树标杆为目标，采取强化项目清单管理、完善管理制度机制、精准安全管控、强化代建服务意识、加强专项跟踪问效、建立征信激励机制等措施，不断提升项目管理水平，展示良好的政府投资项目形象，为加快建设现代化、国家化美丽省会城市贡献代建力量。</w:t>
            </w:r>
          </w:p>
        </w:tc>
        <w:tc>
          <w:tcPr>
            <w:tcW w:w="1122"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完成</w:t>
            </w:r>
          </w:p>
        </w:tc>
      </w:tr>
    </w:tbl>
    <w:p>
      <w:pPr>
        <w:pStyle w:val="2"/>
        <w:adjustRightInd w:val="0"/>
        <w:snapToGrid w:val="0"/>
        <w:spacing w:after="0"/>
        <w:ind w:left="0" w:leftChars="0" w:right="0" w:rightChars="0"/>
        <w:rPr>
          <w:kern w:val="0"/>
          <w:sz w:val="32"/>
          <w:szCs w:val="36"/>
        </w:rPr>
      </w:pPr>
    </w:p>
    <w:p>
      <w:pPr>
        <w:adjustRightInd w:val="0"/>
        <w:snapToGrid w:val="0"/>
        <w:spacing w:line="560" w:lineRule="exact"/>
        <w:ind w:firstLine="643" w:firstLineChars="200"/>
        <w:outlineLvl w:val="1"/>
        <w:rPr>
          <w:rFonts w:ascii="仿宋" w:hAnsi="仿宋" w:eastAsia="仿宋" w:cs="仿宋"/>
          <w:b/>
          <w:bCs/>
          <w:snapToGrid w:val="0"/>
          <w:kern w:val="0"/>
          <w:sz w:val="32"/>
          <w:szCs w:val="32"/>
        </w:rPr>
      </w:pPr>
      <w:r>
        <w:rPr>
          <w:rFonts w:hint="eastAsia" w:ascii="仿宋" w:hAnsi="仿宋" w:eastAsia="仿宋" w:cs="仿宋"/>
          <w:b/>
          <w:bCs/>
          <w:snapToGrid w:val="0"/>
          <w:kern w:val="0"/>
          <w:sz w:val="32"/>
          <w:szCs w:val="32"/>
        </w:rPr>
        <w:t>（二）分项绩效目标实现情况及指标分析</w:t>
      </w:r>
    </w:p>
    <w:p>
      <w:pPr>
        <w:adjustRightInd w:val="0"/>
        <w:snapToGrid w:val="0"/>
        <w:spacing w:line="560" w:lineRule="exact"/>
        <w:ind w:firstLine="643" w:firstLineChars="200"/>
        <w:rPr>
          <w:rFonts w:ascii="仿宋" w:hAnsi="仿宋" w:eastAsia="仿宋" w:cs="仿宋"/>
          <w:snapToGrid w:val="0"/>
          <w:kern w:val="0"/>
          <w:sz w:val="32"/>
          <w:szCs w:val="32"/>
        </w:rPr>
      </w:pPr>
      <w:r>
        <w:rPr>
          <w:rFonts w:hint="eastAsia" w:ascii="仿宋" w:hAnsi="仿宋" w:eastAsia="仿宋" w:cs="仿宋"/>
          <w:b/>
          <w:bCs/>
          <w:snapToGrid w:val="0"/>
          <w:kern w:val="0"/>
          <w:sz w:val="32"/>
          <w:szCs w:val="32"/>
        </w:rPr>
        <w:t>从完成数量看，</w:t>
      </w:r>
      <w:r>
        <w:rPr>
          <w:rFonts w:hint="eastAsia" w:ascii="仿宋" w:hAnsi="仿宋" w:eastAsia="仿宋" w:cs="仿宋"/>
          <w:snapToGrid w:val="0"/>
          <w:kern w:val="0"/>
          <w:sz w:val="32"/>
          <w:szCs w:val="32"/>
        </w:rPr>
        <w:t>今年以来，我单位承接代建项目31个，新建或改建面积约48.4万平方米，总投资约30.6亿元。其中，市一中音体美楼、市委机关食堂改造等7个项目已完工，市重大疫情救治基地、石家庄学院实训基地等11个项目正在按计划加快建设，省重症肌无力医院建设、市第一养老院、市口腔医院改造等13个项目正在跑办前期手续。2020年未完工项目按计划继续建设完成，工程按期完工率100%。</w:t>
      </w:r>
      <w:r>
        <w:rPr>
          <w:rFonts w:hint="eastAsia" w:ascii="仿宋" w:hAnsi="仿宋" w:eastAsia="仿宋" w:cs="仿宋"/>
          <w:snapToGrid w:val="0"/>
          <w:kern w:val="0"/>
          <w:sz w:val="32"/>
          <w:szCs w:val="32"/>
          <w:lang w:bidi="ar"/>
        </w:rPr>
        <w:t>2021年新代建项目如期开工，同时，现场检查考核并对检查出具考核报告10余次。</w:t>
      </w:r>
      <w:r>
        <w:rPr>
          <w:rFonts w:hint="eastAsia" w:ascii="仿宋" w:hAnsi="仿宋" w:eastAsia="仿宋" w:cs="仿宋"/>
          <w:b/>
          <w:bCs/>
          <w:snapToGrid w:val="0"/>
          <w:kern w:val="0"/>
          <w:sz w:val="32"/>
          <w:szCs w:val="32"/>
        </w:rPr>
        <w:t>从完成质量看，</w:t>
      </w:r>
      <w:r>
        <w:rPr>
          <w:rFonts w:hint="eastAsia" w:ascii="仿宋" w:hAnsi="仿宋" w:eastAsia="仿宋" w:cs="仿宋"/>
          <w:snapToGrid w:val="0"/>
          <w:kern w:val="0"/>
          <w:sz w:val="32"/>
          <w:szCs w:val="32"/>
        </w:rPr>
        <w:t>全年代建项目通过验收的工程量占建设总量的90%以上，且各项目</w:t>
      </w:r>
      <w:r>
        <w:rPr>
          <w:rFonts w:hint="eastAsia" w:ascii="仿宋" w:hAnsi="仿宋" w:eastAsia="仿宋" w:cs="仿宋"/>
          <w:snapToGrid w:val="0"/>
          <w:kern w:val="0"/>
          <w:sz w:val="32"/>
          <w:szCs w:val="32"/>
          <w:lang w:bidi="ar"/>
        </w:rPr>
        <w:t>均符合河北省建筑质量验收规范确定的标准，项目现场考核覆盖率达90%，人员安全、工程质量得到较好保障，切实有效做到了“质量第一、安全至上”。此外，</w:t>
      </w:r>
      <w:r>
        <w:rPr>
          <w:rFonts w:hint="eastAsia" w:ascii="仿宋" w:hAnsi="仿宋" w:eastAsia="仿宋" w:cs="仿宋"/>
          <w:snapToGrid w:val="0"/>
          <w:kern w:val="0"/>
          <w:sz w:val="32"/>
          <w:szCs w:val="32"/>
        </w:rPr>
        <w:t>我单位代建项目荣获国家级奖项3项，省级奖项3项。3月份，市委、市政府就市委党校迁建项目荣获“鲁班奖”对我单位进行了通报表扬</w:t>
      </w:r>
      <w:r>
        <w:rPr>
          <w:rFonts w:hint="eastAsia" w:ascii="仿宋" w:hAnsi="仿宋" w:eastAsia="仿宋" w:cs="仿宋"/>
          <w:snapToGrid w:val="0"/>
          <w:kern w:val="0"/>
          <w:sz w:val="32"/>
          <w:szCs w:val="32"/>
          <w:lang w:bidi="ar"/>
        </w:rPr>
        <w:t>。</w:t>
      </w:r>
      <w:r>
        <w:rPr>
          <w:rFonts w:hint="eastAsia" w:ascii="仿宋" w:hAnsi="仿宋" w:eastAsia="仿宋" w:cs="仿宋"/>
          <w:b/>
          <w:bCs/>
          <w:snapToGrid w:val="0"/>
          <w:kern w:val="0"/>
          <w:sz w:val="32"/>
          <w:szCs w:val="32"/>
        </w:rPr>
        <w:t>从完成时效看，</w:t>
      </w:r>
      <w:r>
        <w:rPr>
          <w:rFonts w:hint="eastAsia" w:ascii="仿宋" w:hAnsi="仿宋" w:eastAsia="仿宋" w:cs="仿宋"/>
          <w:snapToGrid w:val="0"/>
          <w:kern w:val="0"/>
          <w:sz w:val="32"/>
          <w:szCs w:val="32"/>
        </w:rPr>
        <w:t>2020年未完工项目与</w:t>
      </w:r>
      <w:r>
        <w:rPr>
          <w:rFonts w:hint="eastAsia" w:ascii="仿宋" w:hAnsi="仿宋" w:eastAsia="仿宋" w:cs="仿宋"/>
          <w:snapToGrid w:val="0"/>
          <w:kern w:val="0"/>
          <w:sz w:val="32"/>
          <w:szCs w:val="32"/>
          <w:lang w:bidi="ar"/>
        </w:rPr>
        <w:t>新代建项目按期开工率达到100%，尤其是在常态化疫情防控大环境下，统筹疫情防控和项目建设，确保项目材料供应，保证了项目建设进度。</w:t>
      </w:r>
      <w:r>
        <w:rPr>
          <w:rFonts w:hint="eastAsia" w:ascii="仿宋" w:hAnsi="仿宋" w:eastAsia="仿宋" w:cs="仿宋"/>
          <w:snapToGrid w:val="0"/>
          <w:kern w:val="0"/>
          <w:sz w:val="32"/>
          <w:szCs w:val="32"/>
        </w:rPr>
        <w:t>特别是市委食堂改造项目开工建设以来，中心领导带队，项目部人员主动放弃休假，现场成立党员突击队，组织技术人员和参建单位反复论证、修改完善设计图纸，现场协调解决问题，努力克服场地受限、雨季施工等种种困难，用时45天，高标准完成4000余平米改造任务，项目建设得到市委主要领导的高度认可；</w:t>
      </w:r>
      <w:r>
        <w:rPr>
          <w:rFonts w:hint="eastAsia" w:ascii="仿宋" w:hAnsi="仿宋" w:eastAsia="仿宋" w:cs="仿宋"/>
          <w:b/>
          <w:bCs/>
          <w:snapToGrid w:val="0"/>
          <w:kern w:val="0"/>
          <w:sz w:val="32"/>
          <w:szCs w:val="32"/>
        </w:rPr>
        <w:t>从成本效益看，</w:t>
      </w:r>
      <w:r>
        <w:rPr>
          <w:rFonts w:hint="eastAsia" w:ascii="仿宋" w:hAnsi="仿宋" w:eastAsia="仿宋" w:cs="仿宋"/>
          <w:snapToGrid w:val="0"/>
          <w:kern w:val="0"/>
          <w:sz w:val="32"/>
          <w:szCs w:val="32"/>
        </w:rPr>
        <w:t>本年度工程建设中，未</w:t>
      </w:r>
      <w:r>
        <w:rPr>
          <w:rFonts w:hint="eastAsia" w:ascii="仿宋" w:hAnsi="仿宋" w:eastAsia="仿宋" w:cs="仿宋"/>
          <w:snapToGrid w:val="0"/>
          <w:kern w:val="0"/>
          <w:sz w:val="32"/>
          <w:szCs w:val="32"/>
          <w:lang w:bidi="ar"/>
        </w:rPr>
        <w:t>发生较大及以上安全事故率，严格落实《石家庄市严管建筑施工扬尘十二条》规定达到“六个百分百、两个全覆盖”，实现代建项目工地环保合格率100%。</w:t>
      </w:r>
    </w:p>
    <w:p>
      <w:pPr>
        <w:pStyle w:val="17"/>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分项绩效目标实现情况见表4。</w:t>
      </w:r>
    </w:p>
    <w:p>
      <w:pPr>
        <w:pStyle w:val="17"/>
        <w:adjustRightInd w:val="0"/>
        <w:snapToGrid w:val="0"/>
        <w:spacing w:line="560" w:lineRule="exact"/>
        <w:jc w:val="center"/>
        <w:rPr>
          <w:rFonts w:ascii="黑体" w:hAnsi="黑体" w:eastAsia="黑体" w:cs="黑体"/>
          <w:snapToGrid w:val="0"/>
          <w:kern w:val="0"/>
          <w:sz w:val="28"/>
          <w:szCs w:val="28"/>
        </w:rPr>
        <w:sectPr>
          <w:pgSz w:w="11906" w:h="16838"/>
          <w:pgMar w:top="1440" w:right="1474" w:bottom="1440" w:left="1587" w:header="851" w:footer="992" w:gutter="0"/>
          <w:pgNumType w:fmt="numberInDash"/>
          <w:cols w:space="0" w:num="1"/>
          <w:docGrid w:type="lines" w:linePitch="312" w:charSpace="0"/>
        </w:sectPr>
      </w:pPr>
    </w:p>
    <w:p>
      <w:pPr>
        <w:pStyle w:val="17"/>
        <w:adjustRightInd w:val="0"/>
        <w:snapToGrid w:val="0"/>
        <w:spacing w:line="560" w:lineRule="exact"/>
        <w:jc w:val="center"/>
        <w:rPr>
          <w:rFonts w:ascii="黑体" w:hAnsi="黑体" w:eastAsia="黑体" w:cs="黑体"/>
          <w:snapToGrid w:val="0"/>
          <w:kern w:val="0"/>
          <w:sz w:val="28"/>
          <w:szCs w:val="28"/>
        </w:rPr>
      </w:pPr>
      <w:r>
        <w:rPr>
          <w:rFonts w:hint="eastAsia" w:ascii="黑体" w:hAnsi="黑体" w:eastAsia="黑体" w:cs="黑体"/>
          <w:snapToGrid w:val="0"/>
          <w:kern w:val="0"/>
          <w:sz w:val="28"/>
          <w:szCs w:val="28"/>
        </w:rPr>
        <w:t>表4：分项绩效目标实现情况</w:t>
      </w:r>
    </w:p>
    <w:tbl>
      <w:tblPr>
        <w:tblStyle w:val="13"/>
        <w:tblW w:w="9056" w:type="dxa"/>
        <w:jc w:val="center"/>
        <w:tblInd w:w="0" w:type="dxa"/>
        <w:tblLayout w:type="fixed"/>
        <w:tblCellMar>
          <w:top w:w="0" w:type="dxa"/>
          <w:left w:w="108" w:type="dxa"/>
          <w:bottom w:w="0" w:type="dxa"/>
          <w:right w:w="108" w:type="dxa"/>
        </w:tblCellMar>
      </w:tblPr>
      <w:tblGrid>
        <w:gridCol w:w="820"/>
        <w:gridCol w:w="2972"/>
        <w:gridCol w:w="4244"/>
        <w:gridCol w:w="1020"/>
      </w:tblGrid>
      <w:tr>
        <w:tblPrEx>
          <w:tblLayout w:type="fixed"/>
          <w:tblCellMar>
            <w:top w:w="0" w:type="dxa"/>
            <w:left w:w="108" w:type="dxa"/>
            <w:bottom w:w="0" w:type="dxa"/>
            <w:right w:w="108" w:type="dxa"/>
          </w:tblCellMar>
        </w:tblPrEx>
        <w:trPr>
          <w:trHeight w:val="510" w:hRule="atLeast"/>
          <w:tblHeader/>
          <w:jc w:val="center"/>
        </w:trPr>
        <w:tc>
          <w:tcPr>
            <w:tcW w:w="8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序  号</w:t>
            </w:r>
          </w:p>
        </w:tc>
        <w:tc>
          <w:tcPr>
            <w:tcW w:w="29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分项绩效目标</w:t>
            </w:r>
          </w:p>
        </w:tc>
        <w:tc>
          <w:tcPr>
            <w:tcW w:w="42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分项绩效目标完成情况</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是否完成</w:t>
            </w:r>
          </w:p>
        </w:tc>
      </w:tr>
      <w:tr>
        <w:tblPrEx>
          <w:tblLayout w:type="fixed"/>
          <w:tblCellMar>
            <w:top w:w="0" w:type="dxa"/>
            <w:left w:w="108" w:type="dxa"/>
            <w:bottom w:w="0" w:type="dxa"/>
            <w:right w:w="108" w:type="dxa"/>
          </w:tblCellMar>
        </w:tblPrEx>
        <w:trPr>
          <w:trHeight w:val="3080" w:hRule="atLeast"/>
          <w:jc w:val="center"/>
        </w:trPr>
        <w:tc>
          <w:tcPr>
            <w:tcW w:w="8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一</w:t>
            </w:r>
          </w:p>
        </w:tc>
        <w:tc>
          <w:tcPr>
            <w:tcW w:w="2972"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以市委、市政府确定的重点民生项目为核心，集中精力抓好代建项目推进绩效目标：继续推进完成2020年未完工的项目，确保代建项目如期竣工验收，如石家庄市二中三期项目，项目如期完工；启动2021年新代建项目，保证新代建项目如期开工，如石家庄市消防支队项目、石家庄市第一中学新建教学楼项目。</w:t>
            </w:r>
            <w:r>
              <w:rPr>
                <w:rFonts w:hint="eastAsia" w:ascii="宋体" w:hAnsi="宋体" w:cs="宋体"/>
                <w:snapToGrid w:val="0"/>
                <w:color w:val="000000"/>
                <w:kern w:val="0"/>
                <w:sz w:val="20"/>
                <w:szCs w:val="20"/>
                <w:lang w:bidi="ar"/>
              </w:rPr>
              <w:br w:type="textWrapping"/>
            </w:r>
            <w:r>
              <w:rPr>
                <w:rFonts w:hint="eastAsia" w:ascii="宋体" w:hAnsi="宋体" w:cs="宋体"/>
                <w:snapToGrid w:val="0"/>
                <w:color w:val="000000"/>
                <w:kern w:val="0"/>
                <w:sz w:val="20"/>
                <w:szCs w:val="20"/>
                <w:lang w:bidi="ar"/>
              </w:rPr>
              <w:t>绩效指标：工程按期完成率100%；通过验收的工程量占验收建设总量90%；新代建项目按期开工率100%。</w:t>
            </w:r>
          </w:p>
        </w:tc>
        <w:tc>
          <w:tcPr>
            <w:tcW w:w="42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left"/>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以市委、市政府确定的重点民生项目为核心，</w:t>
            </w:r>
            <w:r>
              <w:rPr>
                <w:rFonts w:hint="eastAsia" w:ascii="宋体" w:hAnsi="宋体" w:cs="宋体"/>
                <w:snapToGrid w:val="0"/>
                <w:color w:val="000000"/>
                <w:kern w:val="0"/>
                <w:sz w:val="20"/>
                <w:szCs w:val="20"/>
              </w:rPr>
              <w:t>我单位全面梳理代建项目清单，明确目标任务，夯实主体责任，实行主要负责人、分管领导、工程科室、项目负责人四级项目协调机制，一级带着一级干，强化责任落实，建立任务清单，在中心各级干部的努力下，</w:t>
            </w:r>
            <w:r>
              <w:rPr>
                <w:rFonts w:hint="eastAsia" w:ascii="宋体" w:hAnsi="宋体" w:cs="宋体"/>
                <w:b/>
                <w:bCs/>
                <w:snapToGrid w:val="0"/>
                <w:color w:val="000000"/>
                <w:kern w:val="0"/>
                <w:sz w:val="20"/>
                <w:szCs w:val="20"/>
              </w:rPr>
              <w:t>第一，</w:t>
            </w:r>
            <w:r>
              <w:rPr>
                <w:rFonts w:hint="eastAsia" w:ascii="宋体" w:hAnsi="宋体" w:cs="宋体"/>
                <w:snapToGrid w:val="0"/>
                <w:color w:val="000000"/>
                <w:kern w:val="0"/>
                <w:sz w:val="20"/>
                <w:szCs w:val="20"/>
              </w:rPr>
              <w:t>2020年未完工项目，按计划继续建设完成，例如石家庄市二中三期项目、石家庄市委机关食堂改造项目等项目已如期完工，工程按期完工率100%，通过验收的工程量占建设总量的90%以上；</w:t>
            </w:r>
            <w:r>
              <w:rPr>
                <w:rFonts w:hint="eastAsia" w:ascii="宋体" w:hAnsi="宋体" w:cs="宋体"/>
                <w:b/>
                <w:bCs/>
                <w:snapToGrid w:val="0"/>
                <w:color w:val="000000"/>
                <w:kern w:val="0"/>
                <w:sz w:val="20"/>
                <w:szCs w:val="20"/>
              </w:rPr>
              <w:t>第二，</w:t>
            </w:r>
            <w:r>
              <w:rPr>
                <w:rFonts w:hint="eastAsia" w:ascii="宋体" w:hAnsi="宋体" w:cs="宋体"/>
                <w:snapToGrid w:val="0"/>
                <w:color w:val="000000"/>
                <w:kern w:val="0"/>
                <w:sz w:val="20"/>
                <w:szCs w:val="20"/>
              </w:rPr>
              <w:t>按工作计划安排，</w:t>
            </w:r>
            <w:r>
              <w:rPr>
                <w:rFonts w:hint="eastAsia" w:ascii="宋体" w:hAnsi="宋体" w:cs="宋体"/>
                <w:snapToGrid w:val="0"/>
                <w:color w:val="000000"/>
                <w:kern w:val="0"/>
                <w:sz w:val="20"/>
                <w:szCs w:val="20"/>
                <w:lang w:bidi="ar"/>
              </w:rPr>
              <w:t>启动了2021年新代建项目，新代建项目如期开工，如石家庄市消防支队项目、石家庄市第一中学新建教学楼项目，新代建项目按期开工率达到100%。在建立了有效的工作机制之下，真正做到有目标、有措施、有落实，保证了项目建设的进度，实现了代建项目稳步推进的效果。</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完成</w:t>
            </w:r>
          </w:p>
        </w:tc>
      </w:tr>
      <w:tr>
        <w:tblPrEx>
          <w:tblLayout w:type="fixed"/>
          <w:tblCellMar>
            <w:top w:w="0" w:type="dxa"/>
            <w:left w:w="108" w:type="dxa"/>
            <w:bottom w:w="0" w:type="dxa"/>
            <w:right w:w="108" w:type="dxa"/>
          </w:tblCellMar>
        </w:tblPrEx>
        <w:trPr>
          <w:trHeight w:val="3005" w:hRule="atLeast"/>
          <w:jc w:val="center"/>
        </w:trPr>
        <w:tc>
          <w:tcPr>
            <w:tcW w:w="8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二</w:t>
            </w:r>
          </w:p>
        </w:tc>
        <w:tc>
          <w:tcPr>
            <w:tcW w:w="2972"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按照市委、市政府统一安排部署，不断提高代建项目质量、安全及文明施工水平绩效目标：促进代建项目质量、安全及文明施工水平提高，保障施工质量安全及扬尘治理水平规范现场管理。</w:t>
            </w:r>
            <w:r>
              <w:rPr>
                <w:rFonts w:hint="eastAsia" w:ascii="宋体" w:hAnsi="宋体" w:cs="宋体"/>
                <w:snapToGrid w:val="0"/>
                <w:color w:val="000000"/>
                <w:kern w:val="0"/>
                <w:sz w:val="20"/>
                <w:szCs w:val="20"/>
                <w:lang w:bidi="ar"/>
              </w:rPr>
              <w:br w:type="textWrapping"/>
            </w:r>
            <w:r>
              <w:rPr>
                <w:rFonts w:hint="eastAsia" w:ascii="宋体" w:hAnsi="宋体" w:cs="宋体"/>
                <w:snapToGrid w:val="0"/>
                <w:color w:val="000000"/>
                <w:kern w:val="0"/>
                <w:sz w:val="20"/>
                <w:szCs w:val="20"/>
                <w:lang w:bidi="ar"/>
              </w:rPr>
              <w:t>绩效指标：项目现场考核覆盖率大于或等于90%；进行现场检查考核并对检查出具考核报告大于或等于10次；检查考核完成后应在三天内出具考核报告。</w:t>
            </w:r>
          </w:p>
        </w:tc>
        <w:tc>
          <w:tcPr>
            <w:tcW w:w="42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left"/>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按照市委、市政府统一安排部署，我单位牢固树立“质量第一、安全至上”意识，强化安全质量管控。扎实开展安全生产大排查大整治集中攻坚行动，通过工程科自查、联合检查等方式，定期对工地管理、质量安全进行“地毯式”问题隐患排查整改，坚决保障项目质量安全。积极推行绿色文明施工，认真落实抑尘降噪各项管控措施，有效实现了项目现场考核覆盖90%以上，进行现场检查考核并对检查出具考核报告10余次，检查考核完成后能够在三天内出具考核报告，切实做到精准安全质量管控，强化用能保障。</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完成</w:t>
            </w:r>
          </w:p>
        </w:tc>
      </w:tr>
      <w:tr>
        <w:tblPrEx>
          <w:tblLayout w:type="fixed"/>
          <w:tblCellMar>
            <w:top w:w="0" w:type="dxa"/>
            <w:left w:w="108" w:type="dxa"/>
            <w:bottom w:w="0" w:type="dxa"/>
            <w:right w:w="108" w:type="dxa"/>
          </w:tblCellMar>
        </w:tblPrEx>
        <w:trPr>
          <w:trHeight w:val="283" w:hRule="atLeast"/>
          <w:jc w:val="center"/>
        </w:trPr>
        <w:tc>
          <w:tcPr>
            <w:tcW w:w="8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三</w:t>
            </w:r>
          </w:p>
        </w:tc>
        <w:tc>
          <w:tcPr>
            <w:tcW w:w="2972"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以建精品、创品牌、树标杆为目标，不断提升项目管理水平，展示良好的政府投资项目形象绩效目标：外抓管理、内强素质，严把工程质量关、参建单位管理关、现场文明施工关，促进代建项目质量、安全及文明施工水平提高；保障施工质量安全及扬尘治理水平规范现场管理，努力将每一项代建工程打造成为质量标杆工程、扬尘治理标杆工地，展示良好的政府投资项目形象。</w:t>
            </w:r>
            <w:r>
              <w:rPr>
                <w:rFonts w:hint="eastAsia" w:ascii="宋体" w:hAnsi="宋体" w:cs="宋体"/>
                <w:snapToGrid w:val="0"/>
                <w:color w:val="000000"/>
                <w:kern w:val="0"/>
                <w:sz w:val="20"/>
                <w:szCs w:val="20"/>
                <w:lang w:bidi="ar"/>
              </w:rPr>
              <w:br w:type="textWrapping"/>
            </w:r>
            <w:r>
              <w:rPr>
                <w:rFonts w:hint="eastAsia" w:ascii="宋体" w:hAnsi="宋体" w:cs="宋体"/>
                <w:snapToGrid w:val="0"/>
                <w:color w:val="000000"/>
                <w:kern w:val="0"/>
                <w:sz w:val="20"/>
                <w:szCs w:val="20"/>
                <w:lang w:bidi="ar"/>
              </w:rPr>
              <w:t>绩效指标：通过验收的单位工程均符合河北省建筑质量验收规范确定的标准；发生较大及以上安全事故率为零；严格按照《石家庄市严管建筑施工扬尘十二条》规定达到“六个百分百、两个全覆盖”，代建项目工地环保合格率100%。</w:t>
            </w:r>
          </w:p>
        </w:tc>
        <w:tc>
          <w:tcPr>
            <w:tcW w:w="42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left"/>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以建精品、创品牌、树标杆为目标，在中心上下形成建项目、促发展的浓厚氛围，密织管理体系，对实施代建项目的施工和监理活动进行考核，并将考核结果作为施工单位及项目经理、监理单位及总监评价、合同履约及信用评价的依据，加强专项监督检查，持续跟踪问效，推动项目建设落地，严把工程质量关、参建单位管理关、现场文明施工关，实现项目工程的达到河北省建筑质量验收规范确定的标准，未发生较大及以上的安全事故。同时，严格做到“六个百分之百”“两个全覆盖”，保障施工质量安全及扬尘治理水平规范现场管理，有效减少了周边居民生活影响，代建项目工地环保合格率100%，提升了项目质量水平，努力打造精品典范工程，展示良好的政府投资项目目标。</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完成</w:t>
            </w:r>
          </w:p>
        </w:tc>
      </w:tr>
    </w:tbl>
    <w:p>
      <w:pPr>
        <w:adjustRightInd w:val="0"/>
        <w:snapToGrid w:val="0"/>
        <w:spacing w:line="560" w:lineRule="exact"/>
        <w:ind w:firstLine="640" w:firstLineChars="200"/>
        <w:outlineLvl w:val="0"/>
        <w:rPr>
          <w:rFonts w:ascii="黑体" w:hAnsi="黑体" w:eastAsia="黑体"/>
          <w:snapToGrid w:val="0"/>
          <w:kern w:val="0"/>
          <w:sz w:val="32"/>
          <w:szCs w:val="32"/>
        </w:rPr>
      </w:pPr>
      <w:r>
        <w:rPr>
          <w:rFonts w:hint="eastAsia" w:ascii="黑体" w:hAnsi="黑体" w:eastAsia="黑体"/>
          <w:snapToGrid w:val="0"/>
          <w:kern w:val="0"/>
          <w:sz w:val="32"/>
          <w:szCs w:val="32"/>
        </w:rPr>
        <w:t>四、评价结论和评价等级</w:t>
      </w:r>
    </w:p>
    <w:p>
      <w:pPr>
        <w:adjustRightInd w:val="0"/>
        <w:snapToGrid w:val="0"/>
        <w:spacing w:line="560" w:lineRule="exact"/>
        <w:ind w:firstLine="640" w:firstLineChars="200"/>
        <w:rPr>
          <w:rFonts w:ascii="仿宋" w:hAnsi="仿宋" w:eastAsia="仿宋"/>
          <w:snapToGrid w:val="0"/>
          <w:kern w:val="0"/>
          <w:sz w:val="32"/>
          <w:szCs w:val="32"/>
        </w:rPr>
      </w:pPr>
      <w:r>
        <w:rPr>
          <w:rFonts w:hint="eastAsia" w:ascii="仿宋" w:hAnsi="仿宋" w:eastAsia="仿宋"/>
          <w:snapToGrid w:val="0"/>
          <w:kern w:val="0"/>
          <w:sz w:val="32"/>
          <w:szCs w:val="32"/>
        </w:rPr>
        <w:t>2021我单位财政批复预算资金60522.51万元，截至2021年12月31日实际支出</w:t>
      </w:r>
      <w:r>
        <w:rPr>
          <w:rFonts w:hint="eastAsia" w:ascii="仿宋" w:hAnsi="仿宋" w:eastAsia="仿宋"/>
          <w:iCs/>
          <w:snapToGrid w:val="0"/>
          <w:kern w:val="0"/>
          <w:sz w:val="32"/>
          <w:szCs w:val="32"/>
        </w:rPr>
        <w:t>59236.31</w:t>
      </w:r>
      <w:r>
        <w:rPr>
          <w:rFonts w:hint="eastAsia" w:ascii="仿宋" w:hAnsi="仿宋" w:eastAsia="仿宋"/>
          <w:snapToGrid w:val="0"/>
          <w:kern w:val="0"/>
          <w:sz w:val="32"/>
          <w:szCs w:val="32"/>
        </w:rPr>
        <w:t>万元，预算执行率97.87%，结余资金主要是</w:t>
      </w:r>
      <w:r>
        <w:rPr>
          <w:rFonts w:hint="eastAsia" w:ascii="仿宋" w:hAnsi="仿宋" w:eastAsia="仿宋"/>
          <w:iCs/>
          <w:snapToGrid w:val="0"/>
          <w:kern w:val="0"/>
          <w:sz w:val="32"/>
          <w:szCs w:val="32"/>
        </w:rPr>
        <w:t>应发个人补贴和石家庄市第二中学整体改造三期工程退配套费。我单位</w:t>
      </w:r>
      <w:r>
        <w:rPr>
          <w:rFonts w:hint="eastAsia" w:ascii="仿宋" w:hAnsi="仿宋" w:eastAsia="仿宋"/>
          <w:snapToGrid w:val="0"/>
          <w:kern w:val="0"/>
          <w:sz w:val="32"/>
          <w:szCs w:val="32"/>
        </w:rPr>
        <w:t>较好地完成了年度目标任务，</w:t>
      </w:r>
      <w:r>
        <w:rPr>
          <w:rFonts w:hint="eastAsia" w:ascii="仿宋" w:hAnsi="仿宋" w:eastAsia="仿宋"/>
          <w:snapToGrid w:val="0"/>
          <w:kern w:val="0"/>
          <w:sz w:val="32"/>
          <w:szCs w:val="32"/>
          <w:lang w:bidi="ar"/>
        </w:rPr>
        <w:t>按照市委、市政府统一安排部署，集中推进了代建项目建设，加强了内部制度建设，提升了项目管理水平，展示了良好的政府投资项目形象，并在</w:t>
      </w:r>
      <w:r>
        <w:rPr>
          <w:rFonts w:hint="eastAsia" w:ascii="仿宋" w:hAnsi="仿宋" w:eastAsia="仿宋" w:cs="仿宋"/>
          <w:snapToGrid w:val="0"/>
          <w:kern w:val="0"/>
          <w:sz w:val="32"/>
          <w:szCs w:val="32"/>
        </w:rPr>
        <w:t>打赢全市疫情阻击战作出了积极贡献。</w:t>
      </w:r>
      <w:r>
        <w:rPr>
          <w:rFonts w:hint="eastAsia" w:ascii="仿宋" w:hAnsi="仿宋" w:eastAsia="仿宋"/>
          <w:snapToGrid w:val="0"/>
          <w:kern w:val="0"/>
          <w:sz w:val="32"/>
          <w:szCs w:val="32"/>
        </w:rPr>
        <w:t>但也存在绩效目标设置不够量化、佐证材料准备不充分等问题。</w:t>
      </w:r>
    </w:p>
    <w:p>
      <w:pPr>
        <w:adjustRightInd w:val="0"/>
        <w:snapToGrid w:val="0"/>
        <w:spacing w:line="560" w:lineRule="exact"/>
        <w:ind w:firstLine="640" w:firstLineChars="200"/>
        <w:rPr>
          <w:rFonts w:ascii="仿宋" w:hAnsi="仿宋" w:eastAsia="仿宋"/>
          <w:snapToGrid w:val="0"/>
          <w:kern w:val="0"/>
          <w:sz w:val="32"/>
          <w:szCs w:val="32"/>
        </w:rPr>
      </w:pPr>
      <w:r>
        <w:rPr>
          <w:rFonts w:hint="eastAsia" w:ascii="仿宋" w:hAnsi="仿宋" w:eastAsia="仿宋"/>
          <w:snapToGrid w:val="0"/>
          <w:kern w:val="0"/>
          <w:sz w:val="32"/>
          <w:szCs w:val="32"/>
        </w:rPr>
        <w:t>经评价，我单位2021年度部门整体支出绩效评价综合得分为88分，综合绩效评价等级为“优秀”。</w:t>
      </w:r>
    </w:p>
    <w:p>
      <w:pPr>
        <w:adjustRightInd w:val="0"/>
        <w:snapToGrid w:val="0"/>
        <w:spacing w:line="560" w:lineRule="exact"/>
        <w:ind w:firstLine="640" w:firstLineChars="200"/>
        <w:outlineLvl w:val="0"/>
        <w:rPr>
          <w:rFonts w:ascii="黑体" w:hAnsi="黑体" w:eastAsia="黑体"/>
          <w:snapToGrid w:val="0"/>
          <w:kern w:val="0"/>
          <w:sz w:val="32"/>
          <w:szCs w:val="32"/>
        </w:rPr>
      </w:pPr>
      <w:r>
        <w:rPr>
          <w:rFonts w:hint="eastAsia" w:ascii="黑体" w:hAnsi="黑体" w:eastAsia="黑体"/>
          <w:snapToGrid w:val="0"/>
          <w:kern w:val="0"/>
          <w:sz w:val="32"/>
          <w:szCs w:val="32"/>
        </w:rPr>
        <w:t>五、存在的问题及改进措施</w:t>
      </w:r>
    </w:p>
    <w:p>
      <w:pPr>
        <w:adjustRightInd w:val="0"/>
        <w:snapToGrid w:val="0"/>
        <w:spacing w:line="560" w:lineRule="exact"/>
        <w:ind w:firstLine="643" w:firstLineChars="200"/>
        <w:outlineLvl w:val="1"/>
        <w:rPr>
          <w:rFonts w:ascii="仿宋" w:hAnsi="仿宋" w:eastAsia="仿宋"/>
          <w:b/>
          <w:bCs/>
          <w:snapToGrid w:val="0"/>
          <w:kern w:val="0"/>
          <w:sz w:val="32"/>
          <w:szCs w:val="32"/>
        </w:rPr>
      </w:pPr>
      <w:r>
        <w:rPr>
          <w:rFonts w:hint="eastAsia" w:ascii="仿宋" w:hAnsi="仿宋" w:eastAsia="仿宋"/>
          <w:b/>
          <w:bCs/>
          <w:snapToGrid w:val="0"/>
          <w:kern w:val="0"/>
          <w:sz w:val="32"/>
          <w:szCs w:val="32"/>
        </w:rPr>
        <w:t>（一）存在的主要问题</w:t>
      </w:r>
    </w:p>
    <w:p>
      <w:pPr>
        <w:pStyle w:val="17"/>
        <w:adjustRightInd w:val="0"/>
        <w:snapToGrid w:val="0"/>
        <w:spacing w:line="560" w:lineRule="exact"/>
        <w:ind w:firstLine="640" w:firstLineChars="200"/>
        <w:outlineLvl w:val="2"/>
        <w:rPr>
          <w:rFonts w:ascii="仿宋" w:hAnsi="仿宋" w:eastAsia="仿宋" w:cs="黑体"/>
          <w:snapToGrid w:val="0"/>
          <w:kern w:val="0"/>
          <w:sz w:val="32"/>
          <w:szCs w:val="32"/>
        </w:rPr>
      </w:pPr>
      <w:r>
        <w:rPr>
          <w:rFonts w:hint="eastAsia" w:ascii="仿宋" w:hAnsi="仿宋" w:eastAsia="仿宋" w:cs="黑体"/>
          <w:snapToGrid w:val="0"/>
          <w:kern w:val="0"/>
          <w:sz w:val="32"/>
          <w:szCs w:val="32"/>
        </w:rPr>
        <w:t>1.绩效目标设置不够量化</w:t>
      </w:r>
    </w:p>
    <w:p>
      <w:pPr>
        <w:adjustRightInd w:val="0"/>
        <w:snapToGrid w:val="0"/>
        <w:spacing w:line="560" w:lineRule="exact"/>
        <w:ind w:firstLine="640" w:firstLineChars="200"/>
        <w:rPr>
          <w:rFonts w:ascii="仿宋" w:hAnsi="仿宋" w:eastAsia="仿宋"/>
          <w:snapToGrid w:val="0"/>
          <w:kern w:val="0"/>
          <w:sz w:val="32"/>
          <w:szCs w:val="32"/>
        </w:rPr>
      </w:pPr>
      <w:r>
        <w:rPr>
          <w:rFonts w:hint="eastAsia" w:ascii="仿宋" w:hAnsi="仿宋" w:eastAsia="仿宋"/>
          <w:snapToGrid w:val="0"/>
          <w:kern w:val="0"/>
          <w:sz w:val="32"/>
          <w:szCs w:val="32"/>
        </w:rPr>
        <w:t>总体绩效目标中缺少对上一年度未完工项目数量、下一年度新代建项目数量的统计，各个项目的工程进度的总计分析不充足，不便于在设置总体绩效目标时确定下一年度的重点工作任务、明确核心产出和效益、提炼关键指标，更高质量地设置并完成总体绩效目标。</w:t>
      </w:r>
    </w:p>
    <w:p>
      <w:pPr>
        <w:adjustRightInd w:val="0"/>
        <w:snapToGrid w:val="0"/>
        <w:spacing w:line="560" w:lineRule="exact"/>
        <w:ind w:firstLine="640" w:firstLineChars="200"/>
        <w:outlineLvl w:val="2"/>
        <w:rPr>
          <w:rFonts w:ascii="仿宋" w:hAnsi="仿宋" w:eastAsia="仿宋"/>
          <w:snapToGrid w:val="0"/>
          <w:kern w:val="0"/>
          <w:sz w:val="32"/>
          <w:szCs w:val="32"/>
        </w:rPr>
      </w:pPr>
      <w:r>
        <w:rPr>
          <w:rFonts w:hint="eastAsia" w:ascii="仿宋" w:hAnsi="仿宋" w:eastAsia="仿宋"/>
          <w:snapToGrid w:val="0"/>
          <w:kern w:val="0"/>
          <w:sz w:val="32"/>
          <w:szCs w:val="32"/>
        </w:rPr>
        <w:t>2.</w:t>
      </w:r>
      <w:bookmarkStart w:id="4" w:name="_Toc16031"/>
      <w:bookmarkStart w:id="5" w:name="_Toc15101"/>
      <w:bookmarkStart w:id="6" w:name="_Toc28917"/>
      <w:bookmarkStart w:id="7" w:name="_Toc60035682"/>
      <w:r>
        <w:rPr>
          <w:rFonts w:hint="eastAsia" w:ascii="仿宋" w:hAnsi="仿宋" w:eastAsia="仿宋"/>
          <w:snapToGrid w:val="0"/>
          <w:kern w:val="0"/>
          <w:sz w:val="32"/>
          <w:szCs w:val="32"/>
        </w:rPr>
        <w:t>反映部门履职目标完成和效果的佐证材料</w:t>
      </w:r>
      <w:bookmarkEnd w:id="4"/>
      <w:bookmarkEnd w:id="5"/>
      <w:bookmarkEnd w:id="6"/>
      <w:bookmarkEnd w:id="7"/>
      <w:r>
        <w:rPr>
          <w:rFonts w:hint="eastAsia" w:ascii="仿宋" w:hAnsi="仿宋" w:eastAsia="仿宋"/>
          <w:snapToGrid w:val="0"/>
          <w:kern w:val="0"/>
          <w:sz w:val="32"/>
          <w:szCs w:val="32"/>
        </w:rPr>
        <w:t>不够完整</w:t>
      </w:r>
    </w:p>
    <w:p>
      <w:pPr>
        <w:pStyle w:val="17"/>
        <w:adjustRightInd w:val="0"/>
        <w:snapToGrid w:val="0"/>
        <w:spacing w:line="560" w:lineRule="exact"/>
        <w:ind w:firstLine="640" w:firstLineChars="200"/>
        <w:rPr>
          <w:rFonts w:ascii="仿宋" w:hAnsi="仿宋" w:eastAsia="仿宋" w:cs="黑体"/>
          <w:snapToGrid w:val="0"/>
          <w:kern w:val="0"/>
          <w:sz w:val="32"/>
          <w:szCs w:val="32"/>
        </w:rPr>
      </w:pPr>
      <w:r>
        <w:rPr>
          <w:rFonts w:hint="eastAsia" w:ascii="仿宋" w:hAnsi="仿宋" w:eastAsia="仿宋" w:cs="黑体"/>
          <w:snapToGrid w:val="0"/>
          <w:kern w:val="0"/>
          <w:sz w:val="32"/>
          <w:szCs w:val="32"/>
        </w:rPr>
        <w:t>我单位较好地完成了2021年度目标任务，效益实现良好，但部门履职过程中发现，个别目标完成情况和效果的支撑材料不充分，如“进行现场检查考核并对检查出具考核报告大于或等于10次”“检查考核完成后应在三天内出具考核报告”等绩效指标的实现情况佐证材料不够详实，一定程度影响绩效目标完成的效果。</w:t>
      </w:r>
    </w:p>
    <w:p>
      <w:pPr>
        <w:adjustRightInd w:val="0"/>
        <w:snapToGrid w:val="0"/>
        <w:spacing w:line="560" w:lineRule="exact"/>
        <w:ind w:firstLine="643" w:firstLineChars="200"/>
        <w:outlineLvl w:val="1"/>
        <w:rPr>
          <w:rFonts w:ascii="仿宋" w:hAnsi="仿宋" w:eastAsia="仿宋"/>
          <w:b/>
          <w:bCs/>
          <w:snapToGrid w:val="0"/>
          <w:kern w:val="0"/>
          <w:sz w:val="32"/>
          <w:szCs w:val="32"/>
        </w:rPr>
      </w:pPr>
      <w:r>
        <w:rPr>
          <w:rFonts w:hint="eastAsia" w:ascii="仿宋" w:hAnsi="仿宋" w:eastAsia="仿宋"/>
          <w:b/>
          <w:bCs/>
          <w:snapToGrid w:val="0"/>
          <w:kern w:val="0"/>
          <w:sz w:val="32"/>
          <w:szCs w:val="32"/>
        </w:rPr>
        <w:t>（二）针对问题提出具体的改进措施或建议</w:t>
      </w:r>
    </w:p>
    <w:p>
      <w:pPr>
        <w:adjustRightInd w:val="0"/>
        <w:snapToGrid w:val="0"/>
        <w:spacing w:line="560" w:lineRule="exact"/>
        <w:ind w:firstLine="640" w:firstLineChars="200"/>
        <w:outlineLvl w:val="2"/>
        <w:rPr>
          <w:rFonts w:ascii="仿宋" w:hAnsi="仿宋" w:eastAsia="仿宋" w:cs="仿宋"/>
          <w:snapToGrid w:val="0"/>
          <w:kern w:val="0"/>
          <w:sz w:val="32"/>
          <w:szCs w:val="32"/>
        </w:rPr>
      </w:pPr>
      <w:bookmarkStart w:id="8" w:name="_Toc10040"/>
      <w:bookmarkStart w:id="9" w:name="_Toc10293"/>
      <w:bookmarkStart w:id="10" w:name="_Toc24196"/>
      <w:bookmarkStart w:id="11" w:name="_Toc29952"/>
      <w:bookmarkStart w:id="12" w:name="_Toc26533"/>
      <w:bookmarkStart w:id="13" w:name="_Toc26007"/>
      <w:bookmarkStart w:id="14" w:name="_Toc19860"/>
      <w:bookmarkStart w:id="15" w:name="_Toc60035686"/>
      <w:r>
        <w:rPr>
          <w:rFonts w:hint="eastAsia" w:ascii="仿宋" w:hAnsi="仿宋" w:eastAsia="仿宋" w:cs="仿宋"/>
          <w:snapToGrid w:val="0"/>
          <w:kern w:val="0"/>
          <w:sz w:val="32"/>
          <w:szCs w:val="32"/>
        </w:rPr>
        <w:t>1.完善绩效目标及指标</w:t>
      </w:r>
      <w:bookmarkEnd w:id="8"/>
      <w:bookmarkEnd w:id="9"/>
      <w:bookmarkEnd w:id="10"/>
      <w:bookmarkEnd w:id="11"/>
      <w:r>
        <w:rPr>
          <w:rFonts w:hint="eastAsia" w:ascii="仿宋" w:hAnsi="仿宋" w:eastAsia="仿宋" w:cs="仿宋"/>
          <w:snapToGrid w:val="0"/>
          <w:kern w:val="0"/>
          <w:sz w:val="32"/>
          <w:szCs w:val="32"/>
        </w:rPr>
        <w:t>设置，为更好地实现绩效目标奠定基础</w:t>
      </w:r>
    </w:p>
    <w:p>
      <w:pPr>
        <w:adjustRightInd w:val="0"/>
        <w:snapToGrid w:val="0"/>
        <w:spacing w:line="560" w:lineRule="exact"/>
        <w:ind w:firstLine="640" w:firstLineChars="200"/>
        <w:rPr>
          <w:rFonts w:ascii="仿宋" w:hAnsi="仿宋" w:eastAsia="仿宋" w:cs="仿宋"/>
          <w:snapToGrid w:val="0"/>
          <w:color w:val="000000"/>
          <w:kern w:val="0"/>
          <w:sz w:val="32"/>
          <w:szCs w:val="32"/>
        </w:rPr>
      </w:pPr>
      <w:r>
        <w:rPr>
          <w:rFonts w:hint="eastAsia" w:ascii="仿宋" w:hAnsi="仿宋" w:eastAsia="仿宋" w:cs="仿宋"/>
          <w:snapToGrid w:val="0"/>
          <w:kern w:val="0"/>
          <w:sz w:val="32"/>
          <w:szCs w:val="32"/>
        </w:rPr>
        <w:t>下一步将从总体层面把握项目实施进度情况，统筹年度的重点任务，将“业务信息”与“绩效信息”有机结合，进一步规范设置绩效目标，确保绩效目标能够全面反映部门重点工作内容及预期效益。</w:t>
      </w:r>
    </w:p>
    <w:p>
      <w:pPr>
        <w:adjustRightInd w:val="0"/>
        <w:snapToGrid w:val="0"/>
        <w:spacing w:line="560" w:lineRule="exact"/>
        <w:ind w:firstLine="640" w:firstLineChars="200"/>
        <w:outlineLvl w:val="2"/>
        <w:rPr>
          <w:rFonts w:ascii="仿宋" w:hAnsi="仿宋" w:eastAsia="仿宋" w:cs="仿宋"/>
          <w:snapToGrid w:val="0"/>
          <w:kern w:val="0"/>
          <w:sz w:val="32"/>
          <w:szCs w:val="32"/>
        </w:rPr>
      </w:pPr>
      <w:r>
        <w:rPr>
          <w:rFonts w:hint="eastAsia" w:ascii="仿宋" w:hAnsi="仿宋" w:eastAsia="仿宋" w:cs="仿宋"/>
          <w:snapToGrid w:val="0"/>
          <w:kern w:val="0"/>
          <w:sz w:val="32"/>
          <w:szCs w:val="32"/>
        </w:rPr>
        <w:t>2.重视部门整体支出绩效整合分析，做好部门绩效材料收集、归档工作</w:t>
      </w:r>
      <w:bookmarkEnd w:id="12"/>
      <w:bookmarkEnd w:id="13"/>
      <w:bookmarkEnd w:id="14"/>
      <w:bookmarkEnd w:id="15"/>
    </w:p>
    <w:p>
      <w:pPr>
        <w:adjustRightInd w:val="0"/>
        <w:snapToGrid w:val="0"/>
        <w:spacing w:line="560" w:lineRule="exact"/>
        <w:ind w:firstLine="640" w:firstLineChars="200"/>
        <w:rPr>
          <w:rFonts w:hint="eastAsia" w:ascii="仿宋" w:hAnsi="仿宋" w:eastAsia="仿宋" w:cs="仿宋"/>
          <w:snapToGrid w:val="0"/>
          <w:kern w:val="0"/>
          <w:sz w:val="32"/>
          <w:szCs w:val="32"/>
        </w:rPr>
      </w:pPr>
      <w:r>
        <w:rPr>
          <w:rFonts w:hint="eastAsia" w:ascii="仿宋" w:hAnsi="仿宋" w:eastAsia="仿宋" w:cs="仿宋"/>
          <w:snapToGrid w:val="0"/>
          <w:kern w:val="0"/>
          <w:sz w:val="32"/>
          <w:szCs w:val="32"/>
        </w:rPr>
        <w:t>我单位将以实现效益为导向，结合部门年度产出、效益情况，及时汇总、分析绩效数据，为下年度绩效目标设定提供数据、资料等基础信息。全面分析当年绩效数据，并对后续效益情况进行跟踪分析，加强资料完整性审核工作，充分体现部门绩效实现情况。</w:t>
      </w:r>
    </w:p>
    <w:p>
      <w:pPr>
        <w:pStyle w:val="2"/>
      </w:pPr>
    </w:p>
    <w:sectPr>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- 1 -</w:t>
                          </w:r>
                          <w:r>
                            <w:rPr>
                              <w:rFonts w:hint="eastAsia" w:ascii="宋体" w:hAnsi="宋体" w:cs="宋体"/>
                              <w:sz w:val="28"/>
                              <w:szCs w:val="2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- 1 -</w:t>
                    </w:r>
                    <w:r>
                      <w:rPr>
                        <w:rFonts w:hint="eastAsia" w:ascii="宋体" w:hAnsi="宋体" w:cs="宋体"/>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id="0">
    <w:p>
      <w:pPr>
        <w:pStyle w:val="10"/>
        <w:rPr>
          <w:rFonts w:hint="eastAsia" w:ascii="宋体" w:hAnsi="宋体"/>
        </w:rPr>
      </w:pPr>
      <w:r>
        <w:rPr>
          <w:rStyle w:val="16"/>
          <w:rFonts w:ascii="宋体" w:hAnsi="宋体"/>
          <w:sz w:val="20"/>
          <w:szCs w:val="24"/>
        </w:rPr>
        <w:footnoteRef/>
      </w:r>
      <w:r>
        <w:rPr>
          <w:rFonts w:ascii="宋体" w:hAnsi="宋体"/>
          <w:sz w:val="20"/>
          <w:szCs w:val="24"/>
        </w:rPr>
        <w:t xml:space="preserve"> </w:t>
      </w:r>
      <w:r>
        <w:rPr>
          <w:rFonts w:hint="eastAsia" w:ascii="宋体" w:hAnsi="宋体"/>
          <w:sz w:val="20"/>
          <w:szCs w:val="24"/>
        </w:rPr>
        <w:t>政府投资代建项目是指学校、医院、公益场馆、消防工程等社会事业项目及行政事业单位办公用房、业务用房的房屋建筑类工程，新建、改建、扩建项目概算投资在500万元（含）以上的，装修、维修改造项目概算投资在200万元（含）以上的，以及市政府确定的其他政府投资代建项目。</w:t>
      </w:r>
    </w:p>
  </w:footnote>
  <w:footnote w:id="1">
    <w:p>
      <w:pPr>
        <w:pStyle w:val="10"/>
        <w:snapToGrid w:val="0"/>
        <w:rPr>
          <w:rFonts w:hint="default" w:eastAsia="宋体"/>
          <w:lang w:val="en-US" w:eastAsia="zh-CN"/>
        </w:rPr>
      </w:pPr>
      <w:r>
        <w:rPr>
          <w:rStyle w:val="16"/>
        </w:rPr>
        <w:footnoteRef/>
      </w:r>
      <w:r>
        <w:t xml:space="preserve"> </w:t>
      </w:r>
      <w:r>
        <w:rPr>
          <w:rFonts w:hint="eastAsia"/>
          <w:lang w:val="en-US" w:eastAsia="zh-CN"/>
        </w:rPr>
        <w:t>单位资产总额含在建工程。</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09604F"/>
    <w:rsid w:val="000E3A3D"/>
    <w:rsid w:val="0031380D"/>
    <w:rsid w:val="003308A7"/>
    <w:rsid w:val="00392D36"/>
    <w:rsid w:val="003E5247"/>
    <w:rsid w:val="0055006A"/>
    <w:rsid w:val="005635AC"/>
    <w:rsid w:val="0057416B"/>
    <w:rsid w:val="005E2148"/>
    <w:rsid w:val="0062139A"/>
    <w:rsid w:val="00693A74"/>
    <w:rsid w:val="006D76D1"/>
    <w:rsid w:val="007E6C1F"/>
    <w:rsid w:val="007F2078"/>
    <w:rsid w:val="008E6EA2"/>
    <w:rsid w:val="009B0B5F"/>
    <w:rsid w:val="00A659A1"/>
    <w:rsid w:val="00AF566A"/>
    <w:rsid w:val="00B6553A"/>
    <w:rsid w:val="00B85F6A"/>
    <w:rsid w:val="00B94313"/>
    <w:rsid w:val="00C032D0"/>
    <w:rsid w:val="00D57A2B"/>
    <w:rsid w:val="00E34CAD"/>
    <w:rsid w:val="00FB2A88"/>
    <w:rsid w:val="01013199"/>
    <w:rsid w:val="010D484E"/>
    <w:rsid w:val="012A2737"/>
    <w:rsid w:val="01B104CA"/>
    <w:rsid w:val="01E11918"/>
    <w:rsid w:val="01E372A5"/>
    <w:rsid w:val="01F8503E"/>
    <w:rsid w:val="01FB41C4"/>
    <w:rsid w:val="02106AB0"/>
    <w:rsid w:val="022A3067"/>
    <w:rsid w:val="023E392C"/>
    <w:rsid w:val="026F59DA"/>
    <w:rsid w:val="02775E4F"/>
    <w:rsid w:val="029714D0"/>
    <w:rsid w:val="02A14EBF"/>
    <w:rsid w:val="02B02F1E"/>
    <w:rsid w:val="02B432F3"/>
    <w:rsid w:val="02B43A28"/>
    <w:rsid w:val="02C839A1"/>
    <w:rsid w:val="02E25F00"/>
    <w:rsid w:val="02E76C3A"/>
    <w:rsid w:val="02FA24AC"/>
    <w:rsid w:val="030D5065"/>
    <w:rsid w:val="036723D5"/>
    <w:rsid w:val="038C6A9E"/>
    <w:rsid w:val="03991DF6"/>
    <w:rsid w:val="03B23A50"/>
    <w:rsid w:val="03BB3BB6"/>
    <w:rsid w:val="03D7681D"/>
    <w:rsid w:val="04244C00"/>
    <w:rsid w:val="042C7B31"/>
    <w:rsid w:val="044370E4"/>
    <w:rsid w:val="04623199"/>
    <w:rsid w:val="046F331E"/>
    <w:rsid w:val="04983821"/>
    <w:rsid w:val="049E5399"/>
    <w:rsid w:val="04A851AD"/>
    <w:rsid w:val="04CC0982"/>
    <w:rsid w:val="04D458E3"/>
    <w:rsid w:val="052C5F48"/>
    <w:rsid w:val="056D1744"/>
    <w:rsid w:val="056E27D4"/>
    <w:rsid w:val="059340C2"/>
    <w:rsid w:val="05A2044C"/>
    <w:rsid w:val="05E23E0A"/>
    <w:rsid w:val="05E53928"/>
    <w:rsid w:val="05F82492"/>
    <w:rsid w:val="061C1364"/>
    <w:rsid w:val="06375530"/>
    <w:rsid w:val="06BE7FB4"/>
    <w:rsid w:val="06C02017"/>
    <w:rsid w:val="06F16244"/>
    <w:rsid w:val="06F547E2"/>
    <w:rsid w:val="07137C4B"/>
    <w:rsid w:val="074A6B00"/>
    <w:rsid w:val="077527CF"/>
    <w:rsid w:val="07956271"/>
    <w:rsid w:val="07A56FBB"/>
    <w:rsid w:val="07C858A2"/>
    <w:rsid w:val="07E826A6"/>
    <w:rsid w:val="07EE1BF2"/>
    <w:rsid w:val="081C13B2"/>
    <w:rsid w:val="086A35D3"/>
    <w:rsid w:val="088E2442"/>
    <w:rsid w:val="08F54989"/>
    <w:rsid w:val="09362C99"/>
    <w:rsid w:val="09423758"/>
    <w:rsid w:val="09721397"/>
    <w:rsid w:val="09763C03"/>
    <w:rsid w:val="09767568"/>
    <w:rsid w:val="099D5480"/>
    <w:rsid w:val="09C20707"/>
    <w:rsid w:val="09C50FEF"/>
    <w:rsid w:val="09EB6093"/>
    <w:rsid w:val="09F50871"/>
    <w:rsid w:val="0A3B7E92"/>
    <w:rsid w:val="0A5665E1"/>
    <w:rsid w:val="0A587E8D"/>
    <w:rsid w:val="0A635B45"/>
    <w:rsid w:val="0A6476E7"/>
    <w:rsid w:val="0AF9613A"/>
    <w:rsid w:val="0B1F7ED8"/>
    <w:rsid w:val="0B417133"/>
    <w:rsid w:val="0B6E1D50"/>
    <w:rsid w:val="0B852299"/>
    <w:rsid w:val="0BB35A1E"/>
    <w:rsid w:val="0BB63BED"/>
    <w:rsid w:val="0BCF044D"/>
    <w:rsid w:val="0BD938FF"/>
    <w:rsid w:val="0BED5C75"/>
    <w:rsid w:val="0BF4140C"/>
    <w:rsid w:val="0C061C5B"/>
    <w:rsid w:val="0CA756EB"/>
    <w:rsid w:val="0CA8348E"/>
    <w:rsid w:val="0CE206DF"/>
    <w:rsid w:val="0CF10BA4"/>
    <w:rsid w:val="0D132234"/>
    <w:rsid w:val="0D5D6CCA"/>
    <w:rsid w:val="0D60224D"/>
    <w:rsid w:val="0D602928"/>
    <w:rsid w:val="0D867E9A"/>
    <w:rsid w:val="0DA95BA0"/>
    <w:rsid w:val="0DAD6A75"/>
    <w:rsid w:val="0DCE527C"/>
    <w:rsid w:val="0DFF77C7"/>
    <w:rsid w:val="0E4A3E93"/>
    <w:rsid w:val="0E596D23"/>
    <w:rsid w:val="0EB97A43"/>
    <w:rsid w:val="0EBD2122"/>
    <w:rsid w:val="0ECD6420"/>
    <w:rsid w:val="0ED025DF"/>
    <w:rsid w:val="0EE060FB"/>
    <w:rsid w:val="0F1D1B2D"/>
    <w:rsid w:val="0F214EAE"/>
    <w:rsid w:val="0F361CDD"/>
    <w:rsid w:val="0F7A4FF5"/>
    <w:rsid w:val="0F834475"/>
    <w:rsid w:val="0F905CC4"/>
    <w:rsid w:val="0FA071DF"/>
    <w:rsid w:val="0FEA0A74"/>
    <w:rsid w:val="0FF75E57"/>
    <w:rsid w:val="0FF92317"/>
    <w:rsid w:val="105476D5"/>
    <w:rsid w:val="105835F6"/>
    <w:rsid w:val="107A1C3B"/>
    <w:rsid w:val="10974D40"/>
    <w:rsid w:val="10B54896"/>
    <w:rsid w:val="10C67F63"/>
    <w:rsid w:val="111533DF"/>
    <w:rsid w:val="11443A1A"/>
    <w:rsid w:val="114C3278"/>
    <w:rsid w:val="117C4CEC"/>
    <w:rsid w:val="11A84B93"/>
    <w:rsid w:val="11B71E6A"/>
    <w:rsid w:val="11C64016"/>
    <w:rsid w:val="11D07171"/>
    <w:rsid w:val="11DA2961"/>
    <w:rsid w:val="11E01C2B"/>
    <w:rsid w:val="11EE2F4C"/>
    <w:rsid w:val="11EE7185"/>
    <w:rsid w:val="11FD4A5B"/>
    <w:rsid w:val="12242F92"/>
    <w:rsid w:val="122C5E89"/>
    <w:rsid w:val="122E0CA7"/>
    <w:rsid w:val="12363A7A"/>
    <w:rsid w:val="124449E6"/>
    <w:rsid w:val="124A4B2C"/>
    <w:rsid w:val="125004F7"/>
    <w:rsid w:val="1292230A"/>
    <w:rsid w:val="12A343EF"/>
    <w:rsid w:val="12A9170C"/>
    <w:rsid w:val="12B01538"/>
    <w:rsid w:val="12E7315D"/>
    <w:rsid w:val="12EE7564"/>
    <w:rsid w:val="12F92B1E"/>
    <w:rsid w:val="12FF360B"/>
    <w:rsid w:val="130507E0"/>
    <w:rsid w:val="1307729E"/>
    <w:rsid w:val="136E00A9"/>
    <w:rsid w:val="138F06EF"/>
    <w:rsid w:val="13C62793"/>
    <w:rsid w:val="13EF19E6"/>
    <w:rsid w:val="140517C9"/>
    <w:rsid w:val="14513F2C"/>
    <w:rsid w:val="146D2150"/>
    <w:rsid w:val="14775863"/>
    <w:rsid w:val="14972663"/>
    <w:rsid w:val="15385CBC"/>
    <w:rsid w:val="154F3583"/>
    <w:rsid w:val="15736E2B"/>
    <w:rsid w:val="15744D09"/>
    <w:rsid w:val="160C2B7E"/>
    <w:rsid w:val="16137AB4"/>
    <w:rsid w:val="1618304E"/>
    <w:rsid w:val="16376122"/>
    <w:rsid w:val="163F55E4"/>
    <w:rsid w:val="16E9160E"/>
    <w:rsid w:val="172113F9"/>
    <w:rsid w:val="174A174D"/>
    <w:rsid w:val="1769645A"/>
    <w:rsid w:val="17936B18"/>
    <w:rsid w:val="17FD7CEB"/>
    <w:rsid w:val="18477C1A"/>
    <w:rsid w:val="185C690E"/>
    <w:rsid w:val="187B7D8F"/>
    <w:rsid w:val="18B775DA"/>
    <w:rsid w:val="18D927BE"/>
    <w:rsid w:val="18E17400"/>
    <w:rsid w:val="1920262C"/>
    <w:rsid w:val="194A294F"/>
    <w:rsid w:val="19515A48"/>
    <w:rsid w:val="19B87529"/>
    <w:rsid w:val="19CF41C4"/>
    <w:rsid w:val="19E6040E"/>
    <w:rsid w:val="1A1653EB"/>
    <w:rsid w:val="1A317D64"/>
    <w:rsid w:val="1A5B3CBD"/>
    <w:rsid w:val="1AA909CA"/>
    <w:rsid w:val="1AAB1E3B"/>
    <w:rsid w:val="1AAF0063"/>
    <w:rsid w:val="1AF0587B"/>
    <w:rsid w:val="1B5C057E"/>
    <w:rsid w:val="1B6339AE"/>
    <w:rsid w:val="1B6543C1"/>
    <w:rsid w:val="1B6C31C9"/>
    <w:rsid w:val="1B860B59"/>
    <w:rsid w:val="1B965BC5"/>
    <w:rsid w:val="1BE140DE"/>
    <w:rsid w:val="1BF260EF"/>
    <w:rsid w:val="1BFA16E3"/>
    <w:rsid w:val="1C272098"/>
    <w:rsid w:val="1C7660E1"/>
    <w:rsid w:val="1CA02C7B"/>
    <w:rsid w:val="1CC36E23"/>
    <w:rsid w:val="1CF4664B"/>
    <w:rsid w:val="1D3850C2"/>
    <w:rsid w:val="1D801404"/>
    <w:rsid w:val="1D8F1A5E"/>
    <w:rsid w:val="1D900323"/>
    <w:rsid w:val="1DAC74F1"/>
    <w:rsid w:val="1E6D3440"/>
    <w:rsid w:val="1EA97B9C"/>
    <w:rsid w:val="1EAD2225"/>
    <w:rsid w:val="1EC71ECB"/>
    <w:rsid w:val="1F1A1166"/>
    <w:rsid w:val="1F3E58C7"/>
    <w:rsid w:val="1F495A7B"/>
    <w:rsid w:val="1F710D82"/>
    <w:rsid w:val="1FA43BA6"/>
    <w:rsid w:val="1FB8528E"/>
    <w:rsid w:val="1FC43387"/>
    <w:rsid w:val="1FE4017A"/>
    <w:rsid w:val="1FFB73B9"/>
    <w:rsid w:val="1FFD70E9"/>
    <w:rsid w:val="20B13075"/>
    <w:rsid w:val="20DE3E3F"/>
    <w:rsid w:val="20FB695E"/>
    <w:rsid w:val="21336252"/>
    <w:rsid w:val="214910EE"/>
    <w:rsid w:val="21872009"/>
    <w:rsid w:val="2198445C"/>
    <w:rsid w:val="21B90021"/>
    <w:rsid w:val="22295826"/>
    <w:rsid w:val="222C2991"/>
    <w:rsid w:val="223D42DF"/>
    <w:rsid w:val="224018F7"/>
    <w:rsid w:val="22552DAD"/>
    <w:rsid w:val="22742892"/>
    <w:rsid w:val="22755EC2"/>
    <w:rsid w:val="2280626E"/>
    <w:rsid w:val="22DD7866"/>
    <w:rsid w:val="232061C7"/>
    <w:rsid w:val="23834316"/>
    <w:rsid w:val="23A16CC4"/>
    <w:rsid w:val="23B23389"/>
    <w:rsid w:val="23DE7685"/>
    <w:rsid w:val="23EE11CF"/>
    <w:rsid w:val="23FC38A6"/>
    <w:rsid w:val="243F43BE"/>
    <w:rsid w:val="245101EC"/>
    <w:rsid w:val="248C197D"/>
    <w:rsid w:val="24D25F08"/>
    <w:rsid w:val="2524556B"/>
    <w:rsid w:val="252959AF"/>
    <w:rsid w:val="25445EDF"/>
    <w:rsid w:val="25602613"/>
    <w:rsid w:val="25702687"/>
    <w:rsid w:val="25C60BCF"/>
    <w:rsid w:val="25FD7CD6"/>
    <w:rsid w:val="260C4259"/>
    <w:rsid w:val="261539A2"/>
    <w:rsid w:val="264A0EF8"/>
    <w:rsid w:val="26807363"/>
    <w:rsid w:val="26BE2F02"/>
    <w:rsid w:val="26F00A99"/>
    <w:rsid w:val="271F34DF"/>
    <w:rsid w:val="27415AFD"/>
    <w:rsid w:val="275F3F75"/>
    <w:rsid w:val="277A6671"/>
    <w:rsid w:val="278F0811"/>
    <w:rsid w:val="27A62F7F"/>
    <w:rsid w:val="27C64F74"/>
    <w:rsid w:val="27DF0109"/>
    <w:rsid w:val="28066639"/>
    <w:rsid w:val="28862099"/>
    <w:rsid w:val="28904392"/>
    <w:rsid w:val="292D35B7"/>
    <w:rsid w:val="29336286"/>
    <w:rsid w:val="2936303B"/>
    <w:rsid w:val="293E6145"/>
    <w:rsid w:val="294E0E09"/>
    <w:rsid w:val="2953785D"/>
    <w:rsid w:val="29711F1F"/>
    <w:rsid w:val="298C7DAF"/>
    <w:rsid w:val="29B0613C"/>
    <w:rsid w:val="29D91340"/>
    <w:rsid w:val="2A3E3061"/>
    <w:rsid w:val="2A50494F"/>
    <w:rsid w:val="2A665B2B"/>
    <w:rsid w:val="2A826515"/>
    <w:rsid w:val="2A846F2D"/>
    <w:rsid w:val="2A9A3C41"/>
    <w:rsid w:val="2AA02EF2"/>
    <w:rsid w:val="2AAD7DB1"/>
    <w:rsid w:val="2AC16C0B"/>
    <w:rsid w:val="2B00436B"/>
    <w:rsid w:val="2B5062B0"/>
    <w:rsid w:val="2B5919CD"/>
    <w:rsid w:val="2B872A9C"/>
    <w:rsid w:val="2BC256FB"/>
    <w:rsid w:val="2C566AC6"/>
    <w:rsid w:val="2C820FC8"/>
    <w:rsid w:val="2CC80FAD"/>
    <w:rsid w:val="2CD05759"/>
    <w:rsid w:val="2CEC0BFD"/>
    <w:rsid w:val="2CF518BB"/>
    <w:rsid w:val="2CF53624"/>
    <w:rsid w:val="2D327B0A"/>
    <w:rsid w:val="2D623F1C"/>
    <w:rsid w:val="2D875478"/>
    <w:rsid w:val="2DBA1D6E"/>
    <w:rsid w:val="2DD01799"/>
    <w:rsid w:val="2DDA2C16"/>
    <w:rsid w:val="2DDE4145"/>
    <w:rsid w:val="2E25347D"/>
    <w:rsid w:val="2E272B17"/>
    <w:rsid w:val="2E2C723F"/>
    <w:rsid w:val="2E303B10"/>
    <w:rsid w:val="2E49579A"/>
    <w:rsid w:val="2E4E3EBC"/>
    <w:rsid w:val="2E6250AA"/>
    <w:rsid w:val="2E7B48EF"/>
    <w:rsid w:val="2EEB0EA8"/>
    <w:rsid w:val="2F135582"/>
    <w:rsid w:val="2F261905"/>
    <w:rsid w:val="2F546DD7"/>
    <w:rsid w:val="2F9701ED"/>
    <w:rsid w:val="2FA46863"/>
    <w:rsid w:val="2FB7757D"/>
    <w:rsid w:val="2FCB1663"/>
    <w:rsid w:val="2FCC3C09"/>
    <w:rsid w:val="2FCF27FC"/>
    <w:rsid w:val="2FF05343"/>
    <w:rsid w:val="2FF0576D"/>
    <w:rsid w:val="3029755C"/>
    <w:rsid w:val="302E43C5"/>
    <w:rsid w:val="303A281F"/>
    <w:rsid w:val="304829BE"/>
    <w:rsid w:val="30533931"/>
    <w:rsid w:val="307549C9"/>
    <w:rsid w:val="309E5C6A"/>
    <w:rsid w:val="30BE3B2D"/>
    <w:rsid w:val="30CC44BE"/>
    <w:rsid w:val="30F25AEA"/>
    <w:rsid w:val="31200DFC"/>
    <w:rsid w:val="31406E24"/>
    <w:rsid w:val="31565F87"/>
    <w:rsid w:val="316E7DB6"/>
    <w:rsid w:val="31816154"/>
    <w:rsid w:val="31950C0D"/>
    <w:rsid w:val="31AE1E60"/>
    <w:rsid w:val="31F66E3F"/>
    <w:rsid w:val="31FC62DB"/>
    <w:rsid w:val="32133D33"/>
    <w:rsid w:val="322B0C04"/>
    <w:rsid w:val="322C3CB1"/>
    <w:rsid w:val="325D20BC"/>
    <w:rsid w:val="32C528AC"/>
    <w:rsid w:val="330B70B7"/>
    <w:rsid w:val="332453E7"/>
    <w:rsid w:val="33B044B7"/>
    <w:rsid w:val="33EB6CFF"/>
    <w:rsid w:val="33F94D5D"/>
    <w:rsid w:val="34011036"/>
    <w:rsid w:val="340D7C35"/>
    <w:rsid w:val="34210C47"/>
    <w:rsid w:val="343C3F54"/>
    <w:rsid w:val="34541A3C"/>
    <w:rsid w:val="346D1D16"/>
    <w:rsid w:val="3484083B"/>
    <w:rsid w:val="34C77D3F"/>
    <w:rsid w:val="34E0655E"/>
    <w:rsid w:val="35683B67"/>
    <w:rsid w:val="358F2AF1"/>
    <w:rsid w:val="35A12947"/>
    <w:rsid w:val="35AB6A16"/>
    <w:rsid w:val="35B474C2"/>
    <w:rsid w:val="35C21AE7"/>
    <w:rsid w:val="35D43F1C"/>
    <w:rsid w:val="35D9289C"/>
    <w:rsid w:val="35F46264"/>
    <w:rsid w:val="367131C8"/>
    <w:rsid w:val="36A33BBF"/>
    <w:rsid w:val="36AE66E4"/>
    <w:rsid w:val="36B473AB"/>
    <w:rsid w:val="36C004B0"/>
    <w:rsid w:val="36C95F72"/>
    <w:rsid w:val="36F82977"/>
    <w:rsid w:val="3709766C"/>
    <w:rsid w:val="37230FAA"/>
    <w:rsid w:val="373311AD"/>
    <w:rsid w:val="37335DE5"/>
    <w:rsid w:val="37387040"/>
    <w:rsid w:val="374337F8"/>
    <w:rsid w:val="37533D67"/>
    <w:rsid w:val="37627537"/>
    <w:rsid w:val="37912ACC"/>
    <w:rsid w:val="37C07A3D"/>
    <w:rsid w:val="37D01368"/>
    <w:rsid w:val="382F18E8"/>
    <w:rsid w:val="3833763B"/>
    <w:rsid w:val="38693632"/>
    <w:rsid w:val="386E0FA7"/>
    <w:rsid w:val="391C4037"/>
    <w:rsid w:val="394146EB"/>
    <w:rsid w:val="39797F89"/>
    <w:rsid w:val="39BE1047"/>
    <w:rsid w:val="39FC0B4C"/>
    <w:rsid w:val="3A1C4759"/>
    <w:rsid w:val="3A872838"/>
    <w:rsid w:val="3A8C056D"/>
    <w:rsid w:val="3ADA0677"/>
    <w:rsid w:val="3B1E5DBA"/>
    <w:rsid w:val="3B625C0A"/>
    <w:rsid w:val="3B6817F3"/>
    <w:rsid w:val="3B8345B9"/>
    <w:rsid w:val="3B900DC4"/>
    <w:rsid w:val="3B964B66"/>
    <w:rsid w:val="3BA77F5C"/>
    <w:rsid w:val="3BB84873"/>
    <w:rsid w:val="3BC82DC3"/>
    <w:rsid w:val="3BED56D9"/>
    <w:rsid w:val="3C097AFB"/>
    <w:rsid w:val="3C687B76"/>
    <w:rsid w:val="3C7951DC"/>
    <w:rsid w:val="3CEE1963"/>
    <w:rsid w:val="3CF72286"/>
    <w:rsid w:val="3D1443F1"/>
    <w:rsid w:val="3D1A5481"/>
    <w:rsid w:val="3D1D6ABE"/>
    <w:rsid w:val="3D2E616D"/>
    <w:rsid w:val="3D333C08"/>
    <w:rsid w:val="3D577BC2"/>
    <w:rsid w:val="3D67127E"/>
    <w:rsid w:val="3D8C7CFA"/>
    <w:rsid w:val="3D8E79D2"/>
    <w:rsid w:val="3E225E02"/>
    <w:rsid w:val="3E3C7DA1"/>
    <w:rsid w:val="3E8609B7"/>
    <w:rsid w:val="3EDE73EB"/>
    <w:rsid w:val="3EFA4917"/>
    <w:rsid w:val="3F005B35"/>
    <w:rsid w:val="3F275792"/>
    <w:rsid w:val="3F292E68"/>
    <w:rsid w:val="3F3376DC"/>
    <w:rsid w:val="3F39487D"/>
    <w:rsid w:val="3F9F2E32"/>
    <w:rsid w:val="3FF209DD"/>
    <w:rsid w:val="40026595"/>
    <w:rsid w:val="40296E63"/>
    <w:rsid w:val="40694322"/>
    <w:rsid w:val="409B73F2"/>
    <w:rsid w:val="40D22112"/>
    <w:rsid w:val="40E45B81"/>
    <w:rsid w:val="41284FCA"/>
    <w:rsid w:val="41511A12"/>
    <w:rsid w:val="416820ED"/>
    <w:rsid w:val="416F3436"/>
    <w:rsid w:val="4195549E"/>
    <w:rsid w:val="41CB6F8E"/>
    <w:rsid w:val="41D13CCC"/>
    <w:rsid w:val="41E17F7A"/>
    <w:rsid w:val="42031B84"/>
    <w:rsid w:val="425B314F"/>
    <w:rsid w:val="42766C58"/>
    <w:rsid w:val="428216CB"/>
    <w:rsid w:val="429938F7"/>
    <w:rsid w:val="42BD3C06"/>
    <w:rsid w:val="42FF2D1C"/>
    <w:rsid w:val="435141DD"/>
    <w:rsid w:val="435737A6"/>
    <w:rsid w:val="43917E18"/>
    <w:rsid w:val="44051A78"/>
    <w:rsid w:val="444E2299"/>
    <w:rsid w:val="447079EC"/>
    <w:rsid w:val="447776C8"/>
    <w:rsid w:val="4481518A"/>
    <w:rsid w:val="44927248"/>
    <w:rsid w:val="44C3773A"/>
    <w:rsid w:val="44CA2B1F"/>
    <w:rsid w:val="44D7512F"/>
    <w:rsid w:val="44FF11C9"/>
    <w:rsid w:val="451C73ED"/>
    <w:rsid w:val="452151B2"/>
    <w:rsid w:val="454112DC"/>
    <w:rsid w:val="456B668F"/>
    <w:rsid w:val="45763B3F"/>
    <w:rsid w:val="457F1929"/>
    <w:rsid w:val="45940893"/>
    <w:rsid w:val="45A15A6A"/>
    <w:rsid w:val="45AB3FF8"/>
    <w:rsid w:val="45AD69AD"/>
    <w:rsid w:val="45B47DEE"/>
    <w:rsid w:val="45C82A3C"/>
    <w:rsid w:val="462C17E7"/>
    <w:rsid w:val="466F071C"/>
    <w:rsid w:val="468C42E6"/>
    <w:rsid w:val="46D149CF"/>
    <w:rsid w:val="46DA2D8C"/>
    <w:rsid w:val="46DF557C"/>
    <w:rsid w:val="46F632BD"/>
    <w:rsid w:val="46F74A3A"/>
    <w:rsid w:val="47052267"/>
    <w:rsid w:val="47167358"/>
    <w:rsid w:val="471C04B5"/>
    <w:rsid w:val="473F18FF"/>
    <w:rsid w:val="474B715E"/>
    <w:rsid w:val="474D04FA"/>
    <w:rsid w:val="475A7A99"/>
    <w:rsid w:val="47C306A4"/>
    <w:rsid w:val="47E26F01"/>
    <w:rsid w:val="48150DAA"/>
    <w:rsid w:val="48396556"/>
    <w:rsid w:val="484D12E1"/>
    <w:rsid w:val="488F7A50"/>
    <w:rsid w:val="48D1196B"/>
    <w:rsid w:val="48EC0C9F"/>
    <w:rsid w:val="491F19E7"/>
    <w:rsid w:val="492D7CB1"/>
    <w:rsid w:val="493D72D4"/>
    <w:rsid w:val="497335B6"/>
    <w:rsid w:val="498421E6"/>
    <w:rsid w:val="498C1913"/>
    <w:rsid w:val="49C91F9F"/>
    <w:rsid w:val="49FC0D56"/>
    <w:rsid w:val="4A0D5087"/>
    <w:rsid w:val="4A30337B"/>
    <w:rsid w:val="4A35496E"/>
    <w:rsid w:val="4A756577"/>
    <w:rsid w:val="4A8A2BCA"/>
    <w:rsid w:val="4ACB497E"/>
    <w:rsid w:val="4ADA2D7E"/>
    <w:rsid w:val="4AE73F52"/>
    <w:rsid w:val="4AED6400"/>
    <w:rsid w:val="4AF82A2B"/>
    <w:rsid w:val="4B0C4125"/>
    <w:rsid w:val="4B361EF7"/>
    <w:rsid w:val="4B7A6750"/>
    <w:rsid w:val="4B8F1637"/>
    <w:rsid w:val="4BB971CB"/>
    <w:rsid w:val="4BC31F59"/>
    <w:rsid w:val="4C295445"/>
    <w:rsid w:val="4C3F2D1A"/>
    <w:rsid w:val="4C921014"/>
    <w:rsid w:val="4C9C27FE"/>
    <w:rsid w:val="4D261EAC"/>
    <w:rsid w:val="4D3B0136"/>
    <w:rsid w:val="4D985A98"/>
    <w:rsid w:val="4DCF1E53"/>
    <w:rsid w:val="4DD04745"/>
    <w:rsid w:val="4DE01EE2"/>
    <w:rsid w:val="4DF134E6"/>
    <w:rsid w:val="4E024BD5"/>
    <w:rsid w:val="4E035DB6"/>
    <w:rsid w:val="4E391046"/>
    <w:rsid w:val="4E582649"/>
    <w:rsid w:val="4E5B4E10"/>
    <w:rsid w:val="4E89294E"/>
    <w:rsid w:val="4EBD4DE9"/>
    <w:rsid w:val="4F40608B"/>
    <w:rsid w:val="4F887EEA"/>
    <w:rsid w:val="4FED08D3"/>
    <w:rsid w:val="502B3610"/>
    <w:rsid w:val="50342257"/>
    <w:rsid w:val="504858B7"/>
    <w:rsid w:val="507503F9"/>
    <w:rsid w:val="50B50298"/>
    <w:rsid w:val="50B74410"/>
    <w:rsid w:val="50E41D1C"/>
    <w:rsid w:val="512260B4"/>
    <w:rsid w:val="513412F4"/>
    <w:rsid w:val="514A5AAA"/>
    <w:rsid w:val="51883C39"/>
    <w:rsid w:val="51913F89"/>
    <w:rsid w:val="51B13AD6"/>
    <w:rsid w:val="51B23F32"/>
    <w:rsid w:val="51B42C4E"/>
    <w:rsid w:val="51D56CCD"/>
    <w:rsid w:val="52284079"/>
    <w:rsid w:val="52496A5C"/>
    <w:rsid w:val="52571413"/>
    <w:rsid w:val="52661779"/>
    <w:rsid w:val="527A25AF"/>
    <w:rsid w:val="52980817"/>
    <w:rsid w:val="52AD0902"/>
    <w:rsid w:val="52BD6ACB"/>
    <w:rsid w:val="52BE22AC"/>
    <w:rsid w:val="52C05B29"/>
    <w:rsid w:val="52EC5B39"/>
    <w:rsid w:val="53E23979"/>
    <w:rsid w:val="53F41AD8"/>
    <w:rsid w:val="540B27A0"/>
    <w:rsid w:val="54300172"/>
    <w:rsid w:val="544471E8"/>
    <w:rsid w:val="548D63DA"/>
    <w:rsid w:val="5494254C"/>
    <w:rsid w:val="549B75E6"/>
    <w:rsid w:val="54A93852"/>
    <w:rsid w:val="54E83251"/>
    <w:rsid w:val="54F63F7F"/>
    <w:rsid w:val="5519247B"/>
    <w:rsid w:val="552B668A"/>
    <w:rsid w:val="55537534"/>
    <w:rsid w:val="559F6CAD"/>
    <w:rsid w:val="55BA2DAD"/>
    <w:rsid w:val="561A74F1"/>
    <w:rsid w:val="563974A4"/>
    <w:rsid w:val="565031D6"/>
    <w:rsid w:val="5665129B"/>
    <w:rsid w:val="56D81D66"/>
    <w:rsid w:val="56E735B4"/>
    <w:rsid w:val="56F811EF"/>
    <w:rsid w:val="57446901"/>
    <w:rsid w:val="57804714"/>
    <w:rsid w:val="57813C8F"/>
    <w:rsid w:val="57820320"/>
    <w:rsid w:val="578C6571"/>
    <w:rsid w:val="57A97FD1"/>
    <w:rsid w:val="57CF51F0"/>
    <w:rsid w:val="57D462CB"/>
    <w:rsid w:val="57DD5911"/>
    <w:rsid w:val="57E9208D"/>
    <w:rsid w:val="57F22D0A"/>
    <w:rsid w:val="580C084E"/>
    <w:rsid w:val="587A43A6"/>
    <w:rsid w:val="58830ACD"/>
    <w:rsid w:val="588C3143"/>
    <w:rsid w:val="58950615"/>
    <w:rsid w:val="58C17B1C"/>
    <w:rsid w:val="58C8289C"/>
    <w:rsid w:val="590848BA"/>
    <w:rsid w:val="593C3F88"/>
    <w:rsid w:val="597244E8"/>
    <w:rsid w:val="5A0744E9"/>
    <w:rsid w:val="5A0E2C26"/>
    <w:rsid w:val="5A3A535F"/>
    <w:rsid w:val="5A437B74"/>
    <w:rsid w:val="5A455A29"/>
    <w:rsid w:val="5A895DD4"/>
    <w:rsid w:val="5A9E0FB0"/>
    <w:rsid w:val="5AAD6A5D"/>
    <w:rsid w:val="5ABB2B27"/>
    <w:rsid w:val="5AC51BA3"/>
    <w:rsid w:val="5AE26D53"/>
    <w:rsid w:val="5B075172"/>
    <w:rsid w:val="5B14518A"/>
    <w:rsid w:val="5B4B55EA"/>
    <w:rsid w:val="5B527D93"/>
    <w:rsid w:val="5BBB7090"/>
    <w:rsid w:val="5BDC4F67"/>
    <w:rsid w:val="5C147CD5"/>
    <w:rsid w:val="5C2D1D79"/>
    <w:rsid w:val="5C5D2FF0"/>
    <w:rsid w:val="5CF56942"/>
    <w:rsid w:val="5D736B82"/>
    <w:rsid w:val="5D856920"/>
    <w:rsid w:val="5DBC1F50"/>
    <w:rsid w:val="5DC86BAA"/>
    <w:rsid w:val="5DCD70D3"/>
    <w:rsid w:val="5DDA6F12"/>
    <w:rsid w:val="5DDE04DA"/>
    <w:rsid w:val="5E1508B6"/>
    <w:rsid w:val="5E1512EC"/>
    <w:rsid w:val="5E6C3DAF"/>
    <w:rsid w:val="5E6E1A4E"/>
    <w:rsid w:val="5E9B309B"/>
    <w:rsid w:val="5EA7097B"/>
    <w:rsid w:val="5EB71C30"/>
    <w:rsid w:val="5EBF1055"/>
    <w:rsid w:val="5F0955DE"/>
    <w:rsid w:val="5F121556"/>
    <w:rsid w:val="5F1221FD"/>
    <w:rsid w:val="5F201A2A"/>
    <w:rsid w:val="5FB61E6D"/>
    <w:rsid w:val="5FC46449"/>
    <w:rsid w:val="5FCE4E86"/>
    <w:rsid w:val="605204D7"/>
    <w:rsid w:val="608F5AAC"/>
    <w:rsid w:val="6093149F"/>
    <w:rsid w:val="6097622F"/>
    <w:rsid w:val="60B80AB7"/>
    <w:rsid w:val="60D74888"/>
    <w:rsid w:val="61477A23"/>
    <w:rsid w:val="615300CC"/>
    <w:rsid w:val="61812250"/>
    <w:rsid w:val="61926583"/>
    <w:rsid w:val="61BC2747"/>
    <w:rsid w:val="61DB6385"/>
    <w:rsid w:val="61E37E39"/>
    <w:rsid w:val="624F2F20"/>
    <w:rsid w:val="62A43E85"/>
    <w:rsid w:val="62BC5139"/>
    <w:rsid w:val="62CA023A"/>
    <w:rsid w:val="62E83725"/>
    <w:rsid w:val="630E6B1A"/>
    <w:rsid w:val="63365513"/>
    <w:rsid w:val="63391FD5"/>
    <w:rsid w:val="633C0680"/>
    <w:rsid w:val="63403CE3"/>
    <w:rsid w:val="63593925"/>
    <w:rsid w:val="641E2BB3"/>
    <w:rsid w:val="645D46D5"/>
    <w:rsid w:val="645E3B78"/>
    <w:rsid w:val="647E545D"/>
    <w:rsid w:val="65197259"/>
    <w:rsid w:val="6524067A"/>
    <w:rsid w:val="65345437"/>
    <w:rsid w:val="654C2238"/>
    <w:rsid w:val="655C5A83"/>
    <w:rsid w:val="65B314D2"/>
    <w:rsid w:val="65B67FCE"/>
    <w:rsid w:val="65B903B4"/>
    <w:rsid w:val="65DA7246"/>
    <w:rsid w:val="661A5F85"/>
    <w:rsid w:val="668979D7"/>
    <w:rsid w:val="669C60B7"/>
    <w:rsid w:val="66AF0CE5"/>
    <w:rsid w:val="66AF6475"/>
    <w:rsid w:val="66C91BCF"/>
    <w:rsid w:val="66E75D3B"/>
    <w:rsid w:val="66F369DF"/>
    <w:rsid w:val="67103C51"/>
    <w:rsid w:val="67227834"/>
    <w:rsid w:val="67304AAA"/>
    <w:rsid w:val="67457EE3"/>
    <w:rsid w:val="675120C3"/>
    <w:rsid w:val="6770667A"/>
    <w:rsid w:val="67771D48"/>
    <w:rsid w:val="6784002C"/>
    <w:rsid w:val="67CC2DDC"/>
    <w:rsid w:val="682B5FA7"/>
    <w:rsid w:val="684A2A70"/>
    <w:rsid w:val="685F7560"/>
    <w:rsid w:val="686A1B5A"/>
    <w:rsid w:val="686D4100"/>
    <w:rsid w:val="688A5D43"/>
    <w:rsid w:val="6899032B"/>
    <w:rsid w:val="68B23D1C"/>
    <w:rsid w:val="68B85A79"/>
    <w:rsid w:val="6993120B"/>
    <w:rsid w:val="69973605"/>
    <w:rsid w:val="6998456C"/>
    <w:rsid w:val="69BD700D"/>
    <w:rsid w:val="69CF30C7"/>
    <w:rsid w:val="69E86FDF"/>
    <w:rsid w:val="6A105FA2"/>
    <w:rsid w:val="6A1859BD"/>
    <w:rsid w:val="6A18662D"/>
    <w:rsid w:val="6A4F19EB"/>
    <w:rsid w:val="6A9B6ABB"/>
    <w:rsid w:val="6AB72C50"/>
    <w:rsid w:val="6AC537CF"/>
    <w:rsid w:val="6AD07C58"/>
    <w:rsid w:val="6AEF073F"/>
    <w:rsid w:val="6B772E0E"/>
    <w:rsid w:val="6B9A507B"/>
    <w:rsid w:val="6BA90E96"/>
    <w:rsid w:val="6C061C13"/>
    <w:rsid w:val="6C6D554C"/>
    <w:rsid w:val="6CC266BB"/>
    <w:rsid w:val="6CC42474"/>
    <w:rsid w:val="6CCF5A36"/>
    <w:rsid w:val="6CEB6272"/>
    <w:rsid w:val="6D0E1638"/>
    <w:rsid w:val="6D3812A0"/>
    <w:rsid w:val="6D587CDF"/>
    <w:rsid w:val="6D656433"/>
    <w:rsid w:val="6D7636FD"/>
    <w:rsid w:val="6D785CC6"/>
    <w:rsid w:val="6DD6696C"/>
    <w:rsid w:val="6E5B14A6"/>
    <w:rsid w:val="6E785A6F"/>
    <w:rsid w:val="6E7D2BC3"/>
    <w:rsid w:val="6E7F7C22"/>
    <w:rsid w:val="6EC16F54"/>
    <w:rsid w:val="6EFB4440"/>
    <w:rsid w:val="6F0842C0"/>
    <w:rsid w:val="6F79775A"/>
    <w:rsid w:val="6F7A6CD9"/>
    <w:rsid w:val="6FB204DE"/>
    <w:rsid w:val="6FE05742"/>
    <w:rsid w:val="6FF63950"/>
    <w:rsid w:val="6FFF2D14"/>
    <w:rsid w:val="701A57D2"/>
    <w:rsid w:val="702B683F"/>
    <w:rsid w:val="70472015"/>
    <w:rsid w:val="70C85AE8"/>
    <w:rsid w:val="70E561CD"/>
    <w:rsid w:val="70F24C50"/>
    <w:rsid w:val="7111322C"/>
    <w:rsid w:val="711B255E"/>
    <w:rsid w:val="713804D8"/>
    <w:rsid w:val="714F2B08"/>
    <w:rsid w:val="715551B2"/>
    <w:rsid w:val="716B13F9"/>
    <w:rsid w:val="716C2758"/>
    <w:rsid w:val="718A0D20"/>
    <w:rsid w:val="719F2EDD"/>
    <w:rsid w:val="71BE3B72"/>
    <w:rsid w:val="721D39FE"/>
    <w:rsid w:val="72451AA6"/>
    <w:rsid w:val="72451C4A"/>
    <w:rsid w:val="727F4E4A"/>
    <w:rsid w:val="728554FF"/>
    <w:rsid w:val="72887940"/>
    <w:rsid w:val="72C0116B"/>
    <w:rsid w:val="72D05898"/>
    <w:rsid w:val="72D2169B"/>
    <w:rsid w:val="73033D3F"/>
    <w:rsid w:val="730D4937"/>
    <w:rsid w:val="733E15A0"/>
    <w:rsid w:val="734832FD"/>
    <w:rsid w:val="73866B03"/>
    <w:rsid w:val="73BE39C7"/>
    <w:rsid w:val="73DC4FD4"/>
    <w:rsid w:val="73EC771E"/>
    <w:rsid w:val="73F465F6"/>
    <w:rsid w:val="73F9433B"/>
    <w:rsid w:val="74201430"/>
    <w:rsid w:val="743A3ABA"/>
    <w:rsid w:val="7446757C"/>
    <w:rsid w:val="7477545C"/>
    <w:rsid w:val="74C56C9B"/>
    <w:rsid w:val="75030AD6"/>
    <w:rsid w:val="75777138"/>
    <w:rsid w:val="758D08D6"/>
    <w:rsid w:val="75900408"/>
    <w:rsid w:val="75DB32CF"/>
    <w:rsid w:val="761C20AC"/>
    <w:rsid w:val="7634632C"/>
    <w:rsid w:val="76400939"/>
    <w:rsid w:val="768D2697"/>
    <w:rsid w:val="769D0724"/>
    <w:rsid w:val="76C954DC"/>
    <w:rsid w:val="76E2012B"/>
    <w:rsid w:val="770F7C43"/>
    <w:rsid w:val="77365207"/>
    <w:rsid w:val="773A6738"/>
    <w:rsid w:val="774C0F6C"/>
    <w:rsid w:val="77712FD2"/>
    <w:rsid w:val="777501B3"/>
    <w:rsid w:val="779C4CC8"/>
    <w:rsid w:val="77AB24D9"/>
    <w:rsid w:val="77BB446A"/>
    <w:rsid w:val="780B01E2"/>
    <w:rsid w:val="78107CE5"/>
    <w:rsid w:val="782C0553"/>
    <w:rsid w:val="784C7B8F"/>
    <w:rsid w:val="785F4C04"/>
    <w:rsid w:val="785F72C6"/>
    <w:rsid w:val="78746C26"/>
    <w:rsid w:val="78AA7F42"/>
    <w:rsid w:val="78EA0E55"/>
    <w:rsid w:val="78F32172"/>
    <w:rsid w:val="79A24A44"/>
    <w:rsid w:val="79BE7026"/>
    <w:rsid w:val="79DA29D2"/>
    <w:rsid w:val="79EC0AFD"/>
    <w:rsid w:val="7A096E25"/>
    <w:rsid w:val="7A0E6FF2"/>
    <w:rsid w:val="7A1916E2"/>
    <w:rsid w:val="7A34748A"/>
    <w:rsid w:val="7A3B53A4"/>
    <w:rsid w:val="7A412C61"/>
    <w:rsid w:val="7A42295B"/>
    <w:rsid w:val="7A546F77"/>
    <w:rsid w:val="7A704FB9"/>
    <w:rsid w:val="7AA001BD"/>
    <w:rsid w:val="7AA73EBB"/>
    <w:rsid w:val="7AB23913"/>
    <w:rsid w:val="7AC269F5"/>
    <w:rsid w:val="7AF17DB8"/>
    <w:rsid w:val="7AFD57E5"/>
    <w:rsid w:val="7B130EDF"/>
    <w:rsid w:val="7B182A7F"/>
    <w:rsid w:val="7B367D16"/>
    <w:rsid w:val="7B3F02F7"/>
    <w:rsid w:val="7B542854"/>
    <w:rsid w:val="7B713AB0"/>
    <w:rsid w:val="7B746C38"/>
    <w:rsid w:val="7B91280C"/>
    <w:rsid w:val="7BB51E06"/>
    <w:rsid w:val="7BE60D57"/>
    <w:rsid w:val="7C387F7C"/>
    <w:rsid w:val="7C3B67FC"/>
    <w:rsid w:val="7C8B00DC"/>
    <w:rsid w:val="7C8D30DE"/>
    <w:rsid w:val="7C907F53"/>
    <w:rsid w:val="7C933307"/>
    <w:rsid w:val="7CA900D6"/>
    <w:rsid w:val="7CF9787D"/>
    <w:rsid w:val="7CFA40D8"/>
    <w:rsid w:val="7D02114F"/>
    <w:rsid w:val="7D555165"/>
    <w:rsid w:val="7D5A418A"/>
    <w:rsid w:val="7D5E12A5"/>
    <w:rsid w:val="7D5F45EE"/>
    <w:rsid w:val="7D737187"/>
    <w:rsid w:val="7D892BC8"/>
    <w:rsid w:val="7DA55C93"/>
    <w:rsid w:val="7DAD2BFF"/>
    <w:rsid w:val="7DB861ED"/>
    <w:rsid w:val="7DC47C46"/>
    <w:rsid w:val="7DE32CA4"/>
    <w:rsid w:val="7DFF1F3E"/>
    <w:rsid w:val="7E107A69"/>
    <w:rsid w:val="7E2078F0"/>
    <w:rsid w:val="7E290672"/>
    <w:rsid w:val="7E3C4B8C"/>
    <w:rsid w:val="7E471B73"/>
    <w:rsid w:val="7E721D6A"/>
    <w:rsid w:val="7E7F49D8"/>
    <w:rsid w:val="7EAB7439"/>
    <w:rsid w:val="7EBB138C"/>
    <w:rsid w:val="7EE232ED"/>
    <w:rsid w:val="7F135DB6"/>
    <w:rsid w:val="7F144089"/>
    <w:rsid w:val="7F174EF0"/>
    <w:rsid w:val="7F2903B1"/>
    <w:rsid w:val="7F310A38"/>
    <w:rsid w:val="7F33705A"/>
    <w:rsid w:val="7F805BEC"/>
    <w:rsid w:val="7FE01204"/>
    <w:rsid w:val="7FE21EB9"/>
    <w:rsid w:val="7FE834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2"/>
    <w:basedOn w:val="1"/>
    <w:next w:val="1"/>
    <w:qFormat/>
    <w:uiPriority w:val="0"/>
    <w:pPr>
      <w:keepNext/>
      <w:keepLines/>
      <w:spacing w:before="260" w:after="260" w:line="415" w:lineRule="auto"/>
      <w:outlineLvl w:val="1"/>
    </w:pPr>
    <w:rPr>
      <w:rFonts w:ascii="Arial" w:hAnsi="Arial" w:eastAsia="黑体" w:cs="Times New Roman"/>
      <w:b/>
      <w:bCs/>
      <w:sz w:val="32"/>
      <w:szCs w:val="32"/>
    </w:rPr>
  </w:style>
  <w:style w:type="character" w:default="1" w:styleId="14">
    <w:name w:val="Default Paragraph Font"/>
    <w:semiHidden/>
    <w:unhideWhenUsed/>
    <w:qFormat/>
    <w:uiPriority w:val="1"/>
  </w:style>
  <w:style w:type="table" w:default="1" w:styleId="13">
    <w:name w:val="Normal Table"/>
    <w:semiHidden/>
    <w:unhideWhenUsed/>
    <w:qFormat/>
    <w:uiPriority w:val="99"/>
    <w:tblPr>
      <w:tblLayout w:type="fixed"/>
      <w:tblCellMar>
        <w:top w:w="0" w:type="dxa"/>
        <w:left w:w="108" w:type="dxa"/>
        <w:bottom w:w="0" w:type="dxa"/>
        <w:right w:w="108" w:type="dxa"/>
      </w:tblCellMar>
    </w:tblPr>
  </w:style>
  <w:style w:type="paragraph" w:styleId="2">
    <w:name w:val="Block Text"/>
    <w:basedOn w:val="1"/>
    <w:qFormat/>
    <w:uiPriority w:val="0"/>
    <w:pPr>
      <w:spacing w:after="120"/>
      <w:ind w:left="700" w:leftChars="700" w:right="700" w:rightChars="700"/>
    </w:pPr>
  </w:style>
  <w:style w:type="paragraph" w:styleId="4">
    <w:name w:val="annotation text"/>
    <w:basedOn w:val="1"/>
    <w:link w:val="18"/>
    <w:qFormat/>
    <w:uiPriority w:val="0"/>
    <w:pPr>
      <w:jc w:val="left"/>
    </w:pPr>
  </w:style>
  <w:style w:type="paragraph" w:styleId="5">
    <w:name w:val="Body Text"/>
    <w:basedOn w:val="1"/>
    <w:qFormat/>
    <w:uiPriority w:val="0"/>
    <w:rPr>
      <w:rFonts w:eastAsia="仿宋_GB2312"/>
      <w:sz w:val="24"/>
      <w:szCs w:val="20"/>
    </w:rPr>
  </w:style>
  <w:style w:type="paragraph" w:styleId="6">
    <w:name w:val="Body Text Indent"/>
    <w:basedOn w:val="1"/>
    <w:next w:val="7"/>
    <w:qFormat/>
    <w:uiPriority w:val="0"/>
    <w:pPr>
      <w:spacing w:after="120"/>
      <w:ind w:left="420" w:leftChars="200"/>
    </w:pPr>
  </w:style>
  <w:style w:type="paragraph" w:styleId="7">
    <w:name w:val="Subtitle"/>
    <w:basedOn w:val="1"/>
    <w:next w:val="1"/>
    <w:qFormat/>
    <w:uiPriority w:val="0"/>
    <w:pPr>
      <w:spacing w:line="700" w:lineRule="exact"/>
      <w:jc w:val="center"/>
      <w:outlineLvl w:val="1"/>
    </w:pPr>
    <w:rPr>
      <w:rFonts w:ascii="Arial" w:hAnsi="Arial" w:eastAsia="方正小标宋简体" w:cs="Arial"/>
      <w:b/>
      <w:bCs/>
      <w:kern w:val="28"/>
      <w:sz w:val="44"/>
      <w:szCs w:val="44"/>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10">
    <w:name w:val="footnote text"/>
    <w:basedOn w:val="1"/>
    <w:unhideWhenUsed/>
    <w:qFormat/>
    <w:uiPriority w:val="0"/>
    <w:pPr>
      <w:snapToGrid w:val="0"/>
      <w:jc w:val="left"/>
    </w:pPr>
    <w:rPr>
      <w:sz w:val="18"/>
    </w:rPr>
  </w:style>
  <w:style w:type="paragraph" w:styleId="11">
    <w:name w:val="annotation subject"/>
    <w:basedOn w:val="4"/>
    <w:next w:val="4"/>
    <w:link w:val="19"/>
    <w:qFormat/>
    <w:uiPriority w:val="0"/>
    <w:rPr>
      <w:b/>
      <w:bCs/>
    </w:rPr>
  </w:style>
  <w:style w:type="paragraph" w:styleId="12">
    <w:name w:val="Body Text First Indent 2"/>
    <w:basedOn w:val="6"/>
    <w:unhideWhenUsed/>
    <w:qFormat/>
    <w:uiPriority w:val="99"/>
    <w:pPr>
      <w:ind w:firstLine="420" w:firstLineChars="200"/>
    </w:pPr>
  </w:style>
  <w:style w:type="character" w:styleId="15">
    <w:name w:val="annotation reference"/>
    <w:basedOn w:val="14"/>
    <w:qFormat/>
    <w:uiPriority w:val="0"/>
    <w:rPr>
      <w:sz w:val="21"/>
      <w:szCs w:val="21"/>
    </w:rPr>
  </w:style>
  <w:style w:type="character" w:styleId="16">
    <w:name w:val="footnote reference"/>
    <w:unhideWhenUsed/>
    <w:qFormat/>
    <w:uiPriority w:val="0"/>
    <w:rPr>
      <w:vertAlign w:val="superscript"/>
    </w:rPr>
  </w:style>
  <w:style w:type="paragraph" w:customStyle="1" w:styleId="17">
    <w:name w:val="纯文本1"/>
    <w:basedOn w:val="1"/>
    <w:qFormat/>
    <w:uiPriority w:val="0"/>
    <w:rPr>
      <w:rFonts w:ascii="宋体" w:hAnsi="Courier New" w:cs="Courier New"/>
      <w:szCs w:val="21"/>
    </w:rPr>
  </w:style>
  <w:style w:type="character" w:customStyle="1" w:styleId="18">
    <w:name w:val="批注文字 字符"/>
    <w:basedOn w:val="14"/>
    <w:link w:val="4"/>
    <w:qFormat/>
    <w:uiPriority w:val="0"/>
    <w:rPr>
      <w:rFonts w:ascii="Calibri" w:hAnsi="Calibri" w:cs="黑体"/>
      <w:kern w:val="2"/>
      <w:sz w:val="21"/>
      <w:szCs w:val="22"/>
    </w:rPr>
  </w:style>
  <w:style w:type="character" w:customStyle="1" w:styleId="19">
    <w:name w:val="批注主题 字符"/>
    <w:basedOn w:val="18"/>
    <w:link w:val="11"/>
    <w:qFormat/>
    <w:uiPriority w:val="0"/>
    <w:rPr>
      <w:rFonts w:ascii="Calibri" w:hAnsi="Calibri" w:cs="黑体"/>
      <w:b/>
      <w:bCs/>
      <w:kern w:val="2"/>
      <w:sz w:val="21"/>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1107BB3-37F7-4203-965C-90C38B0730A7}">
  <ds:schemaRefs/>
</ds:datastoreItem>
</file>

<file path=docProps/app.xml><?xml version="1.0" encoding="utf-8"?>
<Properties xmlns="http://schemas.openxmlformats.org/officeDocument/2006/extended-properties" xmlns:vt="http://schemas.openxmlformats.org/officeDocument/2006/docPropsVTypes">
  <Template>Normal</Template>
  <Pages>14</Pages>
  <Words>1453</Words>
  <Characters>8288</Characters>
  <Lines>69</Lines>
  <Paragraphs>19</Paragraphs>
  <TotalTime>23</TotalTime>
  <ScaleCrop>false</ScaleCrop>
  <LinksUpToDate>false</LinksUpToDate>
  <CharactersWithSpaces>9722</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cj</cp:lastModifiedBy>
  <cp:lastPrinted>2022-01-19T07:24:00Z</cp:lastPrinted>
  <dcterms:modified xsi:type="dcterms:W3CDTF">2022-03-30T08:41:08Z</dcterms:modified>
  <dc:title>附件3：</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A7A33BD5FA024B2A89C0DD8682D93848</vt:lpwstr>
  </property>
</Properties>
</file>