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60" w:lineRule="exact"/>
        <w:jc w:val="center"/>
        <w:rPr>
          <w:rFonts w:hint="eastAsia" w:ascii="宋体" w:hAnsi="宋体" w:cs="宋体"/>
          <w:b/>
          <w:bCs/>
          <w:kern w:val="0"/>
          <w:sz w:val="44"/>
          <w:szCs w:val="44"/>
        </w:rPr>
      </w:pPr>
    </w:p>
    <w:p>
      <w:pPr>
        <w:snapToGrid w:val="0"/>
        <w:spacing w:line="560" w:lineRule="exact"/>
        <w:jc w:val="center"/>
        <w:rPr>
          <w:rFonts w:ascii="宋体" w:hAnsi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石家庄人民会堂</w:t>
      </w:r>
    </w:p>
    <w:p>
      <w:pPr>
        <w:snapToGrid w:val="0"/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20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20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年度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重点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项目绩效</w:t>
      </w:r>
      <w:r>
        <w:rPr>
          <w:rFonts w:hint="eastAsia" w:ascii="宋体" w:hAnsi="宋体" w:cs="宋体"/>
          <w:b/>
          <w:bCs/>
          <w:sz w:val="44"/>
          <w:szCs w:val="44"/>
        </w:rPr>
        <w:t>评价报告</w:t>
      </w:r>
    </w:p>
    <w:p>
      <w:pPr>
        <w:adjustRightInd w:val="0"/>
        <w:snapToGrid w:val="0"/>
        <w:spacing w:beforeLines="50"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根据《石家庄市财政支出绩效评价办法》（石财绩[2013]2号），遵循“科学性、规范性、客观性和公正性”的原则，对石家庄人民会堂升级改造项目实施了财政支出绩效自评价，形成本评价报告。</w:t>
      </w:r>
    </w:p>
    <w:p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一、项目基本情况</w:t>
      </w:r>
    </w:p>
    <w:p>
      <w:pPr>
        <w:snapToGrid w:val="0"/>
        <w:spacing w:line="560" w:lineRule="exact"/>
        <w:ind w:firstLine="643" w:firstLineChars="200"/>
        <w:rPr>
          <w:rFonts w:ascii="楷体_GB2312" w:hAnsi="黑体" w:eastAsia="楷体_GB2312" w:cs="黑体"/>
          <w:b/>
          <w:sz w:val="32"/>
          <w:szCs w:val="32"/>
        </w:rPr>
      </w:pPr>
      <w:r>
        <w:rPr>
          <w:rFonts w:hint="eastAsia" w:ascii="楷体_GB2312" w:hAnsi="黑体" w:eastAsia="楷体_GB2312" w:cs="黑体"/>
          <w:b/>
          <w:sz w:val="32"/>
          <w:szCs w:val="32"/>
        </w:rPr>
        <w:t>（一）项目情况</w:t>
      </w:r>
    </w:p>
    <w:p>
      <w:pPr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石家庄人民会堂升级改造项目是2018年立项，2018、2019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2020三</w:t>
      </w:r>
      <w:r>
        <w:rPr>
          <w:rFonts w:hint="eastAsia" w:ascii="仿宋_GB2312" w:eastAsia="仿宋_GB2312"/>
          <w:sz w:val="32"/>
          <w:szCs w:val="32"/>
        </w:rPr>
        <w:t>个年度实施的。项目包括中央空调系统、消防系统、电气系统的维修改造。市财政专项补助资金总预算4502万元，其中2018年度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2714</w:t>
      </w:r>
      <w:r>
        <w:rPr>
          <w:rFonts w:hint="eastAsia" w:ascii="仿宋_GB2312" w:eastAsia="仿宋_GB2312"/>
          <w:sz w:val="32"/>
          <w:szCs w:val="32"/>
        </w:rPr>
        <w:t>万元，2019年度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1179</w:t>
      </w:r>
      <w:r>
        <w:rPr>
          <w:rFonts w:hint="eastAsia" w:ascii="仿宋_GB2312" w:eastAsia="仿宋_GB2312"/>
          <w:sz w:val="32"/>
          <w:szCs w:val="32"/>
        </w:rPr>
        <w:t>万元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2020年度609万元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2018年，人民会堂按照年度项目预期绩效目标精心组织，完成了当年升级改造项目的阶段性施工任务。2019年实施了三大系统升级改造项目的剩余工程，包括中央空调配电设备改造、消防报警系统维修调试、大礼堂舞台机械控制系统改造、大礼堂舞台木地板更新、货梯更新等。</w:t>
      </w:r>
    </w:p>
    <w:p>
      <w:pPr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</w:t>
      </w:r>
      <w:r>
        <w:rPr>
          <w:rFonts w:hint="eastAsia" w:ascii="仿宋_GB2312" w:eastAsia="仿宋_GB2312"/>
          <w:sz w:val="32"/>
          <w:szCs w:val="32"/>
        </w:rPr>
        <w:t>年项目资金投入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609</w:t>
      </w:r>
      <w:r>
        <w:rPr>
          <w:rFonts w:hint="eastAsia" w:ascii="仿宋_GB2312" w:eastAsia="仿宋_GB2312"/>
          <w:sz w:val="32"/>
          <w:szCs w:val="32"/>
        </w:rPr>
        <w:t>万元，资金来源为</w:t>
      </w:r>
      <w:r>
        <w:rPr>
          <w:rFonts w:hint="eastAsia" w:ascii="仿宋_GB2312" w:eastAsia="仿宋_GB2312"/>
          <w:sz w:val="32"/>
          <w:szCs w:val="32"/>
          <w:lang w:eastAsia="zh-CN"/>
        </w:rPr>
        <w:t>一般财政拨款支出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snapToGrid w:val="0"/>
        <w:spacing w:line="560" w:lineRule="exact"/>
        <w:ind w:firstLine="643" w:firstLineChars="200"/>
        <w:rPr>
          <w:rFonts w:ascii="楷体_GB2312" w:hAnsi="黑体" w:eastAsia="楷体_GB2312" w:cs="黑体"/>
          <w:b/>
          <w:sz w:val="32"/>
          <w:szCs w:val="32"/>
        </w:rPr>
      </w:pPr>
      <w:r>
        <w:rPr>
          <w:rFonts w:hint="eastAsia" w:ascii="楷体_GB2312" w:hAnsi="黑体" w:eastAsia="楷体_GB2312" w:cs="黑体"/>
          <w:b/>
          <w:sz w:val="32"/>
          <w:szCs w:val="32"/>
        </w:rPr>
        <w:t>（二）项目预期绩效目标</w:t>
      </w:r>
    </w:p>
    <w:p>
      <w:pPr>
        <w:snapToGrid w:val="0"/>
        <w:spacing w:line="560" w:lineRule="exact"/>
        <w:ind w:firstLine="640" w:firstLineChars="200"/>
        <w:rPr>
          <w:rFonts w:ascii="楷体_GB2312" w:hAnsi="黑体" w:eastAsia="楷体_GB2312" w:cs="黑体"/>
          <w:b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为适应我市建设“现代省会、经济强市”的发展目标，提升人民会堂作为“全市政治活动中心、文明形象窗口、职工和社会公众文化乐园”的服务功能，以建设形象优良、服务精良的一流会堂为项目总体目标，坚持社会效益、经济效益、生态效益兼顾的原则，全面完成石家庄人民会堂升级改造项目。达到安全运行、优化功能、提升形象、节能环保，提高人民会堂的经营能力和服务水平的预期绩效目标。</w:t>
      </w:r>
    </w:p>
    <w:p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</w:t>
      </w:r>
      <w:r>
        <w:rPr>
          <w:rFonts w:hint="eastAsia" w:ascii="黑体" w:hAnsi="黑体" w:eastAsia="黑体" w:cs="黑体"/>
          <w:sz w:val="32"/>
          <w:szCs w:val="32"/>
        </w:rPr>
        <w:t>工作情况</w:t>
      </w:r>
    </w:p>
    <w:p>
      <w:pPr>
        <w:snapToGrid w:val="0"/>
        <w:spacing w:line="560" w:lineRule="exact"/>
        <w:ind w:firstLine="643" w:firstLineChars="200"/>
        <w:rPr>
          <w:rFonts w:ascii="楷体_GB2312" w:hAnsi="楷体_GB2312" w:eastAsia="楷体_GB2312" w:cs="楷体_GB2312"/>
          <w:b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sz w:val="32"/>
          <w:szCs w:val="32"/>
        </w:rPr>
        <w:t>（一）</w:t>
      </w:r>
      <w:r>
        <w:rPr>
          <w:rFonts w:hint="eastAsia" w:ascii="楷体_GB2312" w:hAnsi="楷体_GB2312" w:eastAsia="楷体_GB2312" w:cs="楷体_GB2312"/>
          <w:b/>
          <w:sz w:val="32"/>
          <w:szCs w:val="32"/>
          <w:lang w:eastAsia="zh-CN"/>
        </w:rPr>
        <w:t>自评</w:t>
      </w:r>
      <w:r>
        <w:rPr>
          <w:rFonts w:hint="eastAsia" w:ascii="楷体_GB2312" w:hAnsi="楷体_GB2312" w:eastAsia="楷体_GB2312" w:cs="楷体_GB2312"/>
          <w:b/>
          <w:sz w:val="32"/>
          <w:szCs w:val="32"/>
        </w:rPr>
        <w:t>的组织工作</w:t>
      </w:r>
    </w:p>
    <w:p>
      <w:pPr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项目完成后，按照市财政局项目绩效自评的要求，成立了20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</w:t>
      </w:r>
      <w:r>
        <w:rPr>
          <w:rFonts w:hint="eastAsia" w:ascii="仿宋_GB2312" w:eastAsia="仿宋_GB2312"/>
          <w:sz w:val="32"/>
          <w:szCs w:val="32"/>
        </w:rPr>
        <w:t>年度升级改造项目自评工作小组，人民会堂副主任梁志洪任组长，办公室、财务处、会展接待服务中心、动力维修处、安全保卫处、档案资料室等项目相关部门负责人和党办、纪检工作负责人为小组成员，按照通知要求，开展了项目绩效资料收集和全面自评工作。</w:t>
      </w:r>
    </w:p>
    <w:p>
      <w:pPr>
        <w:snapToGrid w:val="0"/>
        <w:spacing w:line="560" w:lineRule="exact"/>
        <w:ind w:firstLine="643" w:firstLineChars="200"/>
        <w:rPr>
          <w:rFonts w:ascii="楷体_GB2312" w:hAnsi="楷体_GB2312" w:eastAsia="楷体_GB2312" w:cs="楷体_GB2312"/>
          <w:b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sz w:val="32"/>
          <w:szCs w:val="32"/>
        </w:rPr>
        <w:t>（二）</w:t>
      </w:r>
      <w:r>
        <w:rPr>
          <w:rFonts w:hint="eastAsia" w:ascii="楷体_GB2312" w:hAnsi="楷体_GB2312" w:eastAsia="楷体_GB2312" w:cs="楷体_GB2312"/>
          <w:b/>
          <w:sz w:val="32"/>
          <w:szCs w:val="32"/>
          <w:lang w:eastAsia="zh-CN"/>
        </w:rPr>
        <w:t>自评</w:t>
      </w:r>
      <w:r>
        <w:rPr>
          <w:rFonts w:hint="eastAsia" w:ascii="楷体_GB2312" w:hAnsi="楷体_GB2312" w:eastAsia="楷体_GB2312" w:cs="楷体_GB2312"/>
          <w:b/>
          <w:sz w:val="32"/>
          <w:szCs w:val="32"/>
        </w:rPr>
        <w:t>的方法和过程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 自评工作小组成立后，首先认真学习了市财政局关于专项资金绩效评价的文件精神，明确自评的目的、内容和要求。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 根据自评需要，学习了国家有关工程项目实施和资金使用规范的法律法规，《石家庄人民会堂内控工作手册》相关管理制度，为绩效评价提供法律政策和制度依据。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查阅了人民会堂项目实施工程形成的文件资料，包括；人民会堂向上级呈报有关项目的请示、申请、报告和上级有关项目的指示、通知和批复文件；项目实施期间的会议记录、会议纪要、招投标文书、合同书、验收报告、财务报表、审计报告等。为绩效评价提供了充分的评价依据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4. </w:t>
      </w:r>
      <w:r>
        <w:rPr>
          <w:rFonts w:hint="eastAsia" w:ascii="仿宋_GB2312" w:eastAsia="仿宋_GB2312"/>
          <w:sz w:val="32"/>
          <w:szCs w:val="32"/>
        </w:rPr>
        <w:t>依据法律政策制度和项目实施过程的资料信息，从项目程序、工程质量、工期进度、资金控制四个方面进行据实绩效评价。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项目程序评价：依据相关法律、政策和制度，对照项目实施流程，评价项目申报和实施流程是否合规。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工程质量评价：依据各项工程竣工验收报告、投入使用后功效情况进行工程质量评价。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工期进度评价：根据工程实施方案的工期限定、各项工程分阶段工期和分项进度控制节点进行工期进度评价。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资金控制评价：依据分项预算批复、概算评审、标底评审、决算评审、付款日期和金额等，对资金控制使用情况进行评价。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会堂工程绩效自评小组在全面收集工程文件、信息、数据资料的基础上，按照市财政局关于财政专项资金绩效自评价的内容和要求，分工进行逐项对照、分析和自评价；经过集体讨论、认真评判，形成自评报告初稿，报经会堂领导班子审定后，最终形成《石家庄人民会堂升级改造项目绩效自评报告》。</w:t>
      </w:r>
    </w:p>
    <w:p>
      <w:pPr>
        <w:spacing w:line="560" w:lineRule="exact"/>
        <w:rPr>
          <w:rFonts w:ascii="楷体_GB2312" w:hAnsi="楷体_GB2312" w:eastAsia="楷体_GB2312" w:cs="楷体_GB2312"/>
          <w:b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b/>
          <w:sz w:val="32"/>
          <w:szCs w:val="32"/>
        </w:rPr>
        <w:t>（三）建立绩效评价指标体系</w:t>
      </w:r>
    </w:p>
    <w:p>
      <w:pPr>
        <w:spacing w:line="56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根据财政专项资金绩效自评工作要求和人民会堂升级改造项目特点，建立了绩效评价指标体系。评价指标总分设定为100分。</w:t>
      </w:r>
    </w:p>
    <w:p>
      <w:pPr>
        <w:spacing w:line="560" w:lineRule="exact"/>
        <w:ind w:firstLine="645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一级指标包括：</w:t>
      </w:r>
    </w:p>
    <w:p>
      <w:pPr>
        <w:spacing w:line="56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产出指标——评价项目整体和各分项的完成度是否达到预期目标。该指标权重设置为40分。</w:t>
      </w:r>
    </w:p>
    <w:p>
      <w:pPr>
        <w:spacing w:line="56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预算执行率指标——评价项目实施结果同项目预算符合或偏离的程度。该指标权重设置为10分。</w:t>
      </w:r>
    </w:p>
    <w:p>
      <w:pPr>
        <w:spacing w:line="56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效益指标——从经济效益、社会效益、可持续影响等方面评价项目实施结果是否达到了预期效益目标。该指标权重设置为40分。</w:t>
      </w:r>
    </w:p>
    <w:p>
      <w:pPr>
        <w:spacing w:line="56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满意度指标——从项目实施者、使用者、受益者不同角度对项目的贬誉值，评价项目的满意度。该指标权重设置为10分。</w:t>
      </w:r>
    </w:p>
    <w:p>
      <w:pPr>
        <w:spacing w:line="56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二级指标包括</w:t>
      </w:r>
      <w:r>
        <w:rPr>
          <w:rFonts w:hint="eastAsia" w:ascii="仿宋_GB2312" w:eastAsia="仿宋_GB2312"/>
          <w:sz w:val="32"/>
          <w:szCs w:val="32"/>
        </w:rPr>
        <w:t>：</w:t>
      </w:r>
    </w:p>
    <w:p>
      <w:pPr>
        <w:spacing w:line="56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数量指标——以可量化数据评价项目整体完成度。该指标设置为15分。</w:t>
      </w:r>
    </w:p>
    <w:p>
      <w:pPr>
        <w:spacing w:line="56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质量指标——以项目工程验收评定结果评价项目质量。该指标设置为15分。</w:t>
      </w:r>
    </w:p>
    <w:p>
      <w:pPr>
        <w:spacing w:line="56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实效指标——以分项工程进度实现情况评价项目实效。该指标设置为10分。</w:t>
      </w:r>
    </w:p>
    <w:p>
      <w:pPr>
        <w:spacing w:line="56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预算执行率指标——以预算资金使用率评价预算执行率。该指标设置为10分。</w:t>
      </w:r>
    </w:p>
    <w:p>
      <w:pPr>
        <w:spacing w:line="56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经济效益指标——以项目实施后功效提升是否达到预期目标评价经济效益。该指标设置为15分。</w:t>
      </w:r>
    </w:p>
    <w:p>
      <w:pPr>
        <w:spacing w:line="56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社会效益指标——以项目实施后设施的安全性是否达到目标值评价社会效益。该指标设置为15分。</w:t>
      </w:r>
    </w:p>
    <w:p>
      <w:pPr>
        <w:spacing w:line="56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可持续影响指标——以项目实施后设施综合利用率是否达到预期目标进行评价。该指标设置为10分。</w:t>
      </w:r>
    </w:p>
    <w:p>
      <w:pPr>
        <w:spacing w:line="56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满意度指标——从项目实施者、使用者、受益者不同角度对项目的贬誉值，评价项目的满意度。该指标设置为10分。</w:t>
      </w:r>
    </w:p>
    <w:p>
      <w:pPr>
        <w:spacing w:line="56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三级指标：</w:t>
      </w:r>
    </w:p>
    <w:p>
      <w:pPr>
        <w:spacing w:line="560" w:lineRule="exact"/>
        <w:ind w:firstLine="645"/>
        <w:rPr>
          <w:rFonts w:ascii="楷体_GB2312" w:hAnsi="楷体_GB2312" w:eastAsia="楷体_GB2312" w:cs="楷体_GB2312"/>
          <w:b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设置与二级指标相对应的评价值，包括工程完工率指标、工程验收合格率指标、工程完成及时率指标、预算资金使用率指标、功效提升指标、安全性指标、设施综合利用率指标、服务对象满意率指标。</w:t>
      </w:r>
    </w:p>
    <w:p>
      <w:pPr>
        <w:spacing w:line="560" w:lineRule="exact"/>
        <w:rPr>
          <w:rFonts w:ascii="楷体_GB2312" w:hAnsi="楷体_GB2312" w:eastAsia="楷体_GB2312" w:cs="楷体_GB2312"/>
          <w:b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sz w:val="32"/>
          <w:szCs w:val="32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以上述指标体系对项目执行及绩效实现情况进行全面评价计分。</w:t>
      </w:r>
    </w:p>
    <w:p>
      <w:pPr>
        <w:spacing w:line="560" w:lineRule="exact"/>
        <w:ind w:firstLine="640" w:firstLineChars="200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numPr>
          <w:ilvl w:val="0"/>
          <w:numId w:val="1"/>
        </w:numPr>
        <w:spacing w:line="56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预算执行情况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</w:t>
      </w:r>
      <w:r>
        <w:rPr>
          <w:rFonts w:hint="eastAsia" w:ascii="仿宋_GB2312" w:eastAsia="仿宋_GB2312"/>
          <w:sz w:val="32"/>
          <w:szCs w:val="32"/>
        </w:rPr>
        <w:t>年项目预算安排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609</w:t>
      </w:r>
      <w:r>
        <w:rPr>
          <w:rFonts w:hint="eastAsia" w:ascii="仿宋_GB2312" w:eastAsia="仿宋_GB2312"/>
          <w:sz w:val="32"/>
          <w:szCs w:val="32"/>
        </w:rPr>
        <w:t>万元，资金使用结果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408.49</w:t>
      </w:r>
      <w:r>
        <w:rPr>
          <w:rFonts w:hint="eastAsia" w:ascii="仿宋_GB2312" w:eastAsia="仿宋_GB2312"/>
          <w:sz w:val="32"/>
          <w:szCs w:val="32"/>
        </w:rPr>
        <w:t>万元，预算资金使用率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67.08</w:t>
      </w:r>
      <w:r>
        <w:rPr>
          <w:rFonts w:hint="eastAsia" w:ascii="仿宋_GB2312" w:eastAsia="仿宋_GB2312"/>
          <w:sz w:val="32"/>
          <w:szCs w:val="32"/>
        </w:rPr>
        <w:t>%。预算执行情况项分值为10分，按照评分标准实得分值为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60" w:lineRule="exact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（二）项目产出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该项指标包括：数量指标—工程完工率，质量指标—工程验收合格率、实效指标—工程完成及时率。该项指标设置分值合计为40分，根据指标体系评分标准计算实得分值如下：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工程完工率指标：20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</w:t>
      </w:r>
      <w:r>
        <w:rPr>
          <w:rFonts w:hint="eastAsia" w:ascii="仿宋_GB2312" w:eastAsia="仿宋_GB2312"/>
          <w:sz w:val="32"/>
          <w:szCs w:val="32"/>
        </w:rPr>
        <w:t>年度实施的中央空调配电设备改造、消防报警系统维修调试、大礼堂舞台机械控制系统改造、大礼堂舞台木地板更新、货梯更新等5个分项目全部完工，工程完工率达到100%，按照评分标准实得分值为15分。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工程验收合格率指标：所有完工项目经人民会堂项目验收组、项目管理单位、设计单位、工程监理单位、施工单位联合验收，全部验收合格，验收合格率100%，按照评分标准实得分值为15分。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工程完成及时率指标：各分项工程总体按照计划工期进度实现，</w:t>
      </w:r>
      <w:r>
        <w:rPr>
          <w:rFonts w:hint="eastAsia" w:ascii="仿宋_GB2312" w:eastAsia="仿宋_GB2312"/>
          <w:sz w:val="32"/>
          <w:szCs w:val="32"/>
          <w:lang w:eastAsia="zh-CN"/>
        </w:rPr>
        <w:t>全部按时完工，剩余质保金按照合同规定按期支付</w:t>
      </w:r>
      <w:r>
        <w:rPr>
          <w:rFonts w:hint="eastAsia" w:ascii="仿宋_GB2312" w:eastAsia="仿宋_GB2312"/>
          <w:sz w:val="32"/>
          <w:szCs w:val="32"/>
        </w:rPr>
        <w:t>。按照评分标准实得分值为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以上指标实得分值合计为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6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（三）项目效益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该项指标包括项目的经济效益—功效提升指标，社会效益—安全性指标，可持续影响—设施综合利用率指标。该项指标设置分值合计为40分，根据指标体系评分标准计算实得分值如下：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设施功效提升指标：升级改造项目实施后，设施功效提升达到了预期：如配电设备改造后，增加了用电负荷，满足了会堂用电量增加的需求；消防系统报警系统维修调试完成后，会堂不同区域改造工程涉及的消防报警设施达到了兼容；大礼堂舞台机械控制系统改造提升了大礼堂舞台机械功能，满足了更大范围的使用需要。按照评分标准实得分值为10分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安全性指标：升级改造项目的实施，在设施功能全面提升的同时，消除了安全隐患，保证了各项社会政治文化活动安全无虞。按照评分标准实得分值为15分。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可持续影响指标：随着升级改造项目的完成，人民会堂三大系统维修改造工程项目整体终结，项目整体实施后，人民会堂场地、设施的综合利用率和服务功能大幅度提升，基本达到了预期目标，将在今后较长时间发挥作用。按照评分标准实得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分。</w:t>
      </w:r>
      <w:r>
        <w:rPr>
          <w:rFonts w:ascii="仿宋_GB2312" w:eastAsia="仿宋_GB2312"/>
          <w:sz w:val="32"/>
          <w:szCs w:val="32"/>
        </w:rPr>
        <w:t xml:space="preserve"> 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以上指标实得分值合计为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6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（四）满意度</w:t>
      </w:r>
    </w:p>
    <w:p>
      <w:pPr>
        <w:spacing w:line="560" w:lineRule="exact"/>
        <w:ind w:firstLine="640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该项指标主要对服务对象和社会公众进行项目贬誉情况进行分析。根据来自人大政协两会、社会政治文化活动服务对象对人民会堂升级改造工程项目的评价，赞誉度达9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z w:val="32"/>
          <w:szCs w:val="32"/>
        </w:rPr>
        <w:t>%以上。满意度指标设置分值为10分，按照评分标准实得分值为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汇总项目执行情况和项目绩效情况，合计总得分为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97</w:t>
      </w:r>
      <w:r>
        <w:rPr>
          <w:rFonts w:hint="eastAsia" w:ascii="仿宋_GB2312" w:eastAsia="仿宋_GB2312"/>
          <w:sz w:val="32"/>
          <w:szCs w:val="32"/>
        </w:rPr>
        <w:t>分，自评等级为优秀。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3" w:firstLineChars="200"/>
        <w:rPr>
          <w:rFonts w:ascii="楷体_GB2312" w:hAnsi="楷体_GB2312" w:eastAsia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>（一）项目存在的主要问题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 预算资金使用率方面，主要是按照合同要求验收合格后按规定年份支付质保金，部分合同期限未到期，故资金未支付完成。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 场馆改造完成后，各会议室主要用于两会、党代会使用，利用率待提高。</w:t>
      </w:r>
    </w:p>
    <w:p>
      <w:pPr>
        <w:spacing w:line="560" w:lineRule="exact"/>
        <w:ind w:firstLine="643" w:firstLineChars="200"/>
        <w:rPr>
          <w:rFonts w:ascii="楷体_GB2312" w:hAnsi="楷体_GB2312" w:eastAsia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>（二）具体改进措施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1. 2021年所有项目合同规定期限都将到期，可以按时支付完成余下质保金。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2. 进一步了解使用单位的偏好，了解需求，调整方案，拓展业务，提高会议室使用率。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梁志洪：党总支委员、副主任</w:t>
      </w:r>
      <w:bookmarkStart w:id="0" w:name="_GoBack"/>
      <w:bookmarkEnd w:id="0"/>
    </w:p>
    <w:p>
      <w:pPr>
        <w:adjustRightInd w:val="0"/>
        <w:snapToGrid w:val="0"/>
        <w:spacing w:line="560" w:lineRule="exact"/>
        <w:ind w:left="420" w:leftChars="200" w:firstLine="320" w:firstLineChars="1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刘丽红：财务处处长</w:t>
      </w:r>
    </w:p>
    <w:p>
      <w:pPr>
        <w:adjustRightInd w:val="0"/>
        <w:snapToGrid w:val="0"/>
        <w:spacing w:line="560" w:lineRule="exact"/>
        <w:ind w:left="420" w:leftChars="200" w:firstLine="320" w:firstLineChars="1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阎小平：办公室主任</w:t>
      </w:r>
    </w:p>
    <w:p>
      <w:pPr>
        <w:adjustRightInd w:val="0"/>
        <w:snapToGrid w:val="0"/>
        <w:spacing w:line="560" w:lineRule="exact"/>
        <w:ind w:left="420" w:leftChars="200" w:firstLine="320" w:firstLineChars="1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袁  勇：会展中心主任</w:t>
      </w:r>
    </w:p>
    <w:p>
      <w:pPr>
        <w:adjustRightInd w:val="0"/>
        <w:snapToGrid w:val="0"/>
        <w:spacing w:line="560" w:lineRule="exact"/>
        <w:ind w:left="420" w:leftChars="200" w:firstLine="320" w:firstLineChars="1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郭营庄：安全保卫处处长</w:t>
      </w:r>
    </w:p>
    <w:p>
      <w:pPr>
        <w:adjustRightInd w:val="0"/>
        <w:snapToGrid w:val="0"/>
        <w:spacing w:line="560" w:lineRule="exact"/>
        <w:ind w:left="420" w:leftChars="200" w:firstLine="320" w:firstLineChars="1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李晓溥：动力维修处处长 </w:t>
      </w:r>
    </w:p>
    <w:p>
      <w:pPr>
        <w:adjustRightInd w:val="0"/>
        <w:snapToGrid w:val="0"/>
        <w:spacing w:line="560" w:lineRule="exact"/>
        <w:ind w:left="420" w:leftChars="200" w:firstLine="320" w:firstLineChars="1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姜会来：党务办公室主任</w:t>
      </w:r>
    </w:p>
    <w:p>
      <w:pPr>
        <w:adjustRightInd w:val="0"/>
        <w:snapToGrid w:val="0"/>
        <w:spacing w:line="560" w:lineRule="exact"/>
        <w:ind w:left="420" w:leftChars="200" w:firstLine="320" w:firstLineChars="1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路  文：档案资料室主任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党建青：动力维修处副主任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张  靖：动力维修处副主任</w:t>
      </w:r>
    </w:p>
    <w:p>
      <w:pPr>
        <w:adjustRightInd w:val="0"/>
        <w:snapToGrid w:val="0"/>
        <w:spacing w:line="560" w:lineRule="exact"/>
        <w:ind w:firstLine="800" w:firstLineChars="25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袁克良：党务办公室文秘</w:t>
      </w:r>
    </w:p>
    <w:p>
      <w:pPr>
        <w:adjustRightInd w:val="0"/>
        <w:snapToGrid w:val="0"/>
        <w:spacing w:line="560" w:lineRule="exact"/>
        <w:ind w:firstLine="800" w:firstLineChars="250"/>
        <w:rPr>
          <w:rFonts w:hint="eastAsia" w:ascii="仿宋_GB2312" w:eastAsia="仿宋_GB2312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800" w:firstLineChars="25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30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spacing w:line="560" w:lineRule="exact"/>
      </w:pPr>
    </w:p>
    <w:p>
      <w:pPr>
        <w:snapToGrid w:val="0"/>
        <w:spacing w:line="560" w:lineRule="exact"/>
        <w:ind w:firstLine="420" w:firstLineChars="200"/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95688188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8</w:t>
        </w:r>
        <w:r>
          <w:rPr>
            <w:lang w:val="zh-CN"/>
          </w:rPr>
          <w:fldChar w:fldCharType="end"/>
        </w:r>
      </w:p>
    </w:sdtContent>
  </w:sdt>
  <w:p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8141A"/>
    <w:rsid w:val="00013D7B"/>
    <w:rsid w:val="00013FE7"/>
    <w:rsid w:val="00036E39"/>
    <w:rsid w:val="00045FA7"/>
    <w:rsid w:val="00060106"/>
    <w:rsid w:val="00060183"/>
    <w:rsid w:val="000742F4"/>
    <w:rsid w:val="000B68E9"/>
    <w:rsid w:val="00107B90"/>
    <w:rsid w:val="00121C19"/>
    <w:rsid w:val="00135CA7"/>
    <w:rsid w:val="00176A67"/>
    <w:rsid w:val="001B4241"/>
    <w:rsid w:val="001C0284"/>
    <w:rsid w:val="001F0071"/>
    <w:rsid w:val="002E6C86"/>
    <w:rsid w:val="003253CE"/>
    <w:rsid w:val="00370CC1"/>
    <w:rsid w:val="003878AF"/>
    <w:rsid w:val="003E5E36"/>
    <w:rsid w:val="003E766F"/>
    <w:rsid w:val="00402D63"/>
    <w:rsid w:val="00427332"/>
    <w:rsid w:val="00427CD9"/>
    <w:rsid w:val="00436710"/>
    <w:rsid w:val="00475D17"/>
    <w:rsid w:val="00491ECC"/>
    <w:rsid w:val="004A458F"/>
    <w:rsid w:val="004E26A0"/>
    <w:rsid w:val="004F5B3D"/>
    <w:rsid w:val="00500E5F"/>
    <w:rsid w:val="005314D3"/>
    <w:rsid w:val="00545775"/>
    <w:rsid w:val="005C0058"/>
    <w:rsid w:val="00630FCA"/>
    <w:rsid w:val="00676818"/>
    <w:rsid w:val="0068039D"/>
    <w:rsid w:val="006827DC"/>
    <w:rsid w:val="00682B41"/>
    <w:rsid w:val="006D1360"/>
    <w:rsid w:val="006E15E5"/>
    <w:rsid w:val="00750F17"/>
    <w:rsid w:val="00751677"/>
    <w:rsid w:val="0078141A"/>
    <w:rsid w:val="00844B31"/>
    <w:rsid w:val="00850269"/>
    <w:rsid w:val="0089694F"/>
    <w:rsid w:val="008B3211"/>
    <w:rsid w:val="008F793E"/>
    <w:rsid w:val="00917300"/>
    <w:rsid w:val="00952BD7"/>
    <w:rsid w:val="00956982"/>
    <w:rsid w:val="0096292B"/>
    <w:rsid w:val="00A60E56"/>
    <w:rsid w:val="00A73D53"/>
    <w:rsid w:val="00A76B3D"/>
    <w:rsid w:val="00AF1322"/>
    <w:rsid w:val="00B00465"/>
    <w:rsid w:val="00B0723A"/>
    <w:rsid w:val="00B1312A"/>
    <w:rsid w:val="00B45E08"/>
    <w:rsid w:val="00BD605D"/>
    <w:rsid w:val="00C12891"/>
    <w:rsid w:val="00C3115A"/>
    <w:rsid w:val="00C47A3D"/>
    <w:rsid w:val="00C67FA5"/>
    <w:rsid w:val="00C84E8E"/>
    <w:rsid w:val="00D04A6E"/>
    <w:rsid w:val="00D11A1E"/>
    <w:rsid w:val="00D258E0"/>
    <w:rsid w:val="00D84999"/>
    <w:rsid w:val="00DD3DF7"/>
    <w:rsid w:val="00E36949"/>
    <w:rsid w:val="00E57026"/>
    <w:rsid w:val="00E577DB"/>
    <w:rsid w:val="00E70800"/>
    <w:rsid w:val="00F325AF"/>
    <w:rsid w:val="00FA624C"/>
    <w:rsid w:val="1B043099"/>
    <w:rsid w:val="270E68C3"/>
    <w:rsid w:val="363B08E5"/>
    <w:rsid w:val="48206343"/>
    <w:rsid w:val="51767EA0"/>
    <w:rsid w:val="5E0E39B1"/>
    <w:rsid w:val="61E82848"/>
    <w:rsid w:val="63907962"/>
    <w:rsid w:val="78875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默认段落字体 Para Char Char Char Char Char Char Char"/>
    <w:basedOn w:val="1"/>
    <w:qFormat/>
    <w:uiPriority w:val="0"/>
    <w:rPr>
      <w:rFonts w:ascii="Calibri" w:hAnsi="Calibri"/>
    </w:rPr>
  </w:style>
  <w:style w:type="character" w:customStyle="1" w:styleId="7">
    <w:name w:val="页眉 Char"/>
    <w:basedOn w:val="5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Char"/>
    <w:basedOn w:val="5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F19C75F-8A49-44CA-BC4F-9359D67A96C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8</Pages>
  <Words>563</Words>
  <Characters>3210</Characters>
  <Lines>26</Lines>
  <Paragraphs>7</Paragraphs>
  <TotalTime>2144</TotalTime>
  <ScaleCrop>false</ScaleCrop>
  <LinksUpToDate>false</LinksUpToDate>
  <CharactersWithSpaces>3766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2020-04-30T07:03:00Z</dcterms:created>
  <dc:creator>微软用户</dc:creator>
  <cp:lastModifiedBy>布喜</cp:lastModifiedBy>
  <dcterms:modified xsi:type="dcterms:W3CDTF">2021-05-07T02:54:24Z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D74A9E1A3C95448394833CDD84DBB9C4</vt:lpwstr>
  </property>
</Properties>
</file>