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580B87">
      <w:pPr>
        <w:spacing w:line="360" w:lineRule="auto"/>
        <w:jc w:val="center"/>
        <w:rPr>
          <w:rFonts w:ascii="仿宋" w:hAnsi="仿宋" w:eastAsia="仿宋" w:cs="仿宋"/>
          <w:sz w:val="32"/>
          <w:szCs w:val="32"/>
        </w:rPr>
      </w:pPr>
      <w:r>
        <w:rPr>
          <w:rFonts w:ascii="仿宋" w:hAnsi="仿宋" w:eastAsia="仿宋" w:cs="仿宋"/>
          <w:sz w:val="32"/>
          <w:szCs w:val="32"/>
        </w:rPr>
        <w:tab/>
      </w:r>
    </w:p>
    <w:p w14:paraId="7A4FB17B">
      <w:pPr>
        <w:spacing w:line="360" w:lineRule="auto"/>
        <w:jc w:val="center"/>
        <w:rPr>
          <w:rFonts w:hint="eastAsia" w:eastAsia="方正小标宋简体"/>
          <w:sz w:val="44"/>
          <w:szCs w:val="44"/>
        </w:rPr>
      </w:pPr>
    </w:p>
    <w:p w14:paraId="31879C62">
      <w:pPr>
        <w:pStyle w:val="2"/>
        <w:rPr>
          <w:rFonts w:hint="eastAsia"/>
        </w:rPr>
      </w:pPr>
    </w:p>
    <w:p w14:paraId="42BBB38B">
      <w:pPr>
        <w:pStyle w:val="2"/>
        <w:rPr>
          <w:rFonts w:hint="eastAsia"/>
        </w:rPr>
      </w:pPr>
    </w:p>
    <w:p w14:paraId="1DCF4FC6">
      <w:pPr>
        <w:pStyle w:val="2"/>
        <w:rPr>
          <w:rFonts w:hint="eastAsia"/>
        </w:rPr>
      </w:pPr>
    </w:p>
    <w:p w14:paraId="78211E62">
      <w:pPr>
        <w:pStyle w:val="2"/>
      </w:pPr>
    </w:p>
    <w:p w14:paraId="31A68757">
      <w:pPr>
        <w:spacing w:line="360" w:lineRule="auto"/>
        <w:jc w:val="center"/>
        <w:rPr>
          <w:rFonts w:ascii="方正小标宋简体" w:eastAsia="方正小标宋简体"/>
          <w:sz w:val="44"/>
          <w:szCs w:val="44"/>
        </w:rPr>
      </w:pPr>
      <w:r>
        <w:rPr>
          <w:rFonts w:hint="eastAsia" w:ascii="方正小标宋简体" w:eastAsia="方正小标宋简体"/>
          <w:sz w:val="44"/>
          <w:szCs w:val="44"/>
        </w:rPr>
        <w:t>石家庄住房公积金管理中心</w:t>
      </w:r>
    </w:p>
    <w:p w14:paraId="1A1DA5F7">
      <w:pPr>
        <w:spacing w:line="360" w:lineRule="auto"/>
        <w:jc w:val="center"/>
        <w:rPr>
          <w:rFonts w:ascii="方正小标宋简体" w:eastAsia="方正小标宋简体"/>
          <w:sz w:val="44"/>
          <w:szCs w:val="44"/>
        </w:rPr>
      </w:pPr>
      <w:r>
        <w:rPr>
          <w:rFonts w:hint="eastAsia" w:ascii="方正小标宋简体" w:eastAsia="方正小标宋简体"/>
          <w:sz w:val="44"/>
          <w:szCs w:val="44"/>
        </w:rPr>
        <w:t>2021年度整体支出绩效自评报告</w:t>
      </w:r>
    </w:p>
    <w:p w14:paraId="485A599A">
      <w:pPr>
        <w:spacing w:line="360" w:lineRule="auto"/>
        <w:jc w:val="center"/>
        <w:rPr>
          <w:rFonts w:ascii="方正小标宋简体" w:eastAsia="方正小标宋简体"/>
          <w:sz w:val="44"/>
          <w:szCs w:val="44"/>
        </w:rPr>
      </w:pPr>
    </w:p>
    <w:p w14:paraId="50B35DF8">
      <w:pPr>
        <w:spacing w:line="360" w:lineRule="auto"/>
        <w:jc w:val="center"/>
        <w:rPr>
          <w:rFonts w:ascii="方正小标宋简体" w:eastAsia="方正小标宋简体"/>
          <w:sz w:val="44"/>
          <w:szCs w:val="44"/>
        </w:rPr>
      </w:pPr>
    </w:p>
    <w:p w14:paraId="7D090E15">
      <w:pPr>
        <w:spacing w:line="360" w:lineRule="auto"/>
        <w:jc w:val="center"/>
        <w:rPr>
          <w:rFonts w:ascii="方正小标宋简体" w:eastAsia="方正小标宋简体"/>
          <w:sz w:val="44"/>
          <w:szCs w:val="44"/>
        </w:rPr>
      </w:pPr>
    </w:p>
    <w:p w14:paraId="0BCBAD6E">
      <w:pPr>
        <w:spacing w:line="360" w:lineRule="auto"/>
        <w:jc w:val="center"/>
        <w:rPr>
          <w:rFonts w:ascii="方正小标宋简体" w:eastAsia="方正小标宋简体"/>
          <w:sz w:val="44"/>
          <w:szCs w:val="44"/>
        </w:rPr>
      </w:pPr>
    </w:p>
    <w:p w14:paraId="004EE6AE">
      <w:pPr>
        <w:spacing w:line="360" w:lineRule="auto"/>
        <w:jc w:val="center"/>
        <w:rPr>
          <w:rFonts w:ascii="方正小标宋简体" w:eastAsia="方正小标宋简体"/>
          <w:sz w:val="44"/>
          <w:szCs w:val="44"/>
        </w:rPr>
      </w:pPr>
    </w:p>
    <w:p w14:paraId="2DB2193C">
      <w:pPr>
        <w:spacing w:line="360" w:lineRule="auto"/>
        <w:jc w:val="center"/>
        <w:rPr>
          <w:rFonts w:ascii="方正小标宋简体" w:eastAsia="方正小标宋简体"/>
          <w:sz w:val="44"/>
          <w:szCs w:val="44"/>
        </w:rPr>
      </w:pPr>
    </w:p>
    <w:p w14:paraId="334D067F">
      <w:pPr>
        <w:spacing w:line="360" w:lineRule="auto"/>
        <w:jc w:val="center"/>
        <w:rPr>
          <w:rFonts w:ascii="方正小标宋简体" w:eastAsia="方正小标宋简体"/>
          <w:sz w:val="44"/>
          <w:szCs w:val="44"/>
        </w:rPr>
      </w:pPr>
    </w:p>
    <w:p w14:paraId="0465CB99">
      <w:pPr>
        <w:spacing w:line="360" w:lineRule="auto"/>
        <w:jc w:val="center"/>
        <w:rPr>
          <w:rFonts w:ascii="方正小标宋简体" w:eastAsia="方正小标宋简体"/>
          <w:sz w:val="44"/>
          <w:szCs w:val="44"/>
        </w:rPr>
      </w:pPr>
    </w:p>
    <w:p w14:paraId="020B46CC">
      <w:pPr>
        <w:spacing w:line="360" w:lineRule="auto"/>
        <w:jc w:val="center"/>
        <w:rPr>
          <w:rFonts w:ascii="方正小标宋简体" w:eastAsia="方正小标宋简体"/>
          <w:sz w:val="44"/>
          <w:szCs w:val="44"/>
        </w:rPr>
      </w:pPr>
    </w:p>
    <w:p w14:paraId="589C5DC6">
      <w:pPr>
        <w:spacing w:line="360" w:lineRule="auto"/>
        <w:jc w:val="center"/>
        <w:rPr>
          <w:rFonts w:ascii="方正小标宋简体" w:eastAsia="方正小标宋简体"/>
          <w:sz w:val="44"/>
          <w:szCs w:val="44"/>
        </w:rPr>
      </w:pPr>
    </w:p>
    <w:p w14:paraId="6D5956A1">
      <w:pPr>
        <w:pStyle w:val="10"/>
        <w:outlineLvl w:val="9"/>
        <w:rPr>
          <w:rFonts w:ascii="仿宋" w:hAnsi="仿宋" w:eastAsia="仿宋" w:cs="仿宋"/>
          <w:szCs w:val="32"/>
        </w:rPr>
        <w:sectPr>
          <w:pgSz w:w="11906" w:h="16838"/>
          <w:pgMar w:top="1440" w:right="1800" w:bottom="1440" w:left="1800" w:header="851" w:footer="992" w:gutter="0"/>
          <w:pgNumType w:fmt="numberInDash"/>
          <w:cols w:space="720" w:num="1"/>
          <w:docGrid w:type="lines" w:linePitch="312" w:charSpace="0"/>
        </w:sectPr>
      </w:pPr>
    </w:p>
    <w:sdt>
      <w:sdtPr>
        <w:rPr>
          <w:rFonts w:ascii="Calibri" w:hAnsi="Calibri" w:eastAsia="宋体" w:cs="黑体"/>
          <w:color w:val="auto"/>
          <w:kern w:val="2"/>
          <w:sz w:val="22"/>
          <w:szCs w:val="24"/>
          <w:lang w:val="zh-CN"/>
        </w:rPr>
        <w:id w:val="1317993507"/>
        <w:docPartObj>
          <w:docPartGallery w:val="Table of Contents"/>
          <w:docPartUnique/>
        </w:docPartObj>
      </w:sdtPr>
      <w:sdtEndPr>
        <w:rPr>
          <w:rFonts w:ascii="Calibri" w:hAnsi="Calibri" w:eastAsia="宋体" w:cs="黑体"/>
          <w:b/>
          <w:bCs/>
          <w:color w:val="auto"/>
          <w:kern w:val="2"/>
          <w:sz w:val="21"/>
          <w:szCs w:val="22"/>
          <w:lang w:val="zh-CN"/>
        </w:rPr>
      </w:sdtEndPr>
      <w:sdtContent>
        <w:p w14:paraId="56E3AB2D">
          <w:pPr>
            <w:pStyle w:val="17"/>
            <w:jc w:val="center"/>
            <w:rPr>
              <w:color w:val="auto"/>
              <w:sz w:val="36"/>
              <w:szCs w:val="36"/>
            </w:rPr>
          </w:pPr>
          <w:r>
            <w:rPr>
              <w:color w:val="auto"/>
              <w:sz w:val="36"/>
              <w:szCs w:val="36"/>
              <w:lang w:val="zh-CN"/>
            </w:rPr>
            <w:t>目录</w:t>
          </w:r>
        </w:p>
        <w:p w14:paraId="48FD25C6">
          <w:pPr>
            <w:pStyle w:val="8"/>
            <w:tabs>
              <w:tab w:val="right" w:leader="dot" w:pos="8306"/>
            </w:tabs>
          </w:pPr>
          <w:r>
            <w:fldChar w:fldCharType="begin"/>
          </w:r>
          <w:r>
            <w:instrText xml:space="preserve"> TOC \o "1-3" \h \z \u </w:instrText>
          </w:r>
          <w:r>
            <w:fldChar w:fldCharType="separate"/>
          </w:r>
        </w:p>
        <w:p w14:paraId="28294972">
          <w:pPr>
            <w:pStyle w:val="8"/>
            <w:tabs>
              <w:tab w:val="right" w:leader="dot" w:pos="8306"/>
            </w:tabs>
          </w:pPr>
          <w:r>
            <w:fldChar w:fldCharType="begin"/>
          </w:r>
          <w:r>
            <w:instrText xml:space="preserve"> HYPERLINK \l "_Toc10100" </w:instrText>
          </w:r>
          <w:r>
            <w:fldChar w:fldCharType="separate"/>
          </w:r>
          <w:r>
            <w:rPr>
              <w:rFonts w:hint="eastAsia" w:ascii="黑体" w:hAnsi="黑体" w:eastAsia="黑体"/>
              <w:szCs w:val="32"/>
            </w:rPr>
            <w:t>一、部门</w:t>
          </w:r>
          <w:r>
            <w:rPr>
              <w:rFonts w:hint="eastAsia" w:ascii="黑体" w:hAnsi="黑体" w:eastAsia="黑体"/>
              <w:szCs w:val="36"/>
            </w:rPr>
            <w:t>基本情况</w:t>
          </w:r>
          <w:r>
            <w:tab/>
          </w:r>
          <w:r>
            <w:fldChar w:fldCharType="begin"/>
          </w:r>
          <w:r>
            <w:instrText xml:space="preserve"> PAGEREF _Toc10100 \h </w:instrText>
          </w:r>
          <w:r>
            <w:fldChar w:fldCharType="separate"/>
          </w:r>
          <w:r>
            <w:t>1</w:t>
          </w:r>
          <w:r>
            <w:fldChar w:fldCharType="end"/>
          </w:r>
          <w:r>
            <w:fldChar w:fldCharType="end"/>
          </w:r>
        </w:p>
        <w:p w14:paraId="5B64F3FD">
          <w:pPr>
            <w:pStyle w:val="9"/>
            <w:tabs>
              <w:tab w:val="right" w:leader="dot" w:pos="8306"/>
            </w:tabs>
          </w:pPr>
          <w:r>
            <w:fldChar w:fldCharType="begin"/>
          </w:r>
          <w:r>
            <w:instrText xml:space="preserve"> HYPERLINK \l "_Toc9491" </w:instrText>
          </w:r>
          <w:r>
            <w:fldChar w:fldCharType="separate"/>
          </w:r>
          <w:r>
            <w:rPr>
              <w:rFonts w:hint="eastAsia" w:ascii="仿宋" w:hAnsi="仿宋" w:eastAsia="仿宋" w:cs="楷体_GB2312"/>
              <w:bCs/>
              <w:szCs w:val="32"/>
            </w:rPr>
            <w:t>（一）部门概况</w:t>
          </w:r>
          <w:r>
            <w:tab/>
          </w:r>
          <w:r>
            <w:fldChar w:fldCharType="begin"/>
          </w:r>
          <w:r>
            <w:instrText xml:space="preserve"> PAGEREF _Toc9491 \h </w:instrText>
          </w:r>
          <w:r>
            <w:fldChar w:fldCharType="separate"/>
          </w:r>
          <w:r>
            <w:t>1</w:t>
          </w:r>
          <w:r>
            <w:fldChar w:fldCharType="end"/>
          </w:r>
          <w:r>
            <w:fldChar w:fldCharType="end"/>
          </w:r>
        </w:p>
        <w:p w14:paraId="6AD4A089">
          <w:pPr>
            <w:pStyle w:val="4"/>
            <w:tabs>
              <w:tab w:val="right" w:leader="dot" w:pos="8306"/>
            </w:tabs>
          </w:pPr>
          <w:r>
            <w:fldChar w:fldCharType="begin"/>
          </w:r>
          <w:r>
            <w:instrText xml:space="preserve"> HYPERLINK \l "_Toc14799" </w:instrText>
          </w:r>
          <w:r>
            <w:fldChar w:fldCharType="separate"/>
          </w:r>
          <w:r>
            <w:rPr>
              <w:rFonts w:hint="eastAsia" w:ascii="仿宋_GB2312" w:eastAsia="仿宋_GB2312"/>
              <w:szCs w:val="32"/>
            </w:rPr>
            <w:t>1.部门职能</w:t>
          </w:r>
          <w:r>
            <w:tab/>
          </w:r>
          <w:r>
            <w:fldChar w:fldCharType="begin"/>
          </w:r>
          <w:r>
            <w:instrText xml:space="preserve"> PAGEREF _Toc14799 \h </w:instrText>
          </w:r>
          <w:r>
            <w:fldChar w:fldCharType="separate"/>
          </w:r>
          <w:r>
            <w:t>1</w:t>
          </w:r>
          <w:r>
            <w:fldChar w:fldCharType="end"/>
          </w:r>
          <w:r>
            <w:fldChar w:fldCharType="end"/>
          </w:r>
        </w:p>
        <w:p w14:paraId="69E0B638">
          <w:pPr>
            <w:pStyle w:val="4"/>
            <w:tabs>
              <w:tab w:val="right" w:leader="dot" w:pos="8306"/>
            </w:tabs>
          </w:pPr>
          <w:r>
            <w:fldChar w:fldCharType="begin"/>
          </w:r>
          <w:r>
            <w:instrText xml:space="preserve"> HYPERLINK \l "_Toc3007" </w:instrText>
          </w:r>
          <w:r>
            <w:fldChar w:fldCharType="separate"/>
          </w:r>
          <w:r>
            <w:rPr>
              <w:rFonts w:hint="eastAsia" w:ascii="仿宋_GB2312" w:eastAsia="仿宋_GB2312"/>
              <w:szCs w:val="32"/>
            </w:rPr>
            <w:t>2.组织机构及人员、资产基本情况</w:t>
          </w:r>
          <w:r>
            <w:tab/>
          </w:r>
          <w:r>
            <w:fldChar w:fldCharType="begin"/>
          </w:r>
          <w:r>
            <w:instrText xml:space="preserve"> PAGEREF _Toc3007 \h </w:instrText>
          </w:r>
          <w:r>
            <w:fldChar w:fldCharType="separate"/>
          </w:r>
          <w:r>
            <w:t>2</w:t>
          </w:r>
          <w:r>
            <w:fldChar w:fldCharType="end"/>
          </w:r>
          <w:r>
            <w:fldChar w:fldCharType="end"/>
          </w:r>
        </w:p>
        <w:p w14:paraId="6EA17892">
          <w:pPr>
            <w:pStyle w:val="9"/>
            <w:tabs>
              <w:tab w:val="right" w:leader="dot" w:pos="8306"/>
            </w:tabs>
          </w:pPr>
          <w:r>
            <w:fldChar w:fldCharType="begin"/>
          </w:r>
          <w:r>
            <w:instrText xml:space="preserve"> HYPERLINK \l "_Toc31412" </w:instrText>
          </w:r>
          <w:r>
            <w:fldChar w:fldCharType="separate"/>
          </w:r>
          <w:r>
            <w:rPr>
              <w:rFonts w:hint="eastAsia" w:ascii="仿宋" w:hAnsi="仿宋" w:eastAsia="仿宋" w:cs="楷体_GB2312"/>
              <w:bCs/>
              <w:szCs w:val="32"/>
            </w:rPr>
            <w:t>（二）部门收支预决算情况</w:t>
          </w:r>
          <w:r>
            <w:tab/>
          </w:r>
          <w:r>
            <w:fldChar w:fldCharType="begin"/>
          </w:r>
          <w:r>
            <w:instrText xml:space="preserve"> PAGEREF _Toc31412 \h </w:instrText>
          </w:r>
          <w:r>
            <w:fldChar w:fldCharType="separate"/>
          </w:r>
          <w:r>
            <w:t>3</w:t>
          </w:r>
          <w:r>
            <w:fldChar w:fldCharType="end"/>
          </w:r>
          <w:r>
            <w:fldChar w:fldCharType="end"/>
          </w:r>
        </w:p>
        <w:p w14:paraId="5BD1A6BB">
          <w:pPr>
            <w:pStyle w:val="4"/>
            <w:tabs>
              <w:tab w:val="right" w:leader="dot" w:pos="8306"/>
            </w:tabs>
          </w:pPr>
          <w:r>
            <w:fldChar w:fldCharType="begin"/>
          </w:r>
          <w:r>
            <w:instrText xml:space="preserve"> HYPERLINK \l "_Toc32759" </w:instrText>
          </w:r>
          <w:r>
            <w:fldChar w:fldCharType="separate"/>
          </w:r>
          <w:r>
            <w:rPr>
              <w:rFonts w:hint="eastAsia" w:ascii="仿宋" w:hAnsi="仿宋" w:eastAsia="仿宋"/>
              <w:szCs w:val="32"/>
            </w:rPr>
            <w:t>1.预算安排情况</w:t>
          </w:r>
          <w:r>
            <w:tab/>
          </w:r>
          <w:r>
            <w:fldChar w:fldCharType="begin"/>
          </w:r>
          <w:r>
            <w:instrText xml:space="preserve"> PAGEREF _Toc32759 \h </w:instrText>
          </w:r>
          <w:r>
            <w:fldChar w:fldCharType="separate"/>
          </w:r>
          <w:r>
            <w:t>3</w:t>
          </w:r>
          <w:r>
            <w:fldChar w:fldCharType="end"/>
          </w:r>
          <w:r>
            <w:fldChar w:fldCharType="end"/>
          </w:r>
        </w:p>
        <w:p w14:paraId="0C5DD0C3">
          <w:pPr>
            <w:pStyle w:val="4"/>
            <w:tabs>
              <w:tab w:val="right" w:leader="dot" w:pos="8306"/>
            </w:tabs>
          </w:pPr>
          <w:r>
            <w:fldChar w:fldCharType="begin"/>
          </w:r>
          <w:r>
            <w:instrText xml:space="preserve"> HYPERLINK \l "_Toc14462" </w:instrText>
          </w:r>
          <w:r>
            <w:fldChar w:fldCharType="separate"/>
          </w:r>
          <w:r>
            <w:rPr>
              <w:rFonts w:hint="eastAsia" w:ascii="仿宋" w:hAnsi="仿宋" w:eastAsia="仿宋"/>
              <w:szCs w:val="32"/>
            </w:rPr>
            <w:t>2.预算调整情况</w:t>
          </w:r>
          <w:r>
            <w:tab/>
          </w:r>
          <w:r>
            <w:fldChar w:fldCharType="begin"/>
          </w:r>
          <w:r>
            <w:instrText xml:space="preserve"> PAGEREF _Toc14462 \h </w:instrText>
          </w:r>
          <w:r>
            <w:fldChar w:fldCharType="separate"/>
          </w:r>
          <w:r>
            <w:t>3</w:t>
          </w:r>
          <w:r>
            <w:fldChar w:fldCharType="end"/>
          </w:r>
          <w:r>
            <w:fldChar w:fldCharType="end"/>
          </w:r>
        </w:p>
        <w:p w14:paraId="41F5CE14">
          <w:pPr>
            <w:pStyle w:val="4"/>
            <w:tabs>
              <w:tab w:val="right" w:leader="dot" w:pos="8306"/>
            </w:tabs>
          </w:pPr>
          <w:r>
            <w:fldChar w:fldCharType="begin"/>
          </w:r>
          <w:r>
            <w:instrText xml:space="preserve"> HYPERLINK \l "_Toc14823" </w:instrText>
          </w:r>
          <w:r>
            <w:fldChar w:fldCharType="separate"/>
          </w:r>
          <w:r>
            <w:rPr>
              <w:rFonts w:hint="eastAsia" w:ascii="仿宋" w:hAnsi="仿宋" w:eastAsia="仿宋"/>
              <w:szCs w:val="32"/>
            </w:rPr>
            <w:t>3.决算情况</w:t>
          </w:r>
          <w:r>
            <w:tab/>
          </w:r>
          <w:r>
            <w:fldChar w:fldCharType="begin"/>
          </w:r>
          <w:r>
            <w:instrText xml:space="preserve"> PAGEREF _Toc14823 \h </w:instrText>
          </w:r>
          <w:r>
            <w:fldChar w:fldCharType="separate"/>
          </w:r>
          <w:r>
            <w:t>3</w:t>
          </w:r>
          <w:r>
            <w:fldChar w:fldCharType="end"/>
          </w:r>
          <w:r>
            <w:fldChar w:fldCharType="end"/>
          </w:r>
        </w:p>
        <w:p w14:paraId="20C5D018">
          <w:pPr>
            <w:pStyle w:val="9"/>
            <w:tabs>
              <w:tab w:val="right" w:leader="dot" w:pos="8306"/>
            </w:tabs>
          </w:pPr>
          <w:r>
            <w:fldChar w:fldCharType="begin"/>
          </w:r>
          <w:r>
            <w:instrText xml:space="preserve"> HYPERLINK \l "_Toc26845" </w:instrText>
          </w:r>
          <w:r>
            <w:fldChar w:fldCharType="separate"/>
          </w:r>
          <w:r>
            <w:rPr>
              <w:rFonts w:hint="eastAsia" w:ascii="仿宋" w:hAnsi="仿宋" w:eastAsia="仿宋" w:cs="楷体_GB2312"/>
              <w:bCs/>
              <w:szCs w:val="32"/>
            </w:rPr>
            <w:t>（三）部门整体支出绩效目标、指标</w:t>
          </w:r>
          <w:r>
            <w:tab/>
          </w:r>
          <w:r>
            <w:fldChar w:fldCharType="begin"/>
          </w:r>
          <w:r>
            <w:instrText xml:space="preserve"> PAGEREF _Toc26845 \h </w:instrText>
          </w:r>
          <w:r>
            <w:fldChar w:fldCharType="separate"/>
          </w:r>
          <w:r>
            <w:t>4</w:t>
          </w:r>
          <w:r>
            <w:fldChar w:fldCharType="end"/>
          </w:r>
          <w:r>
            <w:fldChar w:fldCharType="end"/>
          </w:r>
        </w:p>
        <w:p w14:paraId="74AE1A47">
          <w:pPr>
            <w:pStyle w:val="4"/>
            <w:tabs>
              <w:tab w:val="right" w:leader="dot" w:pos="8306"/>
            </w:tabs>
          </w:pPr>
          <w:r>
            <w:fldChar w:fldCharType="begin"/>
          </w:r>
          <w:r>
            <w:instrText xml:space="preserve"> HYPERLINK \l "_Toc26070" </w:instrText>
          </w:r>
          <w:r>
            <w:fldChar w:fldCharType="separate"/>
          </w:r>
          <w:r>
            <w:rPr>
              <w:rFonts w:hint="eastAsia" w:ascii="仿宋" w:hAnsi="仿宋" w:eastAsia="仿宋"/>
              <w:szCs w:val="32"/>
            </w:rPr>
            <w:t>1.总体绩效目标</w:t>
          </w:r>
          <w:r>
            <w:tab/>
          </w:r>
          <w:r>
            <w:fldChar w:fldCharType="begin"/>
          </w:r>
          <w:r>
            <w:instrText xml:space="preserve"> PAGEREF _Toc26070 \h </w:instrText>
          </w:r>
          <w:r>
            <w:fldChar w:fldCharType="separate"/>
          </w:r>
          <w:r>
            <w:t>4</w:t>
          </w:r>
          <w:r>
            <w:fldChar w:fldCharType="end"/>
          </w:r>
          <w:r>
            <w:fldChar w:fldCharType="end"/>
          </w:r>
        </w:p>
        <w:p w14:paraId="38F847AC">
          <w:pPr>
            <w:pStyle w:val="4"/>
            <w:tabs>
              <w:tab w:val="right" w:leader="dot" w:pos="8306"/>
            </w:tabs>
          </w:pPr>
          <w:r>
            <w:fldChar w:fldCharType="begin"/>
          </w:r>
          <w:r>
            <w:instrText xml:space="preserve"> HYPERLINK \l "_Toc9997" </w:instrText>
          </w:r>
          <w:r>
            <w:fldChar w:fldCharType="separate"/>
          </w:r>
          <w:r>
            <w:rPr>
              <w:rFonts w:hint="eastAsia" w:ascii="仿宋" w:hAnsi="仿宋" w:eastAsia="仿宋"/>
              <w:szCs w:val="32"/>
            </w:rPr>
            <w:t>2.分项绩效目标</w:t>
          </w:r>
          <w:r>
            <w:tab/>
          </w:r>
          <w:r>
            <w:fldChar w:fldCharType="begin"/>
          </w:r>
          <w:r>
            <w:instrText xml:space="preserve"> PAGEREF _Toc9997 \h </w:instrText>
          </w:r>
          <w:r>
            <w:fldChar w:fldCharType="separate"/>
          </w:r>
          <w:r>
            <w:t>5</w:t>
          </w:r>
          <w:r>
            <w:fldChar w:fldCharType="end"/>
          </w:r>
          <w:r>
            <w:fldChar w:fldCharType="end"/>
          </w:r>
        </w:p>
        <w:p w14:paraId="63450FD6">
          <w:pPr>
            <w:pStyle w:val="8"/>
            <w:tabs>
              <w:tab w:val="right" w:leader="dot" w:pos="8306"/>
            </w:tabs>
          </w:pPr>
          <w:r>
            <w:fldChar w:fldCharType="begin"/>
          </w:r>
          <w:r>
            <w:instrText xml:space="preserve"> HYPERLINK \l "_Toc31215" </w:instrText>
          </w:r>
          <w:r>
            <w:fldChar w:fldCharType="separate"/>
          </w:r>
          <w:r>
            <w:rPr>
              <w:rFonts w:hint="eastAsia" w:ascii="黑体" w:hAnsi="黑体" w:eastAsia="黑体"/>
              <w:szCs w:val="32"/>
            </w:rPr>
            <w:t>二、自评工作开展情况</w:t>
          </w:r>
          <w:r>
            <w:tab/>
          </w:r>
          <w:r>
            <w:fldChar w:fldCharType="begin"/>
          </w:r>
          <w:r>
            <w:instrText xml:space="preserve"> PAGEREF _Toc31215 \h </w:instrText>
          </w:r>
          <w:r>
            <w:fldChar w:fldCharType="separate"/>
          </w:r>
          <w:r>
            <w:t>8</w:t>
          </w:r>
          <w:r>
            <w:fldChar w:fldCharType="end"/>
          </w:r>
          <w:r>
            <w:fldChar w:fldCharType="end"/>
          </w:r>
        </w:p>
        <w:p w14:paraId="5A01108B">
          <w:pPr>
            <w:pStyle w:val="9"/>
            <w:tabs>
              <w:tab w:val="right" w:leader="dot" w:pos="8306"/>
            </w:tabs>
          </w:pPr>
          <w:r>
            <w:fldChar w:fldCharType="begin"/>
          </w:r>
          <w:r>
            <w:instrText xml:space="preserve"> HYPERLINK \l "_Toc16612" </w:instrText>
          </w:r>
          <w:r>
            <w:fldChar w:fldCharType="separate"/>
          </w:r>
          <w:r>
            <w:rPr>
              <w:rFonts w:hint="eastAsia" w:ascii="仿宋" w:hAnsi="仿宋" w:eastAsia="仿宋" w:cs="楷体_GB2312"/>
              <w:bCs/>
              <w:szCs w:val="32"/>
            </w:rPr>
            <w:t>（一）自评的组织工作</w:t>
          </w:r>
          <w:r>
            <w:tab/>
          </w:r>
          <w:r>
            <w:fldChar w:fldCharType="begin"/>
          </w:r>
          <w:r>
            <w:instrText xml:space="preserve"> PAGEREF _Toc16612 \h </w:instrText>
          </w:r>
          <w:r>
            <w:fldChar w:fldCharType="separate"/>
          </w:r>
          <w:r>
            <w:t>8</w:t>
          </w:r>
          <w:r>
            <w:fldChar w:fldCharType="end"/>
          </w:r>
          <w:r>
            <w:fldChar w:fldCharType="end"/>
          </w:r>
        </w:p>
        <w:p w14:paraId="5A23B146">
          <w:pPr>
            <w:pStyle w:val="9"/>
            <w:tabs>
              <w:tab w:val="right" w:leader="dot" w:pos="8306"/>
            </w:tabs>
          </w:pPr>
          <w:r>
            <w:fldChar w:fldCharType="begin"/>
          </w:r>
          <w:r>
            <w:instrText xml:space="preserve"> HYPERLINK \l "_Toc25509" </w:instrText>
          </w:r>
          <w:r>
            <w:fldChar w:fldCharType="separate"/>
          </w:r>
          <w:r>
            <w:rPr>
              <w:rFonts w:hint="eastAsia" w:ascii="仿宋" w:hAnsi="仿宋" w:eastAsia="仿宋" w:cs="楷体_GB2312"/>
              <w:bCs/>
              <w:szCs w:val="32"/>
            </w:rPr>
            <w:t>（二）自评的方法和过程</w:t>
          </w:r>
          <w:r>
            <w:tab/>
          </w:r>
          <w:r>
            <w:fldChar w:fldCharType="begin"/>
          </w:r>
          <w:r>
            <w:instrText xml:space="preserve"> PAGEREF _Toc25509 \h </w:instrText>
          </w:r>
          <w:r>
            <w:fldChar w:fldCharType="separate"/>
          </w:r>
          <w:r>
            <w:t>9</w:t>
          </w:r>
          <w:r>
            <w:fldChar w:fldCharType="end"/>
          </w:r>
          <w:r>
            <w:fldChar w:fldCharType="end"/>
          </w:r>
        </w:p>
        <w:p w14:paraId="2073D915">
          <w:pPr>
            <w:pStyle w:val="8"/>
            <w:tabs>
              <w:tab w:val="right" w:leader="dot" w:pos="8306"/>
            </w:tabs>
          </w:pPr>
          <w:r>
            <w:fldChar w:fldCharType="begin"/>
          </w:r>
          <w:r>
            <w:instrText xml:space="preserve"> HYPERLINK \l "_Toc12595" </w:instrText>
          </w:r>
          <w:r>
            <w:fldChar w:fldCharType="separate"/>
          </w:r>
          <w:r>
            <w:rPr>
              <w:rFonts w:hint="eastAsia" w:ascii="黑体" w:hAnsi="黑体" w:eastAsia="黑体"/>
              <w:szCs w:val="32"/>
            </w:rPr>
            <w:t>三、部门整体支出绩效目标实现情况及指标分析</w:t>
          </w:r>
          <w:r>
            <w:tab/>
          </w:r>
          <w:r>
            <w:fldChar w:fldCharType="begin"/>
          </w:r>
          <w:r>
            <w:instrText xml:space="preserve"> PAGEREF _Toc12595 \h </w:instrText>
          </w:r>
          <w:r>
            <w:fldChar w:fldCharType="separate"/>
          </w:r>
          <w:r>
            <w:t>9</w:t>
          </w:r>
          <w:r>
            <w:fldChar w:fldCharType="end"/>
          </w:r>
          <w:r>
            <w:fldChar w:fldCharType="end"/>
          </w:r>
        </w:p>
        <w:p w14:paraId="361F9238">
          <w:pPr>
            <w:pStyle w:val="9"/>
            <w:tabs>
              <w:tab w:val="right" w:leader="dot" w:pos="8306"/>
            </w:tabs>
          </w:pPr>
          <w:r>
            <w:fldChar w:fldCharType="begin"/>
          </w:r>
          <w:r>
            <w:instrText xml:space="preserve"> HYPERLINK \l "_Toc4357" </w:instrText>
          </w:r>
          <w:r>
            <w:fldChar w:fldCharType="separate"/>
          </w:r>
          <w:r>
            <w:rPr>
              <w:rFonts w:ascii="仿宋" w:hAnsi="仿宋" w:eastAsia="仿宋" w:cs="楷体_GB2312"/>
              <w:bCs/>
              <w:szCs w:val="32"/>
            </w:rPr>
            <w:t>（一）</w:t>
          </w:r>
          <w:r>
            <w:rPr>
              <w:rFonts w:hint="eastAsia" w:ascii="仿宋" w:hAnsi="仿宋" w:eastAsia="仿宋" w:cs="楷体_GB2312"/>
              <w:bCs/>
              <w:szCs w:val="32"/>
            </w:rPr>
            <w:t>总体绩效目标实现情况</w:t>
          </w:r>
          <w:r>
            <w:tab/>
          </w:r>
          <w:r>
            <w:fldChar w:fldCharType="begin"/>
          </w:r>
          <w:r>
            <w:instrText xml:space="preserve"> PAGEREF _Toc4357 \h </w:instrText>
          </w:r>
          <w:r>
            <w:fldChar w:fldCharType="separate"/>
          </w:r>
          <w:r>
            <w:t>9</w:t>
          </w:r>
          <w:r>
            <w:fldChar w:fldCharType="end"/>
          </w:r>
          <w:r>
            <w:fldChar w:fldCharType="end"/>
          </w:r>
        </w:p>
        <w:p w14:paraId="23FB53AF">
          <w:pPr>
            <w:pStyle w:val="9"/>
            <w:tabs>
              <w:tab w:val="right" w:leader="dot" w:pos="8306"/>
            </w:tabs>
          </w:pPr>
          <w:r>
            <w:fldChar w:fldCharType="begin"/>
          </w:r>
          <w:r>
            <w:instrText xml:space="preserve"> HYPERLINK \l "_Toc6733" </w:instrText>
          </w:r>
          <w:r>
            <w:fldChar w:fldCharType="separate"/>
          </w:r>
          <w:r>
            <w:rPr>
              <w:rFonts w:hint="eastAsia" w:ascii="仿宋" w:hAnsi="仿宋" w:eastAsia="仿宋" w:cs="楷体_GB2312"/>
              <w:bCs/>
              <w:szCs w:val="32"/>
            </w:rPr>
            <w:t>（二）分项绩效目标实现情况及指标分析</w:t>
          </w:r>
          <w:r>
            <w:tab/>
          </w:r>
          <w:r>
            <w:fldChar w:fldCharType="begin"/>
          </w:r>
          <w:r>
            <w:instrText xml:space="preserve"> PAGEREF _Toc6733 \h </w:instrText>
          </w:r>
          <w:r>
            <w:fldChar w:fldCharType="separate"/>
          </w:r>
          <w:r>
            <w:t>9</w:t>
          </w:r>
          <w:r>
            <w:fldChar w:fldCharType="end"/>
          </w:r>
          <w:r>
            <w:fldChar w:fldCharType="end"/>
          </w:r>
        </w:p>
        <w:p w14:paraId="49CFAB52">
          <w:pPr>
            <w:pStyle w:val="8"/>
            <w:tabs>
              <w:tab w:val="right" w:leader="dot" w:pos="8306"/>
            </w:tabs>
          </w:pPr>
          <w:r>
            <w:fldChar w:fldCharType="begin"/>
          </w:r>
          <w:r>
            <w:instrText xml:space="preserve"> HYPERLINK \l "_Toc15783" </w:instrText>
          </w:r>
          <w:r>
            <w:fldChar w:fldCharType="separate"/>
          </w:r>
          <w:r>
            <w:rPr>
              <w:rFonts w:hint="eastAsia" w:ascii="黑体" w:hAnsi="黑体" w:eastAsia="黑体"/>
              <w:szCs w:val="32"/>
            </w:rPr>
            <w:t>四、评价结论和评价等级</w:t>
          </w:r>
          <w:r>
            <w:tab/>
          </w:r>
          <w:r>
            <w:fldChar w:fldCharType="begin"/>
          </w:r>
          <w:r>
            <w:instrText xml:space="preserve"> PAGEREF _Toc15783 \h </w:instrText>
          </w:r>
          <w:r>
            <w:fldChar w:fldCharType="separate"/>
          </w:r>
          <w:r>
            <w:t>11</w:t>
          </w:r>
          <w:r>
            <w:fldChar w:fldCharType="end"/>
          </w:r>
          <w:r>
            <w:fldChar w:fldCharType="end"/>
          </w:r>
        </w:p>
        <w:p w14:paraId="1E6AEE7F">
          <w:pPr>
            <w:pStyle w:val="8"/>
            <w:tabs>
              <w:tab w:val="right" w:leader="dot" w:pos="8306"/>
            </w:tabs>
          </w:pPr>
          <w:r>
            <w:fldChar w:fldCharType="begin"/>
          </w:r>
          <w:r>
            <w:instrText xml:space="preserve"> HYPERLINK \l "_Toc10679" </w:instrText>
          </w:r>
          <w:r>
            <w:fldChar w:fldCharType="separate"/>
          </w:r>
          <w:r>
            <w:rPr>
              <w:rFonts w:hint="eastAsia" w:ascii="黑体" w:hAnsi="黑体" w:eastAsia="黑体"/>
              <w:szCs w:val="32"/>
            </w:rPr>
            <w:t>五、存在的问题及改进措施</w:t>
          </w:r>
          <w:r>
            <w:tab/>
          </w:r>
          <w:r>
            <w:fldChar w:fldCharType="begin"/>
          </w:r>
          <w:r>
            <w:instrText xml:space="preserve"> PAGEREF _Toc10679 \h </w:instrText>
          </w:r>
          <w:r>
            <w:fldChar w:fldCharType="separate"/>
          </w:r>
          <w:r>
            <w:t>11</w:t>
          </w:r>
          <w:r>
            <w:fldChar w:fldCharType="end"/>
          </w:r>
          <w:r>
            <w:fldChar w:fldCharType="end"/>
          </w:r>
        </w:p>
        <w:p w14:paraId="368B3C07">
          <w:pPr>
            <w:pStyle w:val="9"/>
            <w:tabs>
              <w:tab w:val="right" w:leader="dot" w:pos="8306"/>
            </w:tabs>
          </w:pPr>
          <w:r>
            <w:fldChar w:fldCharType="begin"/>
          </w:r>
          <w:r>
            <w:instrText xml:space="preserve"> HYPERLINK \l "_Toc26658" </w:instrText>
          </w:r>
          <w:r>
            <w:fldChar w:fldCharType="separate"/>
          </w:r>
          <w:r>
            <w:rPr>
              <w:rFonts w:hint="eastAsia" w:ascii="仿宋" w:hAnsi="仿宋" w:eastAsia="仿宋"/>
              <w:bCs/>
              <w:szCs w:val="32"/>
            </w:rPr>
            <w:t>（一）存在的主要问题</w:t>
          </w:r>
          <w:r>
            <w:tab/>
          </w:r>
          <w:r>
            <w:fldChar w:fldCharType="begin"/>
          </w:r>
          <w:r>
            <w:instrText xml:space="preserve"> PAGEREF _Toc26658 \h </w:instrText>
          </w:r>
          <w:r>
            <w:fldChar w:fldCharType="separate"/>
          </w:r>
          <w:r>
            <w:t>11</w:t>
          </w:r>
          <w:r>
            <w:fldChar w:fldCharType="end"/>
          </w:r>
          <w:r>
            <w:fldChar w:fldCharType="end"/>
          </w:r>
        </w:p>
        <w:p w14:paraId="4CA8842F">
          <w:pPr>
            <w:pStyle w:val="9"/>
            <w:tabs>
              <w:tab w:val="right" w:leader="dot" w:pos="8306"/>
            </w:tabs>
          </w:pPr>
          <w:r>
            <w:fldChar w:fldCharType="begin"/>
          </w:r>
          <w:r>
            <w:instrText xml:space="preserve"> HYPERLINK \l "_Toc22082" </w:instrText>
          </w:r>
          <w:r>
            <w:fldChar w:fldCharType="separate"/>
          </w:r>
          <w:r>
            <w:rPr>
              <w:rFonts w:hint="eastAsia" w:ascii="仿宋" w:hAnsi="仿宋" w:eastAsia="仿宋"/>
              <w:bCs/>
              <w:szCs w:val="32"/>
            </w:rPr>
            <w:t>（二）针对问题提出具体的改进措施或建议</w:t>
          </w:r>
          <w:r>
            <w:tab/>
          </w:r>
          <w:r>
            <w:fldChar w:fldCharType="begin"/>
          </w:r>
          <w:r>
            <w:instrText xml:space="preserve"> PAGEREF _Toc22082 \h </w:instrText>
          </w:r>
          <w:r>
            <w:fldChar w:fldCharType="separate"/>
          </w:r>
          <w:r>
            <w:t>11</w:t>
          </w:r>
          <w:r>
            <w:fldChar w:fldCharType="end"/>
          </w:r>
          <w:r>
            <w:fldChar w:fldCharType="end"/>
          </w:r>
        </w:p>
        <w:p w14:paraId="034E52AE">
          <w:pPr>
            <w:pStyle w:val="8"/>
            <w:tabs>
              <w:tab w:val="right" w:leader="dot" w:pos="8306"/>
            </w:tabs>
          </w:pPr>
          <w:r>
            <w:fldChar w:fldCharType="begin"/>
          </w:r>
          <w:r>
            <w:instrText xml:space="preserve"> HYPERLINK \l "_Toc15408" </w:instrText>
          </w:r>
          <w:r>
            <w:fldChar w:fldCharType="separate"/>
          </w:r>
          <w:r>
            <w:rPr>
              <w:rFonts w:hint="eastAsia" w:ascii="黑体" w:hAnsi="黑体" w:eastAsia="黑体"/>
              <w:szCs w:val="32"/>
            </w:rPr>
            <w:t>六、评价工作组人员名单及签字（姓名、工作单位、职务、职称）</w:t>
          </w:r>
          <w:r>
            <w:tab/>
          </w:r>
          <w:r>
            <w:fldChar w:fldCharType="begin"/>
          </w:r>
          <w:r>
            <w:instrText xml:space="preserve"> PAGEREF _Toc15408 \h </w:instrText>
          </w:r>
          <w:r>
            <w:fldChar w:fldCharType="separate"/>
          </w:r>
          <w:r>
            <w:t>12</w:t>
          </w:r>
          <w:r>
            <w:fldChar w:fldCharType="end"/>
          </w:r>
          <w:r>
            <w:fldChar w:fldCharType="end"/>
          </w:r>
        </w:p>
        <w:p w14:paraId="369A6B09">
          <w:pPr>
            <w:rPr>
              <w:rFonts w:ascii="宋体" w:hAnsi="宋体" w:cs="宋体"/>
              <w:b/>
              <w:bCs/>
              <w:sz w:val="44"/>
              <w:szCs w:val="44"/>
            </w:rPr>
            <w:sectPr>
              <w:pgSz w:w="11906" w:h="16838"/>
              <w:pgMar w:top="1440" w:right="1800" w:bottom="1440" w:left="1800" w:header="851" w:footer="992" w:gutter="0"/>
              <w:pgNumType w:fmt="numberInDash"/>
              <w:cols w:space="720" w:num="1"/>
              <w:docGrid w:type="lines" w:linePitch="312" w:charSpace="0"/>
            </w:sectPr>
          </w:pPr>
          <w:r>
            <w:rPr>
              <w:bCs/>
            </w:rPr>
            <w:fldChar w:fldCharType="end"/>
          </w:r>
        </w:p>
      </w:sdtContent>
    </w:sdt>
    <w:p w14:paraId="33F8F3FB">
      <w:pPr>
        <w:spacing w:line="360" w:lineRule="auto"/>
        <w:rPr>
          <w:rFonts w:ascii="宋体" w:hAnsi="宋体" w:cs="宋体"/>
          <w:b/>
          <w:bCs/>
          <w:sz w:val="44"/>
          <w:szCs w:val="44"/>
        </w:rPr>
      </w:pPr>
    </w:p>
    <w:p w14:paraId="68A87946">
      <w:pPr>
        <w:spacing w:line="560" w:lineRule="exact"/>
        <w:jc w:val="center"/>
        <w:rPr>
          <w:rFonts w:ascii="宋体" w:hAnsi="宋体" w:cs="宋体"/>
          <w:b/>
          <w:bCs/>
          <w:sz w:val="44"/>
          <w:szCs w:val="44"/>
        </w:rPr>
      </w:pPr>
      <w:r>
        <w:rPr>
          <w:rFonts w:hint="eastAsia" w:ascii="宋体" w:hAnsi="宋体" w:cs="宋体"/>
          <w:b/>
          <w:bCs/>
          <w:sz w:val="44"/>
          <w:szCs w:val="44"/>
        </w:rPr>
        <w:t>石家庄住房公积金管理中心              2021年度整体支出绩效自评报告</w:t>
      </w:r>
    </w:p>
    <w:p w14:paraId="786C9D97">
      <w:pPr>
        <w:adjustRightInd w:val="0"/>
        <w:snapToGrid w:val="0"/>
        <w:spacing w:line="560" w:lineRule="exact"/>
        <w:ind w:firstLine="640" w:firstLineChars="200"/>
        <w:rPr>
          <w:rFonts w:ascii="宋体" w:hAnsi="宋体" w:eastAsia="仿宋" w:cs="宋体"/>
          <w:sz w:val="32"/>
          <w:szCs w:val="32"/>
        </w:rPr>
      </w:pPr>
    </w:p>
    <w:p w14:paraId="16B569B4">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w:t>
      </w:r>
      <w:r>
        <w:rPr>
          <w:rFonts w:hint="eastAsia" w:ascii="仿宋_GB2312" w:eastAsia="仿宋_GB2312"/>
          <w:sz w:val="32"/>
          <w:szCs w:val="32"/>
        </w:rPr>
        <w:t>〔</w:t>
      </w:r>
      <w:r>
        <w:rPr>
          <w:rFonts w:hint="eastAsia" w:ascii="仿宋" w:hAnsi="仿宋" w:eastAsia="仿宋"/>
          <w:sz w:val="32"/>
          <w:szCs w:val="32"/>
        </w:rPr>
        <w:t>2019</w:t>
      </w:r>
      <w:r>
        <w:rPr>
          <w:rFonts w:hint="eastAsia" w:ascii="仿宋_GB2312" w:eastAsia="仿宋_GB2312"/>
          <w:sz w:val="32"/>
          <w:szCs w:val="32"/>
        </w:rPr>
        <w:t>〕</w:t>
      </w:r>
      <w:r>
        <w:rPr>
          <w:rFonts w:hint="eastAsia" w:ascii="仿宋" w:hAnsi="仿宋" w:eastAsia="仿宋"/>
          <w:sz w:val="32"/>
          <w:szCs w:val="32"/>
        </w:rPr>
        <w:t>8号）文件精神，遵循“科学性、规范性、客观性和公正性”的原则，对石家庄住房公积金管理中心</w:t>
      </w:r>
      <w:r>
        <w:rPr>
          <w:rFonts w:hint="eastAsia" w:ascii="仿宋_GB2312" w:eastAsia="仿宋_GB2312"/>
          <w:sz w:val="32"/>
          <w:szCs w:val="32"/>
        </w:rPr>
        <w:t>（以下简称“公积金中心”）</w:t>
      </w:r>
      <w:r>
        <w:rPr>
          <w:rFonts w:hint="eastAsia" w:ascii="仿宋" w:hAnsi="仿宋" w:eastAsia="仿宋"/>
          <w:sz w:val="32"/>
          <w:szCs w:val="32"/>
        </w:rPr>
        <w:t>2021年整体支出情况实施了财政支出绩效评价，形成本评价报告。</w:t>
      </w:r>
    </w:p>
    <w:p w14:paraId="20B6E617">
      <w:pPr>
        <w:adjustRightInd w:val="0"/>
        <w:snapToGrid w:val="0"/>
        <w:spacing w:line="360" w:lineRule="auto"/>
        <w:outlineLvl w:val="0"/>
        <w:rPr>
          <w:rFonts w:ascii="黑体" w:hAnsi="黑体" w:eastAsia="黑体"/>
          <w:b/>
          <w:bCs/>
          <w:sz w:val="32"/>
          <w:szCs w:val="36"/>
        </w:rPr>
      </w:pPr>
      <w:bookmarkStart w:id="0" w:name="_Toc10100"/>
      <w:bookmarkStart w:id="1" w:name="_Toc27559"/>
      <w:r>
        <w:rPr>
          <w:rFonts w:hint="eastAsia" w:ascii="黑体" w:hAnsi="黑体" w:eastAsia="黑体"/>
          <w:sz w:val="32"/>
          <w:szCs w:val="32"/>
        </w:rPr>
        <w:t>一、部门</w:t>
      </w:r>
      <w:r>
        <w:rPr>
          <w:rFonts w:hint="eastAsia" w:ascii="黑体" w:hAnsi="黑体" w:eastAsia="黑体"/>
          <w:sz w:val="32"/>
          <w:szCs w:val="36"/>
        </w:rPr>
        <w:t>基本情况</w:t>
      </w:r>
      <w:bookmarkEnd w:id="0"/>
      <w:bookmarkEnd w:id="1"/>
    </w:p>
    <w:p w14:paraId="33FFA7C9">
      <w:pPr>
        <w:adjustRightInd w:val="0"/>
        <w:snapToGrid w:val="0"/>
        <w:spacing w:line="360" w:lineRule="auto"/>
        <w:ind w:firstLine="643" w:firstLineChars="200"/>
        <w:outlineLvl w:val="1"/>
        <w:rPr>
          <w:rFonts w:ascii="仿宋" w:hAnsi="仿宋" w:eastAsia="仿宋" w:cs="楷体_GB2312"/>
          <w:b/>
          <w:bCs/>
          <w:sz w:val="32"/>
          <w:szCs w:val="32"/>
        </w:rPr>
      </w:pPr>
      <w:bookmarkStart w:id="2" w:name="_Toc9491"/>
      <w:bookmarkStart w:id="3" w:name="_Toc16631"/>
      <w:r>
        <w:rPr>
          <w:rFonts w:hint="eastAsia" w:ascii="仿宋" w:hAnsi="仿宋" w:eastAsia="仿宋" w:cs="楷体_GB2312"/>
          <w:b/>
          <w:bCs/>
          <w:sz w:val="32"/>
          <w:szCs w:val="32"/>
        </w:rPr>
        <w:t>（一）部门概况</w:t>
      </w:r>
      <w:bookmarkEnd w:id="2"/>
      <w:bookmarkEnd w:id="3"/>
    </w:p>
    <w:p w14:paraId="7CD58F6E">
      <w:pPr>
        <w:adjustRightInd w:val="0"/>
        <w:snapToGrid w:val="0"/>
        <w:spacing w:line="360" w:lineRule="auto"/>
        <w:ind w:firstLine="643" w:firstLineChars="200"/>
        <w:outlineLvl w:val="2"/>
        <w:rPr>
          <w:rFonts w:ascii="仿宋_GB2312" w:eastAsia="仿宋_GB2312"/>
          <w:b/>
          <w:sz w:val="32"/>
          <w:szCs w:val="32"/>
        </w:rPr>
      </w:pPr>
      <w:bookmarkStart w:id="4" w:name="_Toc14799"/>
      <w:bookmarkStart w:id="5" w:name="_Toc8001"/>
      <w:r>
        <w:rPr>
          <w:rFonts w:hint="eastAsia" w:ascii="仿宋_GB2312" w:eastAsia="仿宋_GB2312"/>
          <w:b/>
          <w:sz w:val="32"/>
          <w:szCs w:val="32"/>
        </w:rPr>
        <w:t>1.部门职能</w:t>
      </w:r>
      <w:bookmarkEnd w:id="4"/>
      <w:bookmarkEnd w:id="5"/>
    </w:p>
    <w:p w14:paraId="2494B371">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（1）编制、执行住房公积金的归集、使用计划。归集计划包括住房公积金的覆盖面、缴存基数、缴存比例、归集总额及归集措施等。使用计划包括公积金提取额、发放贷款额、风险准备金提取额及使用办法等。</w:t>
      </w:r>
    </w:p>
    <w:p w14:paraId="47142A21">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（2）负责记载职工住房公积金的缴存、支取、使用等情况。真实、及时记载住房公积金缴存、提取、使用，准确掌握职工个人住房公积金账户内的资金数额和变动状况，并和委托银行定期对账。</w:t>
      </w:r>
    </w:p>
    <w:p w14:paraId="3440EE4D">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（3）负责住房公积金的核算。真实、全面、准确、及时地建立公积金的总账与职工公积金明细账，建立完整的财务管理制度，并对公积金资金管理的过程进行资产管理、会计核算。</w:t>
      </w:r>
    </w:p>
    <w:p w14:paraId="0FAB045A">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4）审批住房公积金的提取、使用。缴存职工是否符合提取或申请住房公积金贷款条件，可以提取余额多少、贷款额度多少等问题，都需要由住房公积金管理中心审批，职工根据住房公积金管理中心的审批结果到受托银行办理公积金提取、贷款手续。</w:t>
      </w:r>
    </w:p>
    <w:p w14:paraId="7E0B5DAB">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5）负责住房公积金的保值和归还。住房公积金中心在发展个人购房消费贷款的同时，应按规定对归集的住房公积金进行保值投资。在保证提取和贷款的前提下，可以将住房公积金用于购买国债投资，并用部分增值收益建立贷款风险准备金。</w:t>
      </w:r>
    </w:p>
    <w:p w14:paraId="5B5DA2DD">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6）编制住房公积金归集、使用计划执行情况的报告。住房公积金归集、使用计划执行情况报告应当反映建立住房公积金制度的单位数和缴存职工数、归集总额、提取总额、发放贷款总额、贷款户数、保值情况及计划执行情况的说明等方面的情况。</w:t>
      </w:r>
    </w:p>
    <w:p w14:paraId="66D49025">
      <w:pPr>
        <w:adjustRightInd w:val="0"/>
        <w:snapToGrid w:val="0"/>
        <w:spacing w:line="360" w:lineRule="auto"/>
        <w:ind w:firstLine="640" w:firstLineChars="200"/>
        <w:rPr>
          <w:rFonts w:ascii="仿宋_GB2312" w:eastAsia="仿宋_GB2312"/>
          <w:b/>
          <w:sz w:val="32"/>
          <w:szCs w:val="32"/>
        </w:rPr>
      </w:pPr>
      <w:r>
        <w:rPr>
          <w:rFonts w:hint="eastAsia" w:ascii="仿宋" w:hAnsi="仿宋" w:eastAsia="仿宋"/>
          <w:sz w:val="32"/>
          <w:szCs w:val="32"/>
        </w:rPr>
        <w:t>（7）承办住房公积金管理委员会决定的其他事项。</w:t>
      </w:r>
    </w:p>
    <w:p w14:paraId="3E7CB0AB">
      <w:pPr>
        <w:adjustRightInd w:val="0"/>
        <w:snapToGrid w:val="0"/>
        <w:spacing w:line="360" w:lineRule="auto"/>
        <w:ind w:firstLine="643" w:firstLineChars="200"/>
        <w:outlineLvl w:val="2"/>
        <w:rPr>
          <w:rFonts w:ascii="仿宋_GB2312" w:eastAsia="仿宋_GB2312"/>
          <w:b/>
          <w:sz w:val="32"/>
          <w:szCs w:val="32"/>
        </w:rPr>
      </w:pPr>
      <w:bookmarkStart w:id="6" w:name="_Toc3007"/>
      <w:bookmarkStart w:id="7" w:name="_Toc6239"/>
      <w:r>
        <w:rPr>
          <w:rFonts w:hint="eastAsia" w:ascii="仿宋_GB2312" w:eastAsia="仿宋_GB2312"/>
          <w:b/>
          <w:sz w:val="32"/>
          <w:szCs w:val="32"/>
        </w:rPr>
        <w:t>2.组织机构及人员、资产基本情况</w:t>
      </w:r>
      <w:bookmarkEnd w:id="6"/>
      <w:bookmarkEnd w:id="7"/>
    </w:p>
    <w:p w14:paraId="073CB9D1">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公积金中心于2003年8月组建成立，为直属市政府的事业单位，执行事业单位会计制度。人员编制165名，领导班子1正6副。内设12个科室（办公室、机关党委、人事教育科、资金归集科、信贷科、会计科、政策法规科、信息技术科、稽核审计科、个贷中心、核算中心、客户服务中心）；下辖5个城区管理部，17个县（市）区管理部。</w:t>
      </w:r>
    </w:p>
    <w:p w14:paraId="5205C556">
      <w:pPr>
        <w:pStyle w:val="2"/>
        <w:spacing w:line="360" w:lineRule="auto"/>
        <w:ind w:firstLine="640"/>
      </w:pPr>
      <w:r>
        <w:rPr>
          <w:rFonts w:hint="eastAsia" w:ascii="仿宋_GB2312" w:eastAsia="仿宋_GB2312"/>
          <w:sz w:val="32"/>
          <w:szCs w:val="32"/>
        </w:rPr>
        <w:t>截至2021年12月31日，固定资产净值8942.02万元，其中：房屋及构筑物8036.36万元，通用设备683.38万元，专用设备0.02万元，图书5.20万元，家具、用具、装具及动植物217.06万元。</w:t>
      </w:r>
    </w:p>
    <w:p w14:paraId="123F7C90">
      <w:pPr>
        <w:numPr>
          <w:ilvl w:val="0"/>
          <w:numId w:val="1"/>
        </w:numPr>
        <w:adjustRightInd w:val="0"/>
        <w:snapToGrid w:val="0"/>
        <w:spacing w:line="360" w:lineRule="auto"/>
        <w:ind w:firstLine="643" w:firstLineChars="200"/>
        <w:outlineLvl w:val="1"/>
        <w:rPr>
          <w:rFonts w:ascii="仿宋" w:hAnsi="仿宋" w:eastAsia="仿宋" w:cs="楷体_GB2312"/>
          <w:b/>
          <w:bCs/>
          <w:sz w:val="32"/>
          <w:szCs w:val="32"/>
        </w:rPr>
      </w:pPr>
      <w:bookmarkStart w:id="8" w:name="_Toc31412"/>
      <w:bookmarkStart w:id="9" w:name="_Toc9472"/>
      <w:r>
        <w:rPr>
          <w:rFonts w:hint="eastAsia" w:ascii="仿宋" w:hAnsi="仿宋" w:eastAsia="仿宋" w:cs="楷体_GB2312"/>
          <w:b/>
          <w:bCs/>
          <w:sz w:val="32"/>
          <w:szCs w:val="32"/>
        </w:rPr>
        <w:t>部门收支预决算情况</w:t>
      </w:r>
      <w:bookmarkEnd w:id="8"/>
      <w:bookmarkEnd w:id="9"/>
    </w:p>
    <w:p w14:paraId="27C3A28F">
      <w:pPr>
        <w:widowControl/>
        <w:spacing w:line="360" w:lineRule="auto"/>
        <w:ind w:firstLine="643" w:firstLineChars="200"/>
        <w:outlineLvl w:val="2"/>
        <w:rPr>
          <w:rFonts w:ascii="仿宋" w:hAnsi="仿宋" w:eastAsia="仿宋"/>
          <w:b/>
          <w:sz w:val="32"/>
          <w:szCs w:val="32"/>
        </w:rPr>
      </w:pPr>
      <w:bookmarkStart w:id="10" w:name="_Toc22150"/>
      <w:bookmarkStart w:id="11" w:name="_Toc15197"/>
      <w:bookmarkStart w:id="12" w:name="_Toc32759"/>
      <w:r>
        <w:rPr>
          <w:rFonts w:hint="eastAsia" w:ascii="仿宋" w:hAnsi="仿宋" w:eastAsia="仿宋"/>
          <w:b/>
          <w:sz w:val="32"/>
          <w:szCs w:val="32"/>
        </w:rPr>
        <w:t>1.预算安排情况</w:t>
      </w:r>
      <w:bookmarkEnd w:id="10"/>
      <w:bookmarkEnd w:id="11"/>
      <w:bookmarkEnd w:id="12"/>
    </w:p>
    <w:p w14:paraId="0EEA37E0">
      <w:pPr>
        <w:pStyle w:val="2"/>
        <w:spacing w:line="360" w:lineRule="auto"/>
        <w:ind w:firstLine="640"/>
        <w:rPr>
          <w:rFonts w:ascii="仿宋_GB2312" w:hAnsi="仿宋_GB2312" w:eastAsia="仿宋_GB2312" w:cs="仿宋_GB2312"/>
          <w:sz w:val="32"/>
          <w:szCs w:val="24"/>
        </w:rPr>
      </w:pPr>
      <w:r>
        <w:rPr>
          <w:rFonts w:hint="eastAsia" w:ascii="仿宋_GB2312" w:hAnsi="仿宋_GB2312" w:eastAsia="仿宋_GB2312" w:cs="仿宋_GB2312"/>
          <w:sz w:val="32"/>
          <w:szCs w:val="24"/>
        </w:rPr>
        <w:t>2021年公积金中心预算收入5789.57万元，其中：一般公共预算财政拨款收入5789.57万元，基金预算收入0万元，财政专户核拨收入0万元，其他来源收入0万元。</w:t>
      </w:r>
    </w:p>
    <w:p w14:paraId="639F1BB2">
      <w:pPr>
        <w:pStyle w:val="2"/>
        <w:spacing w:line="360" w:lineRule="auto"/>
        <w:ind w:firstLine="640"/>
        <w:rPr>
          <w:rFonts w:ascii="仿宋_GB2312" w:hAnsi="仿宋_GB2312" w:eastAsia="仿宋_GB2312" w:cs="仿宋_GB2312"/>
          <w:sz w:val="32"/>
          <w:szCs w:val="24"/>
        </w:rPr>
      </w:pPr>
      <w:r>
        <w:rPr>
          <w:rFonts w:hint="eastAsia" w:ascii="仿宋_GB2312" w:hAnsi="仿宋_GB2312" w:eastAsia="仿宋_GB2312" w:cs="仿宋_GB2312"/>
          <w:sz w:val="32"/>
          <w:szCs w:val="24"/>
        </w:rPr>
        <w:t>2021年预算支出5789.57万元，其中：基本支出4538.72万元，包括人员经费4177.69万元和日常公用经费361.03万元；项目支出1250.85万元。</w:t>
      </w:r>
    </w:p>
    <w:p w14:paraId="77C1C888">
      <w:pPr>
        <w:widowControl/>
        <w:spacing w:line="360" w:lineRule="auto"/>
        <w:ind w:firstLine="643" w:firstLineChars="200"/>
        <w:outlineLvl w:val="2"/>
        <w:rPr>
          <w:rFonts w:ascii="仿宋" w:hAnsi="仿宋" w:eastAsia="仿宋"/>
          <w:b/>
          <w:sz w:val="32"/>
          <w:szCs w:val="32"/>
        </w:rPr>
      </w:pPr>
      <w:bookmarkStart w:id="13" w:name="_Toc14462"/>
      <w:bookmarkStart w:id="14" w:name="_Toc21479"/>
      <w:bookmarkStart w:id="15" w:name="_Toc5884"/>
      <w:r>
        <w:rPr>
          <w:rFonts w:hint="eastAsia" w:ascii="仿宋" w:hAnsi="仿宋" w:eastAsia="仿宋"/>
          <w:b/>
          <w:sz w:val="32"/>
          <w:szCs w:val="32"/>
        </w:rPr>
        <w:t>2.预算调整情况</w:t>
      </w:r>
      <w:bookmarkEnd w:id="13"/>
      <w:bookmarkEnd w:id="14"/>
      <w:bookmarkEnd w:id="15"/>
    </w:p>
    <w:p w14:paraId="367787CB">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2021年公积金中心调整后预算收入5548.85万元，其中：一般公共预算财政拨款收入5507.30万元、年初结转和结余41.55万元。</w:t>
      </w:r>
    </w:p>
    <w:p w14:paraId="3311CC90">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2021年调整后预算支出5548.85万元，其中：基本支出4315.14万元，包括人员经费3940.70万元和日常公用经费374.44万元；项目支出1233.71万元。</w:t>
      </w:r>
    </w:p>
    <w:p w14:paraId="3D2F0A51">
      <w:pPr>
        <w:widowControl/>
        <w:spacing w:line="360" w:lineRule="auto"/>
        <w:ind w:firstLine="643" w:firstLineChars="200"/>
        <w:outlineLvl w:val="2"/>
        <w:rPr>
          <w:rFonts w:ascii="仿宋" w:hAnsi="仿宋" w:eastAsia="仿宋"/>
          <w:b/>
          <w:sz w:val="32"/>
          <w:szCs w:val="32"/>
        </w:rPr>
      </w:pPr>
      <w:bookmarkStart w:id="16" w:name="_Toc14823"/>
      <w:bookmarkStart w:id="17" w:name="_Toc28078"/>
      <w:bookmarkStart w:id="18" w:name="_Toc13174"/>
      <w:r>
        <w:rPr>
          <w:rFonts w:hint="eastAsia" w:ascii="仿宋" w:hAnsi="仿宋" w:eastAsia="仿宋"/>
          <w:b/>
          <w:sz w:val="32"/>
          <w:szCs w:val="32"/>
        </w:rPr>
        <w:t>3.决算情况</w:t>
      </w:r>
      <w:bookmarkEnd w:id="16"/>
      <w:bookmarkEnd w:id="17"/>
      <w:bookmarkEnd w:id="18"/>
    </w:p>
    <w:p w14:paraId="67ED33EC">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2021年公积金中心收入决算5548.85万元，其中：一般公共预算财政拨款收入5507.30万元、年初结转和结余41.55万元。</w:t>
      </w:r>
    </w:p>
    <w:p w14:paraId="3E98AEBB">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2021年支出决算4979.24万元，其中：基本支出3745.53万元，包括人员经费3371.09万元和日常公用经费374.44万元；项目支出1233.71万元。</w:t>
      </w:r>
    </w:p>
    <w:p w14:paraId="1C0FD556">
      <w:pPr>
        <w:spacing w:line="360" w:lineRule="auto"/>
        <w:ind w:firstLine="640" w:firstLineChars="200"/>
        <w:rPr>
          <w:rFonts w:ascii="仿宋" w:hAnsi="仿宋" w:eastAsia="仿宋" w:cs="楷体_GB2312"/>
          <w:b/>
          <w:bCs/>
          <w:sz w:val="32"/>
          <w:szCs w:val="32"/>
        </w:rPr>
      </w:pPr>
      <w:r>
        <w:rPr>
          <w:rFonts w:hint="eastAsia" w:ascii="仿宋_GB2312" w:hAnsi="仿宋_GB2312" w:eastAsia="仿宋_GB2312" w:cs="仿宋_GB2312"/>
          <w:sz w:val="32"/>
          <w:szCs w:val="24"/>
        </w:rPr>
        <w:t>2021年末结转和结余569.61万元。</w:t>
      </w:r>
    </w:p>
    <w:p w14:paraId="0AE33450">
      <w:pPr>
        <w:adjustRightInd w:val="0"/>
        <w:snapToGrid w:val="0"/>
        <w:spacing w:line="360" w:lineRule="auto"/>
        <w:ind w:firstLine="643" w:firstLineChars="200"/>
        <w:outlineLvl w:val="1"/>
        <w:rPr>
          <w:rFonts w:ascii="仿宋" w:hAnsi="仿宋" w:eastAsia="仿宋" w:cs="楷体_GB2312"/>
          <w:b/>
          <w:bCs/>
          <w:sz w:val="32"/>
          <w:szCs w:val="32"/>
        </w:rPr>
      </w:pPr>
      <w:bookmarkStart w:id="19" w:name="_Toc26845"/>
      <w:bookmarkStart w:id="20" w:name="_Toc7129"/>
      <w:r>
        <w:rPr>
          <w:rFonts w:hint="eastAsia" w:ascii="仿宋" w:hAnsi="仿宋" w:eastAsia="仿宋" w:cs="楷体_GB2312"/>
          <w:b/>
          <w:bCs/>
          <w:sz w:val="32"/>
          <w:szCs w:val="32"/>
        </w:rPr>
        <w:t>（三）部门整体支出绩效目标、指标</w:t>
      </w:r>
      <w:bookmarkEnd w:id="19"/>
      <w:bookmarkEnd w:id="20"/>
    </w:p>
    <w:p w14:paraId="5CBCFB67">
      <w:pPr>
        <w:widowControl/>
        <w:spacing w:line="360" w:lineRule="auto"/>
        <w:ind w:firstLine="643" w:firstLineChars="200"/>
        <w:outlineLvl w:val="2"/>
        <w:rPr>
          <w:rFonts w:ascii="仿宋" w:hAnsi="仿宋" w:eastAsia="仿宋"/>
          <w:b/>
          <w:sz w:val="32"/>
          <w:szCs w:val="32"/>
        </w:rPr>
      </w:pPr>
      <w:bookmarkStart w:id="21" w:name="_Toc28096"/>
      <w:bookmarkStart w:id="22" w:name="_Toc26070"/>
      <w:r>
        <w:rPr>
          <w:rFonts w:hint="eastAsia" w:ascii="仿宋" w:hAnsi="仿宋" w:eastAsia="仿宋"/>
          <w:b/>
          <w:sz w:val="32"/>
          <w:szCs w:val="32"/>
        </w:rPr>
        <w:t>1.总体绩效目标</w:t>
      </w:r>
      <w:bookmarkEnd w:id="21"/>
      <w:bookmarkEnd w:id="22"/>
    </w:p>
    <w:p w14:paraId="761BD046">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以习近平新时代中国特色社会主义思想为指导，坚持建党为魂、安全为先、惠民为本、服务为要，坚持夯基垒台与开拓创新相结合，大力推动业务发展，2021年归集额增长率、住房公积金个人贷款增长率和增值收益增长率均实现7%的目标。不断强化内部管理，精准化解风险隐患，将住房公积金个人贷款逾期率控制在0.02%以下。2021年建立健全各项制度，修订完善规章制度10项以上，积极开展住房公积金业务培训，不少于两期，200人次。加强综合服务平台建设，全面提升服务效能，让数据多跑路，群众少跑腿，业务办理离柜率达到70%以上，努力开创我市住房公积金管理新局面，为省会高质量发展做出新的更大贡献。2021年归集住房公积金127亿元、力争发放住房公积金个人贷款49亿元，实现住房公积金增值收益6亿元。</w:t>
      </w:r>
    </w:p>
    <w:p w14:paraId="63380A8E">
      <w:pPr>
        <w:widowControl/>
        <w:spacing w:line="360" w:lineRule="auto"/>
        <w:ind w:firstLine="643" w:firstLineChars="200"/>
        <w:outlineLvl w:val="2"/>
        <w:rPr>
          <w:rFonts w:ascii="仿宋" w:hAnsi="仿宋" w:eastAsia="仿宋"/>
          <w:b/>
          <w:sz w:val="32"/>
          <w:szCs w:val="32"/>
        </w:rPr>
      </w:pPr>
      <w:bookmarkStart w:id="23" w:name="_Toc9997"/>
      <w:bookmarkStart w:id="24" w:name="_Toc18760"/>
      <w:r>
        <w:rPr>
          <w:rFonts w:hint="eastAsia" w:ascii="仿宋" w:hAnsi="仿宋" w:eastAsia="仿宋"/>
          <w:b/>
          <w:sz w:val="32"/>
          <w:szCs w:val="32"/>
        </w:rPr>
        <w:t>2.分项绩效目标</w:t>
      </w:r>
      <w:bookmarkEnd w:id="23"/>
      <w:bookmarkEnd w:id="24"/>
    </w:p>
    <w:p w14:paraId="62558E02">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（1）大力发展公积金归集业务</w:t>
      </w:r>
    </w:p>
    <w:p w14:paraId="328B7506">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积极拓宽归集渠道，努力寻求增长空间，进一步扩大住房公积金制度覆盖面；加大住房公积金政策宣传力度，依照国家和地方相关政策规定，做好住房公积金提取审核工作，积极拓展网上提取业务范围，并做到提取资金实时到账，为职工提供高效、便捷的服务，提高单位和职工满意度。</w:t>
      </w:r>
    </w:p>
    <w:p w14:paraId="7AF55247">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绩效指标：稳妥有序推进自由职业者、个体工商户建制工作，2021年归集住房公积金127亿元，归集职工覆盖率超80%，归集</w:t>
      </w:r>
      <w:r>
        <w:rPr>
          <w:rFonts w:hint="eastAsia" w:ascii="仿宋_GB2312" w:hAnsi="仿宋_GB2312" w:eastAsia="仿宋_GB2312" w:cs="仿宋_GB2312"/>
          <w:sz w:val="32"/>
          <w:szCs w:val="24"/>
          <w:lang w:eastAsia="zh-CN"/>
        </w:rPr>
        <w:t>账户</w:t>
      </w:r>
      <w:r>
        <w:rPr>
          <w:rFonts w:hint="eastAsia" w:ascii="仿宋_GB2312" w:hAnsi="仿宋_GB2312" w:eastAsia="仿宋_GB2312" w:cs="仿宋_GB2312"/>
          <w:sz w:val="32"/>
          <w:szCs w:val="24"/>
        </w:rPr>
        <w:t>总数超105万户，实现年度归集额增长率7%。</w:t>
      </w:r>
    </w:p>
    <w:p w14:paraId="583BE778">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（2）不断加强贷款业务管理</w:t>
      </w:r>
    </w:p>
    <w:p w14:paraId="07618EFB">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积极落实国家和省相关政策，加大对房地产开发企业拒贷限贷的打击力度，做好房地产市场调研工作和住房公积金贷款政策宣传工作，使贷款职工充分了解我市住房公积金贷款政策，最大程度满足职工贷款需求。建立完善贷款风险准备金制度，做好贷前贷后管理，确保贷款管理规范。</w:t>
      </w:r>
    </w:p>
    <w:p w14:paraId="6A3114A8">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绩效指标：2021年力争发放住房公积金个人贷款49亿元，按照要求足额提取贷款风险准备</w:t>
      </w:r>
      <w:bookmarkStart w:id="48" w:name="_GoBack"/>
      <w:bookmarkEnd w:id="48"/>
      <w:r>
        <w:rPr>
          <w:rFonts w:hint="eastAsia" w:ascii="仿宋_GB2312" w:hAnsi="仿宋_GB2312" w:eastAsia="仿宋_GB2312" w:cs="仿宋_GB2312"/>
          <w:sz w:val="32"/>
          <w:szCs w:val="24"/>
        </w:rPr>
        <w:t>金，做到贷款风险准备金率不低于1%；成立治理违规贷款、失信行为惩戒专班，加强贷款逾期管理，发放住房公积金个人贷款增长率7%。</w:t>
      </w:r>
    </w:p>
    <w:p w14:paraId="2C1E9B8F">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（3）努力实现增值收益稳步增长</w:t>
      </w:r>
    </w:p>
    <w:p w14:paraId="7622A7AC">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合理运作资金，开展大额资金竞争性存放工作，在保证资金安全的前提下，进一步优化住房公积金存款结构，合理配置存款期限，提高住房公积金资金使用效率，实现收益最大化，按时足额向国库上缴增值收益。</w:t>
      </w:r>
    </w:p>
    <w:p w14:paraId="17F82A67">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在确保资金流动性基础上，综合评定资金存放银行，银行存款利率上浮50%以上，期限1年期、2年期、3年期合理配比，2021年实现增值收益6亿元，增值收益率大于1.2%，实现住房公积金增值收益增长率7%，次年3月底前全部上缴国库。</w:t>
      </w:r>
    </w:p>
    <w:p w14:paraId="1E2524E3">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（4）防范化解各项风险隐患</w:t>
      </w:r>
    </w:p>
    <w:p w14:paraId="49F07C3B">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主动防范，及时化解风险隐患，对住房公积金缴存、提取、使用、资金调拨等关键环节进行全面梳理评估；集中攻坚，切实降低个贷逾期率；加大力度，严厉打击骗提骗贷，有效维护住房公积金制度的公平性、严肃性;建立内控机制，完善重大事项集体决策，加强内部稽核和审计。</w:t>
      </w:r>
    </w:p>
    <w:p w14:paraId="73A04A24">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 xml:space="preserve">绩效指标：严格执行国家、省、市相关规定，召开4次管委会会议，审议重要事项；每月召开资金管理领导小组会议，每季度听取资金管理工作报告；加大内审稽核力度，专项稽核工作不少于3次；加大逾期贷款催收力度，不断完善催收流程、逐户建立催收台账，有序开展法律诉讼，个人住房贷款逾期率控制在0.02%以内；深入开展扫黑除恶专项斗争，及时向公安部门移交问题线索。   </w:t>
      </w:r>
    </w:p>
    <w:p w14:paraId="426E742C">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（5）不断提升规范化管理水平</w:t>
      </w:r>
    </w:p>
    <w:p w14:paraId="1522CA3A">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着力提升住房公积金规范化、精细化管理水平，把制度建设摆在突出位置，不断规范业务操作，逐步加强内部管理，切实保障资金安全。进一步提高制度质量，夯实制度体系，扎紧制度笼子，不断健全制度，完善机制；规范合同管理，各项合同律师把关，班子集体研究决定；加强住房公积金业务培训指导，不断提升业务效能。</w:t>
      </w:r>
    </w:p>
    <w:p w14:paraId="1007FDE7">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建立健全各项规章制度10项以上，健全完善管运分离、统一核算的管理模式，重新修订各部门工作职责，制定各部门业务考核指标，机关科室业务考核指标不低于10个，管理部业务考核指标不低于6个；认真对照国家住房公积金归集、提取、贷款、资金管理、基础数据等业务标准，梳理业务流程，减少制度盲区，努力做到每项工作有规可依、每个流程有章可循、每笔业务有据可查，确保各项业务标准不折不扣落实到位。2021年各项合同法审率达到100%；开展住房公积金业务培训期次不少于两期， 200人次，减少业务差错率，进一步提高业务办结效率，不断提升规范化管理水平。</w:t>
      </w:r>
    </w:p>
    <w:p w14:paraId="05BF50FC">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（6）全面提升住房公积金服务效能</w:t>
      </w:r>
    </w:p>
    <w:p w14:paraId="15C2AEA9">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目标：创新服务手段，举全中心之力强力推进信息化建设，加强综合服务平台建设；简化办事要件，压缩办结时限，全力推进住房公积金信息共享工作，让办事群众办理住房公积金业务更加方便快捷，积极推进“三创四建”活动，推进住房公积金办理再提速。</w:t>
      </w:r>
    </w:p>
    <w:p w14:paraId="6E44176E">
      <w:pPr>
        <w:spacing w:line="360" w:lineRule="auto"/>
        <w:ind w:firstLine="640" w:firstLineChars="200"/>
        <w:rPr>
          <w:rFonts w:ascii="仿宋_GB2312" w:hAnsi="仿宋_GB2312" w:eastAsia="仿宋_GB2312" w:cs="仿宋_GB2312"/>
          <w:sz w:val="32"/>
          <w:szCs w:val="24"/>
        </w:rPr>
      </w:pPr>
      <w:r>
        <w:rPr>
          <w:rFonts w:hint="eastAsia" w:ascii="仿宋_GB2312" w:hAnsi="仿宋_GB2312" w:eastAsia="仿宋_GB2312" w:cs="仿宋_GB2312"/>
          <w:sz w:val="32"/>
          <w:szCs w:val="24"/>
        </w:rPr>
        <w:t>绩效指标：全面推行住房公积金缴存、提取、贷款业务网上办理、手机办理，缴存单位可在网上办理单位信息变更、缴存基数调整、汇缴核定等缴存业务，办事群众可7*24小时，随时随地办理离退休提取、离职半年提取、公积金还贷提取等业务，离柜率达到70%以上；全面推行提取到个人模式，提取实时办结，10分钟完成全部业务；住房公积金个人贷款审批时限缩减至9个工作日，办理提前还款及贷款结清业务实现缩减至1个工作日。积极与人行、住建、人社部门沟通协调，打通数据壁垒，以信息共享促进流程优化、要件瘦身，逐步实现住房公积金业务“零材料”办理；推进与人社、省直等信息互联互通，打造一流服务环境，“三创四建”活动取得实效。</w:t>
      </w:r>
    </w:p>
    <w:p w14:paraId="2A2FFBD4">
      <w:pPr>
        <w:adjustRightInd w:val="0"/>
        <w:snapToGrid w:val="0"/>
        <w:spacing w:line="360" w:lineRule="auto"/>
        <w:ind w:firstLine="640" w:firstLineChars="200"/>
        <w:outlineLvl w:val="0"/>
        <w:rPr>
          <w:rFonts w:ascii="黑体" w:hAnsi="黑体" w:eastAsia="黑体"/>
          <w:sz w:val="32"/>
          <w:szCs w:val="32"/>
        </w:rPr>
      </w:pPr>
      <w:bookmarkStart w:id="25" w:name="_Toc20397"/>
      <w:bookmarkStart w:id="26" w:name="_Toc31215"/>
      <w:r>
        <w:rPr>
          <w:rFonts w:hint="eastAsia" w:ascii="黑体" w:hAnsi="黑体" w:eastAsia="黑体"/>
          <w:sz w:val="32"/>
          <w:szCs w:val="32"/>
        </w:rPr>
        <w:t>二、自评工作开展情况</w:t>
      </w:r>
      <w:bookmarkEnd w:id="25"/>
      <w:bookmarkEnd w:id="26"/>
    </w:p>
    <w:p w14:paraId="72E8C0A8">
      <w:pPr>
        <w:spacing w:line="360" w:lineRule="auto"/>
        <w:outlineLvl w:val="1"/>
        <w:rPr>
          <w:rFonts w:ascii="仿宋" w:hAnsi="仿宋" w:eastAsia="仿宋" w:cs="楷体_GB2312"/>
          <w:sz w:val="32"/>
          <w:szCs w:val="32"/>
        </w:rPr>
      </w:pPr>
      <w:bookmarkStart w:id="27" w:name="_Toc16612"/>
      <w:bookmarkStart w:id="28" w:name="_Toc2933"/>
      <w:r>
        <w:rPr>
          <w:rFonts w:hint="eastAsia" w:ascii="仿宋" w:hAnsi="仿宋" w:eastAsia="仿宋" w:cs="楷体_GB2312"/>
          <w:b/>
          <w:bCs/>
          <w:sz w:val="32"/>
          <w:szCs w:val="32"/>
        </w:rPr>
        <w:t>（一）自评的组织工作</w:t>
      </w:r>
      <w:bookmarkEnd w:id="27"/>
      <w:bookmarkEnd w:id="28"/>
    </w:p>
    <w:p w14:paraId="27512D03">
      <w:pPr>
        <w:spacing w:line="360" w:lineRule="auto"/>
        <w:ind w:firstLine="640" w:firstLineChars="200"/>
        <w:rPr>
          <w:rFonts w:ascii="仿宋" w:hAnsi="仿宋" w:eastAsia="仿宋"/>
          <w:sz w:val="32"/>
          <w:szCs w:val="32"/>
        </w:rPr>
      </w:pPr>
      <w:bookmarkStart w:id="29" w:name="_Hlk40973109"/>
      <w:r>
        <w:rPr>
          <w:rFonts w:hint="eastAsia" w:ascii="仿宋" w:hAnsi="仿宋" w:eastAsia="仿宋" w:cs="仿宋"/>
          <w:sz w:val="32"/>
          <w:szCs w:val="32"/>
        </w:rPr>
        <w:t>2022年2月15至2月28日期间</w:t>
      </w:r>
      <w:bookmarkEnd w:id="29"/>
      <w:r>
        <w:rPr>
          <w:rFonts w:hint="eastAsia" w:ascii="仿宋" w:hAnsi="仿宋" w:eastAsia="仿宋" w:cs="仿宋"/>
          <w:sz w:val="32"/>
          <w:szCs w:val="32"/>
        </w:rPr>
        <w:t>，</w:t>
      </w:r>
      <w:r>
        <w:rPr>
          <w:rFonts w:hint="eastAsia" w:ascii="仿宋_GB2312" w:eastAsia="仿宋_GB2312"/>
          <w:sz w:val="32"/>
          <w:szCs w:val="32"/>
        </w:rPr>
        <w:t>公积金中心</w:t>
      </w:r>
      <w:r>
        <w:rPr>
          <w:rFonts w:hint="eastAsia" w:ascii="仿宋" w:hAnsi="仿宋" w:eastAsia="仿宋" w:cs="仿宋"/>
          <w:sz w:val="32"/>
          <w:szCs w:val="32"/>
        </w:rPr>
        <w:t>按照自评工作安排，由</w:t>
      </w:r>
      <w:r>
        <w:rPr>
          <w:rFonts w:hint="eastAsia" w:ascii="仿宋_GB2312" w:eastAsia="仿宋_GB2312"/>
          <w:sz w:val="32"/>
          <w:szCs w:val="32"/>
        </w:rPr>
        <w:t>业务主管部门、财务部门以及第三方机构共同组成绩效评价组</w:t>
      </w:r>
      <w:r>
        <w:rPr>
          <w:rFonts w:hint="eastAsia" w:ascii="仿宋" w:hAnsi="仿宋" w:eastAsia="仿宋" w:cs="仿宋"/>
          <w:sz w:val="32"/>
          <w:szCs w:val="32"/>
        </w:rPr>
        <w:t>，事先制定了绩效评价方案，以期初预算绩效指标为依据，通过收集整理政策文件、账本凭证以及支出明细等，制定具体评价方案，对评价人员进行分组，工作落实到个人，对2021年度部门整体支出进行评价，重点关注项目实施情况、资金拨付情况、服务对象满意度等环节。</w:t>
      </w:r>
    </w:p>
    <w:p w14:paraId="60E833A9">
      <w:pPr>
        <w:numPr>
          <w:ilvl w:val="0"/>
          <w:numId w:val="2"/>
        </w:numPr>
        <w:spacing w:line="360" w:lineRule="auto"/>
        <w:ind w:left="641"/>
        <w:outlineLvl w:val="1"/>
        <w:rPr>
          <w:rFonts w:ascii="仿宋" w:hAnsi="仿宋" w:eastAsia="仿宋" w:cs="楷体_GB2312"/>
          <w:b/>
          <w:bCs/>
          <w:sz w:val="32"/>
          <w:szCs w:val="32"/>
        </w:rPr>
      </w:pPr>
      <w:bookmarkStart w:id="30" w:name="_Toc23912"/>
      <w:bookmarkStart w:id="31" w:name="_Toc25509"/>
      <w:r>
        <w:rPr>
          <w:rFonts w:hint="eastAsia" w:ascii="仿宋" w:hAnsi="仿宋" w:eastAsia="仿宋" w:cs="楷体_GB2312"/>
          <w:b/>
          <w:bCs/>
          <w:sz w:val="32"/>
          <w:szCs w:val="32"/>
        </w:rPr>
        <w:t>自评的方法和过程</w:t>
      </w:r>
      <w:bookmarkEnd w:id="30"/>
      <w:bookmarkEnd w:id="31"/>
    </w:p>
    <w:p w14:paraId="2ADA06C4">
      <w:pPr>
        <w:spacing w:line="360" w:lineRule="auto"/>
        <w:ind w:firstLine="640" w:firstLineChars="200"/>
      </w:pPr>
      <w:r>
        <w:rPr>
          <w:rFonts w:hint="eastAsia" w:ascii="仿宋" w:hAnsi="仿宋" w:eastAsia="仿宋" w:cs="仿宋"/>
          <w:sz w:val="32"/>
          <w:szCs w:val="32"/>
        </w:rPr>
        <w:t>2022年2月15至2月28日期间，按照前期组织工作安排开展自评。通过查阅收集相关资料、审查账簿凭证，查看项目具体实施情况后，对专项资金进行分析评价。绩效评价组严格按照文件要求，实事求是、客观公正地进行本次绩效评价工作，形成《2021年度部门整体支出绩效自评报告》。</w:t>
      </w:r>
    </w:p>
    <w:p w14:paraId="3D2E0007">
      <w:pPr>
        <w:spacing w:line="360" w:lineRule="auto"/>
        <w:outlineLvl w:val="0"/>
        <w:rPr>
          <w:rFonts w:ascii="黑体" w:hAnsi="黑体" w:eastAsia="黑体"/>
          <w:b/>
          <w:bCs/>
          <w:sz w:val="32"/>
          <w:szCs w:val="32"/>
        </w:rPr>
      </w:pPr>
      <w:bookmarkStart w:id="32" w:name="_Toc12595"/>
      <w:bookmarkStart w:id="33" w:name="_Toc16669"/>
      <w:r>
        <w:rPr>
          <w:rFonts w:hint="eastAsia" w:ascii="黑体" w:hAnsi="黑体" w:eastAsia="黑体"/>
          <w:sz w:val="32"/>
          <w:szCs w:val="32"/>
        </w:rPr>
        <w:t>三、部门整体支出绩效目标实现情况及指标分析</w:t>
      </w:r>
      <w:bookmarkEnd w:id="32"/>
      <w:bookmarkEnd w:id="33"/>
    </w:p>
    <w:p w14:paraId="2409177C">
      <w:pPr>
        <w:numPr>
          <w:ilvl w:val="0"/>
          <w:numId w:val="3"/>
        </w:numPr>
        <w:spacing w:line="360" w:lineRule="auto"/>
        <w:ind w:firstLine="643" w:firstLineChars="200"/>
        <w:outlineLvl w:val="1"/>
        <w:rPr>
          <w:rFonts w:ascii="仿宋" w:hAnsi="仿宋" w:eastAsia="仿宋" w:cs="楷体_GB2312"/>
          <w:b/>
          <w:bCs/>
          <w:sz w:val="32"/>
          <w:szCs w:val="32"/>
        </w:rPr>
      </w:pPr>
      <w:bookmarkStart w:id="34" w:name="_Toc3335"/>
      <w:bookmarkStart w:id="35" w:name="_Toc4357"/>
      <w:r>
        <w:rPr>
          <w:rFonts w:hint="eastAsia" w:ascii="仿宋" w:hAnsi="仿宋" w:eastAsia="仿宋" w:cs="楷体_GB2312"/>
          <w:b/>
          <w:bCs/>
          <w:sz w:val="32"/>
          <w:szCs w:val="32"/>
        </w:rPr>
        <w:t>总体绩效目标实现情况</w:t>
      </w:r>
      <w:bookmarkEnd w:id="34"/>
      <w:bookmarkEnd w:id="35"/>
    </w:p>
    <w:p w14:paraId="1C160A2B">
      <w:pPr>
        <w:spacing w:line="360" w:lineRule="auto"/>
        <w:ind w:firstLine="640" w:firstLineChars="200"/>
      </w:pPr>
      <w:r>
        <w:rPr>
          <w:rFonts w:hint="eastAsia" w:ascii="仿宋" w:hAnsi="仿宋" w:eastAsia="仿宋" w:cs="仿宋"/>
          <w:sz w:val="32"/>
          <w:szCs w:val="32"/>
        </w:rPr>
        <w:t xml:space="preserve">2021年，在市委、市政府的正确领导下，公积金中心领导班子坚持以习近平新时代中国特色社会主义思想为指导，深入贯彻党的十九大和十九届历次全会精神，认真落实省第十次党代会和市第十一次党代会要求，以弘扬伟大建党精神为主线，以补短板防风险为核心，以更大程度释放政策红利为重点，全面加强住房公积金管理，各项工作取得显著成效。截至2021年12月底，全市累计归集住房公积金1028.66亿元、累计提取551.9亿元，累计发放公积金个人贷款17.61万户、551.4亿元，主要业务指标全省名列首位。   </w:t>
      </w:r>
    </w:p>
    <w:p w14:paraId="60819006">
      <w:pPr>
        <w:spacing w:line="360" w:lineRule="auto"/>
        <w:outlineLvl w:val="1"/>
        <w:rPr>
          <w:rFonts w:ascii="仿宋" w:hAnsi="仿宋" w:eastAsia="仿宋"/>
          <w:b/>
          <w:bCs/>
          <w:sz w:val="32"/>
          <w:szCs w:val="32"/>
        </w:rPr>
      </w:pPr>
      <w:bookmarkStart w:id="36" w:name="_Toc31007"/>
      <w:bookmarkStart w:id="37" w:name="_Toc6733"/>
      <w:r>
        <w:rPr>
          <w:rFonts w:hint="eastAsia" w:ascii="仿宋" w:hAnsi="仿宋" w:eastAsia="仿宋" w:cs="楷体_GB2312"/>
          <w:b/>
          <w:bCs/>
          <w:sz w:val="32"/>
          <w:szCs w:val="32"/>
        </w:rPr>
        <w:t>（二）分项绩效目标实现情况及指标分析</w:t>
      </w:r>
      <w:bookmarkEnd w:id="36"/>
      <w:bookmarkEnd w:id="37"/>
    </w:p>
    <w:p w14:paraId="271FBABD">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公积金中心根据2021年工作计划，认真履行职责，较好地完成了当年的各项工作任务，为我市住房公积金管理开创新局面及省会高质量发展做出新的更大贡献。其中：</w:t>
      </w:r>
    </w:p>
    <w:p w14:paraId="709F4395">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数量指标（10分）：包括消防、电梯、中央空调、高压配电室等4次检测，购置打印机6台、台式电脑4台、空调10台、碎纸机3台、档案密集架25台，开展第三方评价活动1次，组织人员培训1次。均按照计划数量进行完成，完成率100%。</w:t>
      </w:r>
    </w:p>
    <w:p w14:paraId="1A2043B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质量指标（10分）：一是组织了相关业务知识培训和研讨交流，工作队伍人员素质得以提升；二是通过业务培训、研讨交流及调研活动，工作队伍人员素质明显提升，能够对准本部门问题，寻找解决办法，提出整改措施，实现机关办事效率、服务水平再提升。</w:t>
      </w:r>
    </w:p>
    <w:p w14:paraId="6E352C9F">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成本指标（10分）：主要考量办公耗材购置成本及日常使用，综合全年情况，办公耗材购置均按要求执行，未超出预算标准，日常实行科学管理，通过制定规章制度，严格控制办公耗材使用，坚持厉行节约，未发生浪费行为。</w:t>
      </w:r>
    </w:p>
    <w:p w14:paraId="7B8A22D7">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时效指标（10分）：该项目时效指标主要考量各项设备是否得到及时采购，及时率100%。</w:t>
      </w:r>
    </w:p>
    <w:p w14:paraId="0FBFCAD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效益指标（40分）：围绕全市工作大局，精细谋划工作，坚持应贷尽贷、应取尽取，积极发挥住房公积金杠杆作用，全面开展组合贷款、异地贷款、贴息贷款业务，集中开展房地产开发企业拒绝住房公积金贷款专项整治，有效促进我市房地产市场平稳健康发展。</w:t>
      </w:r>
    </w:p>
    <w:p w14:paraId="41CC549D">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坚持以群众需求为导向，立足便民利民，积极利用“互联网+”技术，进一步完善网上营业大厅各项功能，丰富官方微信相关内容，逐步形成类型多样、互为补充的住房公积金综合服务平台，满足缴存职工多元化、个性化的服务需求。</w:t>
      </w:r>
    </w:p>
    <w:p w14:paraId="3C8FE6CE">
      <w:pPr>
        <w:spacing w:line="360" w:lineRule="auto"/>
        <w:ind w:firstLine="640" w:firstLineChars="200"/>
        <w:outlineLvl w:val="0"/>
        <w:rPr>
          <w:rFonts w:ascii="仿宋" w:hAnsi="仿宋" w:eastAsia="仿宋" w:cs="仿宋"/>
          <w:sz w:val="32"/>
          <w:szCs w:val="32"/>
        </w:rPr>
      </w:pPr>
      <w:bookmarkStart w:id="38" w:name="_Toc26242"/>
      <w:bookmarkStart w:id="39" w:name="_Toc15783"/>
      <w:r>
        <w:rPr>
          <w:rFonts w:hint="eastAsia" w:ascii="黑体" w:hAnsi="黑体" w:eastAsia="黑体"/>
          <w:sz w:val="32"/>
          <w:szCs w:val="32"/>
        </w:rPr>
        <w:t>四、评价结论和评价等级</w:t>
      </w:r>
      <w:bookmarkEnd w:id="38"/>
      <w:bookmarkEnd w:id="39"/>
    </w:p>
    <w:p w14:paraId="4B050981">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根据部门职责定位和各项工作履职情况进行综合评价，公积金中心此次绩效自评整体评优率为100%，资金支出率为98.63%，部门整体支出综合绩效评价为98.63分，</w:t>
      </w:r>
      <w:r>
        <w:rPr>
          <w:rFonts w:hint="eastAsia" w:ascii="仿宋_GB2312" w:eastAsia="仿宋_GB2312"/>
          <w:sz w:val="32"/>
          <w:szCs w:val="32"/>
        </w:rPr>
        <w:t>等级为“优秀”。</w:t>
      </w:r>
    </w:p>
    <w:p w14:paraId="1C167FE5">
      <w:pPr>
        <w:spacing w:line="360" w:lineRule="auto"/>
        <w:ind w:firstLine="640" w:firstLineChars="200"/>
        <w:outlineLvl w:val="0"/>
        <w:rPr>
          <w:rFonts w:ascii="黑体" w:hAnsi="黑体" w:eastAsia="黑体"/>
          <w:sz w:val="32"/>
          <w:szCs w:val="32"/>
        </w:rPr>
      </w:pPr>
      <w:bookmarkStart w:id="40" w:name="_Toc10679"/>
      <w:bookmarkStart w:id="41" w:name="_Toc26052"/>
      <w:r>
        <w:rPr>
          <w:rFonts w:hint="eastAsia" w:ascii="黑体" w:hAnsi="黑体" w:eastAsia="黑体"/>
          <w:sz w:val="32"/>
          <w:szCs w:val="32"/>
        </w:rPr>
        <w:t>五、存在的问题及改进措施</w:t>
      </w:r>
      <w:bookmarkEnd w:id="40"/>
      <w:bookmarkEnd w:id="41"/>
    </w:p>
    <w:p w14:paraId="14E90E1B">
      <w:pPr>
        <w:spacing w:line="360" w:lineRule="auto"/>
        <w:ind w:firstLine="643" w:firstLineChars="200"/>
        <w:outlineLvl w:val="1"/>
        <w:rPr>
          <w:rFonts w:ascii="仿宋" w:hAnsi="仿宋" w:eastAsia="仿宋"/>
          <w:b/>
          <w:bCs/>
          <w:sz w:val="32"/>
          <w:szCs w:val="32"/>
        </w:rPr>
      </w:pPr>
      <w:bookmarkStart w:id="42" w:name="_Toc15470"/>
      <w:bookmarkStart w:id="43" w:name="_Toc26658"/>
      <w:r>
        <w:rPr>
          <w:rFonts w:hint="eastAsia" w:ascii="仿宋" w:hAnsi="仿宋" w:eastAsia="仿宋"/>
          <w:b/>
          <w:bCs/>
          <w:sz w:val="32"/>
          <w:szCs w:val="32"/>
        </w:rPr>
        <w:t>（一）存在的主要问题</w:t>
      </w:r>
      <w:bookmarkEnd w:id="42"/>
      <w:bookmarkEnd w:id="43"/>
    </w:p>
    <w:p w14:paraId="66A8A7B6">
      <w:pPr>
        <w:spacing w:line="360" w:lineRule="auto"/>
        <w:ind w:firstLine="640" w:firstLineChars="200"/>
        <w:rPr>
          <w:rFonts w:ascii="仿宋" w:hAnsi="仿宋" w:eastAsia="仿宋"/>
          <w:sz w:val="32"/>
          <w:szCs w:val="32"/>
        </w:rPr>
      </w:pPr>
      <w:r>
        <w:rPr>
          <w:rFonts w:hint="eastAsia" w:ascii="仿宋" w:hAnsi="仿宋" w:eastAsia="仿宋"/>
          <w:sz w:val="32"/>
          <w:szCs w:val="32"/>
        </w:rPr>
        <w:t>预算执行率有待进一步提高。年末结转和结余金额，不利于财政资金统筹使用，提高效益，预算管理有待加强，预算编制科学性和准确性有待提高。</w:t>
      </w:r>
    </w:p>
    <w:p w14:paraId="2CC48ADC">
      <w:pPr>
        <w:numPr>
          <w:ilvl w:val="0"/>
          <w:numId w:val="3"/>
        </w:numPr>
        <w:spacing w:line="360" w:lineRule="auto"/>
        <w:ind w:firstLine="643" w:firstLineChars="200"/>
        <w:outlineLvl w:val="1"/>
        <w:rPr>
          <w:rFonts w:ascii="仿宋" w:hAnsi="仿宋" w:eastAsia="仿宋"/>
          <w:b/>
          <w:bCs/>
          <w:sz w:val="32"/>
          <w:szCs w:val="32"/>
        </w:rPr>
      </w:pPr>
      <w:bookmarkStart w:id="44" w:name="_Toc31504"/>
      <w:bookmarkStart w:id="45" w:name="_Toc22082"/>
      <w:r>
        <w:rPr>
          <w:rFonts w:hint="eastAsia" w:ascii="仿宋" w:hAnsi="仿宋" w:eastAsia="仿宋"/>
          <w:b/>
          <w:bCs/>
          <w:sz w:val="32"/>
          <w:szCs w:val="32"/>
        </w:rPr>
        <w:t>针对问题提出具体的改进措施或建议</w:t>
      </w:r>
      <w:bookmarkEnd w:id="44"/>
      <w:bookmarkEnd w:id="45"/>
    </w:p>
    <w:p w14:paraId="154EF447">
      <w:pPr>
        <w:spacing w:line="360" w:lineRule="auto"/>
        <w:ind w:firstLine="640" w:firstLineChars="200"/>
        <w:rPr>
          <w:rFonts w:ascii="仿宋" w:hAnsi="仿宋" w:eastAsia="仿宋"/>
          <w:sz w:val="32"/>
          <w:szCs w:val="32"/>
        </w:rPr>
      </w:pPr>
      <w:r>
        <w:rPr>
          <w:rFonts w:hint="eastAsia" w:ascii="仿宋" w:hAnsi="仿宋" w:eastAsia="仿宋"/>
          <w:sz w:val="32"/>
          <w:szCs w:val="32"/>
        </w:rPr>
        <w:t>一是提高预算编制的科学性、合理性。根据公积金中心下年度重点工作安排，提前开展预算编制工作，进一步细化预算编制， 提升预算编制准确性；</w:t>
      </w:r>
    </w:p>
    <w:p w14:paraId="57D5AA6D">
      <w:pPr>
        <w:spacing w:line="360" w:lineRule="auto"/>
        <w:ind w:firstLine="640" w:firstLineChars="200"/>
      </w:pPr>
      <w:r>
        <w:rPr>
          <w:rFonts w:hint="eastAsia" w:ascii="仿宋" w:hAnsi="仿宋" w:eastAsia="仿宋"/>
          <w:sz w:val="32"/>
          <w:szCs w:val="32"/>
        </w:rPr>
        <w:t>二是严格部门预算执行，提升预算执行率。要根据《预算法》及内部控制有关要求，将预算批复进行在公积金中心内部分解下达，保证预算执行的有效性，提高预算执行率，减少指标跨年结转。</w:t>
      </w:r>
    </w:p>
    <w:p w14:paraId="6A36032B">
      <w:pPr>
        <w:adjustRightInd w:val="0"/>
        <w:snapToGrid w:val="0"/>
        <w:spacing w:line="360" w:lineRule="auto"/>
        <w:ind w:firstLine="640" w:firstLineChars="200"/>
        <w:outlineLvl w:val="0"/>
        <w:rPr>
          <w:rFonts w:ascii="黑体" w:hAnsi="黑体" w:eastAsia="黑体"/>
          <w:sz w:val="32"/>
          <w:szCs w:val="32"/>
        </w:rPr>
      </w:pPr>
      <w:bookmarkStart w:id="46" w:name="_Toc30580"/>
      <w:bookmarkStart w:id="47" w:name="_Toc15408"/>
      <w:r>
        <w:rPr>
          <w:rFonts w:hint="eastAsia" w:ascii="黑体" w:hAnsi="黑体" w:eastAsia="黑体"/>
          <w:sz w:val="32"/>
          <w:szCs w:val="32"/>
        </w:rPr>
        <w:t>六、评价工作组人员名单及签字（姓名、工作单位、职务、职称）</w:t>
      </w:r>
      <w:bookmarkEnd w:id="46"/>
      <w:bookmarkEnd w:id="47"/>
    </w:p>
    <w:p w14:paraId="3B57684F">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组 长：种占信 石家庄住房公积金管理中心总会计师</w:t>
      </w:r>
    </w:p>
    <w:p w14:paraId="0B8B5D73">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员：莫俊华 石家庄住房公积金管理中心办公室主任</w:t>
      </w:r>
    </w:p>
    <w:p w14:paraId="4D0E106C">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员：刘玉红 石家庄住房公积金管理中心会计科科长</w:t>
      </w:r>
    </w:p>
    <w:p w14:paraId="4B650E02">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员：马  英 石家庄住房公积金管理中心稽核科科长</w:t>
      </w:r>
    </w:p>
    <w:p w14:paraId="5AEE5EC1">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员：周  青 石家庄住房公积金管理中心信息技术科科长</w:t>
      </w:r>
    </w:p>
    <w:p w14:paraId="1F4DE651">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员：赫兰波 石家庄住房公积金管理中心办公室副主任</w:t>
      </w:r>
    </w:p>
    <w:p w14:paraId="2129D644">
      <w:pPr>
        <w:spacing w:line="360" w:lineRule="auto"/>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成 员：温  雅 石家庄住房公积金管理中心会计科副科长</w:t>
      </w:r>
    </w:p>
    <w:p w14:paraId="53264314">
      <w:pPr>
        <w:spacing w:line="360" w:lineRule="auto"/>
        <w:jc w:val="left"/>
        <w:rPr>
          <w:rFonts w:ascii="仿宋" w:hAnsi="仿宋" w:eastAsia="仿宋"/>
        </w:rPr>
      </w:pPr>
      <w:r>
        <w:rPr>
          <w:rFonts w:hint="eastAsia" w:ascii="仿宋_GB2312" w:hAnsi="仿宋_GB2312" w:eastAsia="仿宋_GB2312" w:cs="仿宋_GB2312"/>
          <w:sz w:val="32"/>
          <w:szCs w:val="32"/>
        </w:rPr>
        <w:t>成 员：田建英 石家庄住房公积金管理中心稽核科科员</w:t>
      </w:r>
    </w:p>
    <w:p w14:paraId="6863763A">
      <w:pPr>
        <w:snapToGrid w:val="0"/>
        <w:spacing w:line="360" w:lineRule="auto"/>
        <w:ind w:firstLine="640" w:firstLineChars="200"/>
        <w:rPr>
          <w:rFonts w:ascii="仿宋_GB2312" w:hAnsi="仿宋_GB2312" w:eastAsia="仿宋_GB2312" w:cs="仿宋_GB2312"/>
          <w:sz w:val="32"/>
          <w:szCs w:val="32"/>
        </w:rPr>
      </w:pPr>
    </w:p>
    <w:p w14:paraId="5521ED19">
      <w:pPr>
        <w:spacing w:line="360" w:lineRule="auto"/>
        <w:jc w:val="left"/>
        <w:rPr>
          <w:rFonts w:ascii="仿宋_GB2312" w:hAnsi="仿宋_GB2312" w:eastAsia="仿宋_GB2312" w:cs="仿宋_GB2312"/>
          <w:sz w:val="32"/>
          <w:szCs w:val="32"/>
        </w:rPr>
      </w:pPr>
    </w:p>
    <w:sectPr>
      <w:footerReference r:id="rId3"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0000000000000000000"/>
    <w:charset w:val="86"/>
    <w:family w:val="auto"/>
    <w:pitch w:val="default"/>
    <w:sig w:usb0="00000000" w:usb1="00000000" w:usb2="0000001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31F84">
    <w:pPr>
      <w:pStyle w:val="6"/>
    </w:pPr>
    <w:r>
      <w:rPr>
        <w:rFonts w:hint="eastAsia"/>
      </w:rPr>
      <w:t xml:space="preserve">                                              </w:t>
    </w:r>
    <w:sdt>
      <w:sdtPr>
        <w:id w:val="22845150"/>
        <w:docPartObj>
          <w:docPartGallery w:val="autotext"/>
        </w:docPartObj>
      </w:sdtPr>
      <w:sdtContent>
        <w:r>
          <w:fldChar w:fldCharType="begin"/>
        </w:r>
        <w:r>
          <w:instrText xml:space="preserve"> PAGE   \* MERGEFORMAT </w:instrText>
        </w:r>
        <w:r>
          <w:fldChar w:fldCharType="separate"/>
        </w:r>
        <w:r>
          <w:rPr>
            <w:lang w:val="zh-CN"/>
          </w:rPr>
          <w:t>4</w:t>
        </w:r>
        <w:r>
          <w:rPr>
            <w:lang w:val="zh-CN"/>
          </w:rPr>
          <w:fldChar w:fldCharType="end"/>
        </w:r>
      </w:sdtContent>
    </w:sdt>
  </w:p>
  <w:p w14:paraId="679A1A59">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4B54506"/>
    <w:multiLevelType w:val="singleLevel"/>
    <w:tmpl w:val="74B54506"/>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EBD2122"/>
    <w:rsid w:val="00051633"/>
    <w:rsid w:val="00053A72"/>
    <w:rsid w:val="000569DF"/>
    <w:rsid w:val="00067B7A"/>
    <w:rsid w:val="00067F1E"/>
    <w:rsid w:val="00076412"/>
    <w:rsid w:val="00080268"/>
    <w:rsid w:val="00097AED"/>
    <w:rsid w:val="000C38F8"/>
    <w:rsid w:val="000F454A"/>
    <w:rsid w:val="0010177A"/>
    <w:rsid w:val="0015003B"/>
    <w:rsid w:val="00161ACA"/>
    <w:rsid w:val="001824A6"/>
    <w:rsid w:val="00184339"/>
    <w:rsid w:val="0019093F"/>
    <w:rsid w:val="001D07D5"/>
    <w:rsid w:val="001D0854"/>
    <w:rsid w:val="001E70E3"/>
    <w:rsid w:val="00200977"/>
    <w:rsid w:val="002160F6"/>
    <w:rsid w:val="002238E8"/>
    <w:rsid w:val="00223943"/>
    <w:rsid w:val="002539FF"/>
    <w:rsid w:val="00274D5B"/>
    <w:rsid w:val="00283E79"/>
    <w:rsid w:val="002A2A5A"/>
    <w:rsid w:val="00340272"/>
    <w:rsid w:val="003411D6"/>
    <w:rsid w:val="0035427C"/>
    <w:rsid w:val="003570CD"/>
    <w:rsid w:val="00366A55"/>
    <w:rsid w:val="00374698"/>
    <w:rsid w:val="00376623"/>
    <w:rsid w:val="00395917"/>
    <w:rsid w:val="003A3D9C"/>
    <w:rsid w:val="00404236"/>
    <w:rsid w:val="00464D4C"/>
    <w:rsid w:val="004815D5"/>
    <w:rsid w:val="004913E2"/>
    <w:rsid w:val="00496D11"/>
    <w:rsid w:val="004F3E20"/>
    <w:rsid w:val="004F5418"/>
    <w:rsid w:val="00533A08"/>
    <w:rsid w:val="0055774E"/>
    <w:rsid w:val="00575CFA"/>
    <w:rsid w:val="00581577"/>
    <w:rsid w:val="005976E0"/>
    <w:rsid w:val="005A6765"/>
    <w:rsid w:val="005A6B7D"/>
    <w:rsid w:val="005B443E"/>
    <w:rsid w:val="005B75D8"/>
    <w:rsid w:val="005C7717"/>
    <w:rsid w:val="005F13C9"/>
    <w:rsid w:val="00611192"/>
    <w:rsid w:val="00620AA8"/>
    <w:rsid w:val="0066171A"/>
    <w:rsid w:val="0069471E"/>
    <w:rsid w:val="006A090A"/>
    <w:rsid w:val="006C16A5"/>
    <w:rsid w:val="006C6BAE"/>
    <w:rsid w:val="006E1A65"/>
    <w:rsid w:val="006E7E35"/>
    <w:rsid w:val="00703DF0"/>
    <w:rsid w:val="007128CA"/>
    <w:rsid w:val="007136D8"/>
    <w:rsid w:val="00714F9B"/>
    <w:rsid w:val="007150A4"/>
    <w:rsid w:val="007230E8"/>
    <w:rsid w:val="00737876"/>
    <w:rsid w:val="007514A3"/>
    <w:rsid w:val="00755241"/>
    <w:rsid w:val="007939DA"/>
    <w:rsid w:val="007A5305"/>
    <w:rsid w:val="007C651B"/>
    <w:rsid w:val="00825625"/>
    <w:rsid w:val="00830BEE"/>
    <w:rsid w:val="00855EE2"/>
    <w:rsid w:val="0086686C"/>
    <w:rsid w:val="00871074"/>
    <w:rsid w:val="00872B85"/>
    <w:rsid w:val="0088224B"/>
    <w:rsid w:val="00886B16"/>
    <w:rsid w:val="008B1011"/>
    <w:rsid w:val="008B1BD3"/>
    <w:rsid w:val="008B4CB8"/>
    <w:rsid w:val="008D5F1B"/>
    <w:rsid w:val="008F27F4"/>
    <w:rsid w:val="008F729F"/>
    <w:rsid w:val="009232B1"/>
    <w:rsid w:val="0097075E"/>
    <w:rsid w:val="00992D0B"/>
    <w:rsid w:val="009C4C76"/>
    <w:rsid w:val="009E6AAC"/>
    <w:rsid w:val="009F20BF"/>
    <w:rsid w:val="00A441AD"/>
    <w:rsid w:val="00A63FA9"/>
    <w:rsid w:val="00A93DDA"/>
    <w:rsid w:val="00AB5DCD"/>
    <w:rsid w:val="00B46B64"/>
    <w:rsid w:val="00B568B8"/>
    <w:rsid w:val="00B57263"/>
    <w:rsid w:val="00B618CC"/>
    <w:rsid w:val="00B92576"/>
    <w:rsid w:val="00BC7AD5"/>
    <w:rsid w:val="00BF4C6E"/>
    <w:rsid w:val="00BF5727"/>
    <w:rsid w:val="00C02E73"/>
    <w:rsid w:val="00C05DD2"/>
    <w:rsid w:val="00C2512F"/>
    <w:rsid w:val="00C52A0E"/>
    <w:rsid w:val="00C53C13"/>
    <w:rsid w:val="00C80F37"/>
    <w:rsid w:val="00C9066F"/>
    <w:rsid w:val="00CA2441"/>
    <w:rsid w:val="00CA4E54"/>
    <w:rsid w:val="00CF2F6B"/>
    <w:rsid w:val="00CF3ECB"/>
    <w:rsid w:val="00D01CBE"/>
    <w:rsid w:val="00D61ECF"/>
    <w:rsid w:val="00D7238C"/>
    <w:rsid w:val="00D829CD"/>
    <w:rsid w:val="00D86664"/>
    <w:rsid w:val="00D91739"/>
    <w:rsid w:val="00DC1FB6"/>
    <w:rsid w:val="00DF455B"/>
    <w:rsid w:val="00E2411D"/>
    <w:rsid w:val="00E42A8E"/>
    <w:rsid w:val="00E73F09"/>
    <w:rsid w:val="00E76EAC"/>
    <w:rsid w:val="00E8314C"/>
    <w:rsid w:val="00ED489E"/>
    <w:rsid w:val="00EF096B"/>
    <w:rsid w:val="00EF14C2"/>
    <w:rsid w:val="00F42FD4"/>
    <w:rsid w:val="00F65ADB"/>
    <w:rsid w:val="00F65B95"/>
    <w:rsid w:val="00F67FC8"/>
    <w:rsid w:val="00F71657"/>
    <w:rsid w:val="00F825E6"/>
    <w:rsid w:val="00F91D0A"/>
    <w:rsid w:val="00FA5E6B"/>
    <w:rsid w:val="00FA5ECE"/>
    <w:rsid w:val="00FB4449"/>
    <w:rsid w:val="00FC44F1"/>
    <w:rsid w:val="00FE5B98"/>
    <w:rsid w:val="018207C5"/>
    <w:rsid w:val="01FD060B"/>
    <w:rsid w:val="02B43A28"/>
    <w:rsid w:val="02BA34BD"/>
    <w:rsid w:val="030937CD"/>
    <w:rsid w:val="0322544E"/>
    <w:rsid w:val="04743AEB"/>
    <w:rsid w:val="04D66AAE"/>
    <w:rsid w:val="06F7755F"/>
    <w:rsid w:val="08524EFF"/>
    <w:rsid w:val="098B0432"/>
    <w:rsid w:val="0AB645C7"/>
    <w:rsid w:val="0C41263D"/>
    <w:rsid w:val="0E2320EC"/>
    <w:rsid w:val="0EB97A43"/>
    <w:rsid w:val="0EBD2122"/>
    <w:rsid w:val="101A606C"/>
    <w:rsid w:val="10DD1336"/>
    <w:rsid w:val="11B71E6A"/>
    <w:rsid w:val="11F954F0"/>
    <w:rsid w:val="152C49F4"/>
    <w:rsid w:val="15D6226A"/>
    <w:rsid w:val="18E91DE0"/>
    <w:rsid w:val="1AAF0063"/>
    <w:rsid w:val="1BE140DE"/>
    <w:rsid w:val="1E340C41"/>
    <w:rsid w:val="1E750DFB"/>
    <w:rsid w:val="1EA97643"/>
    <w:rsid w:val="1F5F4158"/>
    <w:rsid w:val="202070EE"/>
    <w:rsid w:val="23CE2988"/>
    <w:rsid w:val="24877D1C"/>
    <w:rsid w:val="248C197D"/>
    <w:rsid w:val="252959AF"/>
    <w:rsid w:val="25C716F0"/>
    <w:rsid w:val="25F61A04"/>
    <w:rsid w:val="277A6671"/>
    <w:rsid w:val="282E102A"/>
    <w:rsid w:val="2AA97E9F"/>
    <w:rsid w:val="2B292838"/>
    <w:rsid w:val="2D810751"/>
    <w:rsid w:val="2EC73F19"/>
    <w:rsid w:val="2FBB0329"/>
    <w:rsid w:val="2FDD7BBA"/>
    <w:rsid w:val="3013281E"/>
    <w:rsid w:val="30800330"/>
    <w:rsid w:val="315E435F"/>
    <w:rsid w:val="33EB6CFF"/>
    <w:rsid w:val="34D67F04"/>
    <w:rsid w:val="35164E5F"/>
    <w:rsid w:val="365370CC"/>
    <w:rsid w:val="37B22EAA"/>
    <w:rsid w:val="39C12F31"/>
    <w:rsid w:val="39CE7FD9"/>
    <w:rsid w:val="3B1A75CC"/>
    <w:rsid w:val="3B625C0A"/>
    <w:rsid w:val="3CB71457"/>
    <w:rsid w:val="3CEE1963"/>
    <w:rsid w:val="3D00164B"/>
    <w:rsid w:val="3DBC2522"/>
    <w:rsid w:val="3E182A2D"/>
    <w:rsid w:val="3E520DC7"/>
    <w:rsid w:val="3EEF4053"/>
    <w:rsid w:val="4005089D"/>
    <w:rsid w:val="41B661A2"/>
    <w:rsid w:val="42557421"/>
    <w:rsid w:val="425D6AAF"/>
    <w:rsid w:val="44F107E0"/>
    <w:rsid w:val="45E8637B"/>
    <w:rsid w:val="466003D0"/>
    <w:rsid w:val="46F53289"/>
    <w:rsid w:val="47086269"/>
    <w:rsid w:val="47B67CD2"/>
    <w:rsid w:val="48C12C43"/>
    <w:rsid w:val="49531994"/>
    <w:rsid w:val="49ED04C0"/>
    <w:rsid w:val="4C2F34FF"/>
    <w:rsid w:val="4CEC60BF"/>
    <w:rsid w:val="4D193597"/>
    <w:rsid w:val="4D7506DE"/>
    <w:rsid w:val="4E082C6D"/>
    <w:rsid w:val="4EAC48D7"/>
    <w:rsid w:val="4F086470"/>
    <w:rsid w:val="512260B4"/>
    <w:rsid w:val="51AA7806"/>
    <w:rsid w:val="52FD627C"/>
    <w:rsid w:val="55ED2DF9"/>
    <w:rsid w:val="56AF0889"/>
    <w:rsid w:val="56E919E2"/>
    <w:rsid w:val="58202992"/>
    <w:rsid w:val="591E6B9A"/>
    <w:rsid w:val="59EA1BD8"/>
    <w:rsid w:val="5B150ED7"/>
    <w:rsid w:val="5B800C1E"/>
    <w:rsid w:val="5D4555B4"/>
    <w:rsid w:val="5D62354E"/>
    <w:rsid w:val="5DD24E5D"/>
    <w:rsid w:val="63C41057"/>
    <w:rsid w:val="64E80640"/>
    <w:rsid w:val="651E4D27"/>
    <w:rsid w:val="66975691"/>
    <w:rsid w:val="66AF0CE5"/>
    <w:rsid w:val="66F42721"/>
    <w:rsid w:val="67643166"/>
    <w:rsid w:val="68870D28"/>
    <w:rsid w:val="6A412769"/>
    <w:rsid w:val="6B9A725A"/>
    <w:rsid w:val="6E5B14A6"/>
    <w:rsid w:val="6E6B3FD0"/>
    <w:rsid w:val="6EAE7221"/>
    <w:rsid w:val="71CB04C7"/>
    <w:rsid w:val="749C29CB"/>
    <w:rsid w:val="74D310AD"/>
    <w:rsid w:val="75970A0E"/>
    <w:rsid w:val="76EB38D7"/>
    <w:rsid w:val="775812D3"/>
    <w:rsid w:val="775B72CF"/>
    <w:rsid w:val="77780F05"/>
    <w:rsid w:val="7BB51E06"/>
    <w:rsid w:val="7C387F7C"/>
    <w:rsid w:val="7D14696D"/>
    <w:rsid w:val="7D262127"/>
    <w:rsid w:val="7DF06F0E"/>
    <w:rsid w:val="7DFA68B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sdException w:qFormat="1" w:uiPriority="39" w:semiHidden="0" w:name="toc 2"/>
    <w:lsdException w:qFormat="1"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link w:val="16"/>
    <w:qFormat/>
    <w:uiPriority w:val="0"/>
    <w:pPr>
      <w:keepNext/>
      <w:keepLines/>
      <w:spacing w:before="340" w:after="330" w:line="578" w:lineRule="auto"/>
      <w:outlineLvl w:val="0"/>
    </w:pPr>
    <w:rPr>
      <w:b/>
      <w:bCs/>
      <w:kern w:val="44"/>
      <w:sz w:val="44"/>
      <w:szCs w:val="44"/>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toc 3"/>
    <w:basedOn w:val="1"/>
    <w:next w:val="1"/>
    <w:unhideWhenUsed/>
    <w:qFormat/>
    <w:uiPriority w:val="39"/>
    <w:pPr>
      <w:ind w:left="840" w:leftChars="400"/>
    </w:pPr>
  </w:style>
  <w:style w:type="paragraph" w:styleId="5">
    <w:name w:val="Balloon Text"/>
    <w:basedOn w:val="1"/>
    <w:link w:val="18"/>
    <w:semiHidden/>
    <w:unhideWhenUsed/>
    <w:uiPriority w:val="0"/>
    <w:rPr>
      <w:sz w:val="18"/>
      <w:szCs w:val="18"/>
    </w:rPr>
  </w:style>
  <w:style w:type="paragraph" w:styleId="6">
    <w:name w:val="footer"/>
    <w:basedOn w:val="1"/>
    <w:link w:val="19"/>
    <w:qFormat/>
    <w:uiPriority w:val="99"/>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toc 1"/>
    <w:basedOn w:val="1"/>
    <w:next w:val="1"/>
    <w:unhideWhenUsed/>
    <w:qFormat/>
    <w:uiPriority w:val="39"/>
  </w:style>
  <w:style w:type="paragraph" w:styleId="9">
    <w:name w:val="toc 2"/>
    <w:basedOn w:val="1"/>
    <w:next w:val="1"/>
    <w:unhideWhenUsed/>
    <w:qFormat/>
    <w:uiPriority w:val="39"/>
    <w:pPr>
      <w:ind w:left="420" w:leftChars="200"/>
    </w:pPr>
  </w:style>
  <w:style w:type="paragraph" w:styleId="10">
    <w:name w:val="Title"/>
    <w:basedOn w:val="1"/>
    <w:next w:val="1"/>
    <w:link w:val="14"/>
    <w:qFormat/>
    <w:uiPriority w:val="0"/>
    <w:pPr>
      <w:spacing w:before="240" w:after="60"/>
      <w:jc w:val="center"/>
      <w:outlineLvl w:val="0"/>
    </w:pPr>
    <w:rPr>
      <w:rFonts w:ascii="Cambria" w:hAnsi="Cambria" w:cs="Times New Roman"/>
      <w:b/>
      <w:kern w:val="28"/>
      <w:sz w:val="32"/>
      <w:szCs w:val="20"/>
    </w:rPr>
  </w:style>
  <w:style w:type="character" w:styleId="13">
    <w:name w:val="Hyperlink"/>
    <w:basedOn w:val="12"/>
    <w:unhideWhenUsed/>
    <w:qFormat/>
    <w:uiPriority w:val="99"/>
    <w:rPr>
      <w:color w:val="0000FF" w:themeColor="hyperlink"/>
      <w:u w:val="single"/>
    </w:rPr>
  </w:style>
  <w:style w:type="character" w:customStyle="1" w:styleId="14">
    <w:name w:val="标题 Char"/>
    <w:link w:val="10"/>
    <w:qFormat/>
    <w:locked/>
    <w:uiPriority w:val="0"/>
    <w:rPr>
      <w:rFonts w:ascii="Cambria" w:hAnsi="Cambria"/>
      <w:b/>
      <w:kern w:val="28"/>
      <w:sz w:val="32"/>
    </w:rPr>
  </w:style>
  <w:style w:type="character" w:customStyle="1" w:styleId="15">
    <w:name w:val="标题 字符1"/>
    <w:basedOn w:val="12"/>
    <w:qFormat/>
    <w:uiPriority w:val="0"/>
    <w:rPr>
      <w:rFonts w:asciiTheme="majorHAnsi" w:hAnsiTheme="majorHAnsi" w:eastAsiaTheme="majorEastAsia" w:cstheme="majorBidi"/>
      <w:b/>
      <w:bCs/>
      <w:kern w:val="2"/>
      <w:sz w:val="32"/>
      <w:szCs w:val="32"/>
    </w:rPr>
  </w:style>
  <w:style w:type="character" w:customStyle="1" w:styleId="16">
    <w:name w:val="标题 1 Char"/>
    <w:basedOn w:val="12"/>
    <w:link w:val="3"/>
    <w:qFormat/>
    <w:uiPriority w:val="0"/>
    <w:rPr>
      <w:rFonts w:ascii="Calibri" w:hAnsi="Calibri" w:cs="黑体"/>
      <w:b/>
      <w:bCs/>
      <w:kern w:val="44"/>
      <w:sz w:val="44"/>
      <w:szCs w:val="44"/>
    </w:rPr>
  </w:style>
  <w:style w:type="paragraph" w:customStyle="1" w:styleId="17">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character" w:customStyle="1" w:styleId="18">
    <w:name w:val="批注框文本 Char"/>
    <w:basedOn w:val="12"/>
    <w:link w:val="5"/>
    <w:semiHidden/>
    <w:uiPriority w:val="0"/>
    <w:rPr>
      <w:rFonts w:ascii="Calibri" w:hAnsi="Calibri" w:cs="黑体"/>
      <w:kern w:val="2"/>
      <w:sz w:val="18"/>
      <w:szCs w:val="18"/>
    </w:rPr>
  </w:style>
  <w:style w:type="character" w:customStyle="1" w:styleId="19">
    <w:name w:val="页脚 Char"/>
    <w:basedOn w:val="12"/>
    <w:link w:val="6"/>
    <w:qFormat/>
    <w:uiPriority w:val="99"/>
    <w:rPr>
      <w:rFonts w:ascii="Calibri" w:hAnsi="Calibri" w:cs="黑体"/>
      <w:kern w:val="2"/>
      <w:sz w:val="1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Company>
  <Pages>14</Pages>
  <Words>5635</Words>
  <Characters>5999</Characters>
  <Lines>52</Lines>
  <Paragraphs>14</Paragraphs>
  <TotalTime>7</TotalTime>
  <ScaleCrop>false</ScaleCrop>
  <LinksUpToDate>false</LinksUpToDate>
  <CharactersWithSpaces>6110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2020-05-25T06:21:00Z</dcterms:created>
  <dc:creator>欣欣大人</dc:creator>
  <cp:lastModifiedBy>13323011735</cp:lastModifiedBy>
  <cp:lastPrinted>2022-03-16T07:32:00Z</cp:lastPrinted>
  <dcterms:modified xsi:type="dcterms:W3CDTF">2025-04-02T07:20:49Z</dcterms:modified>
  <dc:title>附件3：</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C43014F20FBC40FFAA0DC2A4D7818B74</vt:lpwstr>
  </property>
  <property fmtid="{D5CDD505-2E9C-101B-9397-08002B2CF9AE}" pid="4" name="KSOTemplateDocerSaveRecord">
    <vt:lpwstr>eyJoZGlkIjoiZWFiZDA5ODMyMjczYmM0MDUyYjk1NDhmMzg4ZjdmODkiLCJ1c2VySWQiOiIxNTUwMjQwMDk2In0=</vt:lpwstr>
  </property>
</Properties>
</file>