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360" w:lineRule="auto"/>
        <w:rPr>
          <w:rFonts w:ascii="仿宋_GB2312" w:eastAsia="仿宋_GB2312"/>
          <w:sz w:val="32"/>
          <w:szCs w:val="32"/>
        </w:rPr>
      </w:pPr>
      <w:bookmarkStart w:id="0" w:name="_GoBack"/>
      <w:bookmarkEnd w:id="0"/>
    </w:p>
    <w:p>
      <w:pPr>
        <w:spacing w:line="360" w:lineRule="auto"/>
        <w:jc w:val="center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石家庄广播电视台</w:t>
      </w:r>
    </w:p>
    <w:p>
      <w:pPr>
        <w:spacing w:line="360" w:lineRule="auto"/>
        <w:jc w:val="center"/>
        <w:rPr>
          <w:rFonts w:ascii="华文楷体" w:eastAsia="华文楷体"/>
          <w:sz w:val="32"/>
          <w:szCs w:val="32"/>
        </w:rPr>
      </w:pPr>
      <w:r>
        <w:rPr>
          <w:rFonts w:hint="eastAsia" w:asciiTheme="majorEastAsia" w:hAnsiTheme="majorEastAsia" w:eastAsiaTheme="majorEastAsia" w:cstheme="majorEastAsia"/>
          <w:b/>
          <w:sz w:val="44"/>
          <w:szCs w:val="44"/>
          <w:lang w:eastAsia="zh-CN"/>
        </w:rPr>
        <w:t>2020年中央转移支付资金</w:t>
      </w:r>
      <w:r>
        <w:rPr>
          <w:rFonts w:hint="eastAsia" w:asciiTheme="majorEastAsia" w:hAnsiTheme="majorEastAsia" w:eastAsiaTheme="majorEastAsia" w:cstheme="majorEastAsia"/>
          <w:b/>
          <w:sz w:val="44"/>
          <w:szCs w:val="44"/>
          <w:lang w:val="en-US" w:eastAsia="zh-CN"/>
        </w:rPr>
        <w:t>(中波台运行费）</w:t>
      </w:r>
      <w:r>
        <w:rPr>
          <w:rFonts w:hint="eastAsia" w:asciiTheme="majorEastAsia" w:hAnsiTheme="majorEastAsia" w:eastAsiaTheme="majorEastAsia" w:cstheme="majorEastAsia"/>
          <w:b/>
          <w:sz w:val="44"/>
          <w:szCs w:val="44"/>
          <w:lang w:eastAsia="zh-CN"/>
        </w:rPr>
        <w:t>绩效评价报告</w:t>
      </w:r>
    </w:p>
    <w:p>
      <w:pPr>
        <w:adjustRightInd w:val="0"/>
        <w:snapToGrid w:val="0"/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</w:rPr>
        <w:t>一、项目</w:t>
      </w:r>
      <w:r>
        <w:rPr>
          <w:rFonts w:hint="eastAsia" w:ascii="黑体" w:eastAsia="黑体"/>
          <w:sz w:val="32"/>
          <w:szCs w:val="36"/>
        </w:rPr>
        <w:t>基本情况</w:t>
      </w:r>
    </w:p>
    <w:p>
      <w:pPr>
        <w:adjustRightInd w:val="0"/>
        <w:snapToGrid w:val="0"/>
        <w:spacing w:line="360" w:lineRule="auto"/>
        <w:ind w:firstLine="643" w:firstLineChars="200"/>
        <w:rPr>
          <w:rFonts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（一）项目概况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1、项目实施单位及项目立项等基本情况；</w:t>
      </w:r>
    </w:p>
    <w:p>
      <w:pPr>
        <w:adjustRightInd w:val="0"/>
        <w:snapToGrid w:val="0"/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项目实施单位基本情况：石家庄广播电视台是市委直属事业单位，由市委宣传部领导。拥有新闻综合、娱乐、生活、都市4个电视频道，新闻、经济、音乐、农村、交通5个广播频率，以及新媒体中心、地铁电视等12家子媒体。石家庄广电传媒集团有限公司是石家庄广播电视台出资成立的台属、台控、台管的独资企业集团公司，下辖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8</w:t>
      </w:r>
      <w:r>
        <w:rPr>
          <w:rFonts w:hint="eastAsia" w:ascii="仿宋_GB2312" w:eastAsia="仿宋_GB2312"/>
          <w:sz w:val="32"/>
          <w:szCs w:val="32"/>
        </w:rPr>
        <w:t>个全资子公司和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3</w:t>
      </w:r>
      <w:r>
        <w:rPr>
          <w:rFonts w:hint="eastAsia" w:ascii="仿宋_GB2312" w:eastAsia="仿宋_GB2312"/>
          <w:sz w:val="32"/>
          <w:szCs w:val="32"/>
        </w:rPr>
        <w:t>个控参股公司，从事节目制作、广告经营、活动营销、产业拓展等业务。全台现有职工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940</w:t>
      </w:r>
      <w:r>
        <w:rPr>
          <w:rFonts w:hint="eastAsia" w:ascii="仿宋_GB2312" w:eastAsia="仿宋_GB2312"/>
          <w:sz w:val="32"/>
          <w:szCs w:val="32"/>
        </w:rPr>
        <w:t>人，在编正式员工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274</w:t>
      </w:r>
      <w:r>
        <w:rPr>
          <w:rFonts w:hint="eastAsia" w:ascii="仿宋_GB2312" w:eastAsia="仿宋_GB2312"/>
          <w:sz w:val="32"/>
          <w:szCs w:val="32"/>
        </w:rPr>
        <w:t>人，岗位聘用员工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666</w:t>
      </w:r>
      <w:r>
        <w:rPr>
          <w:rFonts w:hint="eastAsia" w:ascii="仿宋_GB2312" w:eastAsia="仿宋_GB2312"/>
          <w:sz w:val="32"/>
          <w:szCs w:val="32"/>
        </w:rPr>
        <w:t>人。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项目立项基本情况：</w:t>
      </w:r>
      <w:r>
        <w:rPr>
          <w:rFonts w:hint="eastAsia" w:ascii="仿宋" w:hAnsi="仿宋" w:eastAsia="仿宋" w:cs="仿宋"/>
          <w:sz w:val="32"/>
          <w:szCs w:val="32"/>
        </w:rPr>
        <w:t>中波部承担我台广播中波发射任务，共发射三套频率。882KHZ新闻台，1431KHZ经济台，1251KhHZ农村台。三部主机均为25千瓦数字中波发射机，882和1431备机为10千瓦PDM脉宽发射机，1251为5千瓦PDM脉宽发射机。其中882和1431双频共塔，发射塔为120米高自立塔。1251发射塔在办公区院内，为双锥中波小天线，塔高约</w:t>
      </w:r>
      <w:r>
        <w:rPr>
          <w:rFonts w:hint="eastAsia" w:ascii="仿宋_GB2312" w:eastAsia="仿宋_GB2312"/>
          <w:sz w:val="32"/>
          <w:szCs w:val="32"/>
        </w:rPr>
        <w:t>25米。20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20</w:t>
      </w:r>
      <w:r>
        <w:rPr>
          <w:rFonts w:hint="eastAsia" w:ascii="仿宋_GB2312" w:eastAsia="仿宋_GB2312"/>
          <w:sz w:val="32"/>
          <w:szCs w:val="32"/>
        </w:rPr>
        <w:t>年，中央财政拨付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12</w:t>
      </w:r>
      <w:r>
        <w:rPr>
          <w:rFonts w:hint="eastAsia" w:ascii="仿宋_GB2312" w:eastAsia="仿宋_GB2312"/>
          <w:sz w:val="32"/>
          <w:szCs w:val="32"/>
        </w:rPr>
        <w:t>万元用于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中波发射台电费</w:t>
      </w:r>
      <w:r>
        <w:rPr>
          <w:rFonts w:hint="eastAsia" w:ascii="仿宋_GB2312" w:eastAsia="仿宋_GB2312"/>
          <w:sz w:val="32"/>
          <w:szCs w:val="32"/>
        </w:rPr>
        <w:t>。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2、项目主要实施内容和范围；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三套频率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即</w:t>
      </w:r>
      <w:r>
        <w:rPr>
          <w:rFonts w:hint="eastAsia" w:ascii="仿宋" w:hAnsi="仿宋" w:eastAsia="仿宋" w:cs="仿宋"/>
          <w:sz w:val="32"/>
          <w:szCs w:val="32"/>
        </w:rPr>
        <w:t>882KHZ新闻台，1431KHZ经济台，1251KhHZ农村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发射任务，</w:t>
      </w:r>
      <w:r>
        <w:rPr>
          <w:rFonts w:hint="eastAsia" w:ascii="仿宋_GB2312" w:eastAsia="仿宋_GB2312"/>
          <w:sz w:val="32"/>
          <w:szCs w:val="32"/>
        </w:rPr>
        <w:t>供电部分有两路外电，变压器功率140KV，一路发电机。两路外电来自不同的母站，入院电压均为10千伏，分别经过变压器降压后送到配电柜。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3、项目资金投入情况（资金数量、资金结构、资金来源渠道等）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项目资金共拨付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12</w:t>
      </w:r>
      <w:r>
        <w:rPr>
          <w:rFonts w:hint="eastAsia" w:ascii="仿宋_GB2312" w:eastAsia="仿宋_GB2312"/>
          <w:sz w:val="32"/>
          <w:szCs w:val="32"/>
        </w:rPr>
        <w:t>万元，用于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中波发射台电费，</w:t>
      </w:r>
      <w:r>
        <w:rPr>
          <w:rFonts w:hint="eastAsia" w:ascii="仿宋_GB2312" w:eastAsia="仿宋_GB2312"/>
          <w:sz w:val="32"/>
          <w:szCs w:val="32"/>
        </w:rPr>
        <w:t>资金来源为全额财政拨款。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（二）项目预期绩效目标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项目预期绩效目标和指标：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三</w:t>
      </w:r>
      <w:r>
        <w:rPr>
          <w:rFonts w:hint="eastAsia" w:ascii="仿宋_GB2312" w:eastAsia="仿宋_GB2312"/>
          <w:sz w:val="32"/>
          <w:szCs w:val="32"/>
        </w:rPr>
        <w:t>个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频率</w:t>
      </w:r>
      <w:r>
        <w:rPr>
          <w:rFonts w:hint="eastAsia" w:ascii="仿宋_GB2312" w:eastAsia="仿宋_GB2312"/>
          <w:sz w:val="32"/>
          <w:szCs w:val="32"/>
        </w:rPr>
        <w:t>严格按照相关技术要求进行监听，定期对各系统进行预防性日常维护、检测、调整，确保良好运行；设备技术参数达到相关要求</w:t>
      </w:r>
    </w:p>
    <w:p>
      <w:pPr>
        <w:numPr>
          <w:ilvl w:val="0"/>
          <w:numId w:val="1"/>
        </w:numPr>
        <w:adjustRightInd w:val="0"/>
        <w:snapToGrid w:val="0"/>
        <w:spacing w:line="360" w:lineRule="auto"/>
        <w:ind w:firstLine="640" w:firstLineChars="200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自评工作情况</w:t>
      </w:r>
    </w:p>
    <w:p>
      <w:pPr>
        <w:numPr>
          <w:ilvl w:val="0"/>
          <w:numId w:val="0"/>
        </w:numPr>
        <w:adjustRightInd w:val="0"/>
        <w:snapToGrid w:val="0"/>
        <w:spacing w:line="360" w:lineRule="auto"/>
        <w:ind w:firstLine="321" w:firstLineChars="100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（一）自评的组织工作</w:t>
      </w:r>
    </w:p>
    <w:p>
      <w:pPr>
        <w:spacing w:line="360" w:lineRule="auto"/>
        <w:ind w:firstLine="64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我台对央视的播出工作非常重视。成立了石家庄广播电视台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中波发射电费</w:t>
      </w:r>
      <w:r>
        <w:rPr>
          <w:rFonts w:hint="eastAsia" w:ascii="仿宋_GB2312" w:eastAsia="仿宋_GB2312"/>
          <w:sz w:val="32"/>
          <w:szCs w:val="32"/>
        </w:rPr>
        <w:t>项目绩效自评工作组。由罗爱山副台长同志任组长。成员包括财务部主任申媛、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物业管理中心副主任张海</w:t>
      </w:r>
      <w:r>
        <w:rPr>
          <w:rFonts w:hint="eastAsia" w:ascii="仿宋_GB2312" w:eastAsia="仿宋_GB2312"/>
          <w:sz w:val="32"/>
          <w:szCs w:val="32"/>
        </w:rPr>
        <w:t>同志。</w:t>
      </w:r>
    </w:p>
    <w:p>
      <w:pPr>
        <w:spacing w:line="360" w:lineRule="auto"/>
        <w:ind w:firstLine="64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工作组定期召开专门会议，组织有关技术人员认真部署全年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支出</w:t>
      </w:r>
      <w:r>
        <w:rPr>
          <w:rFonts w:hint="eastAsia" w:ascii="仿宋_GB2312" w:eastAsia="仿宋_GB2312"/>
          <w:sz w:val="32"/>
          <w:szCs w:val="32"/>
        </w:rPr>
        <w:t>计划，并按照要求逐项搞好资料检查和现场调查，收集相关评价资料。</w:t>
      </w:r>
    </w:p>
    <w:p>
      <w:pPr>
        <w:spacing w:line="360" w:lineRule="auto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（二）自评的方法和过程</w:t>
      </w:r>
    </w:p>
    <w:p>
      <w:pPr>
        <w:spacing w:line="360" w:lineRule="auto"/>
        <w:ind w:firstLine="640"/>
        <w:outlineLvl w:val="2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1、制定了项目绩效自评打分标准和项目绩效自评打分表。</w:t>
      </w:r>
    </w:p>
    <w:p>
      <w:pPr>
        <w:spacing w:line="360" w:lineRule="auto"/>
        <w:ind w:firstLine="640"/>
        <w:outlineLvl w:val="2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2、评价工作组采用对照方法，按财政要求从项目产出指标、预算执行率指标、效益指标、满意度指标四个方面，对照实际执行情况进行评价打分。</w:t>
      </w:r>
    </w:p>
    <w:p>
      <w:pPr>
        <w:spacing w:line="360" w:lineRule="auto"/>
        <w:ind w:firstLine="640"/>
        <w:outlineLvl w:val="2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3、评价工作组根据绩效评价结果撰写绩效评价报告。</w:t>
      </w:r>
    </w:p>
    <w:p>
      <w:pPr>
        <w:spacing w:line="360" w:lineRule="auto"/>
        <w:ind w:firstLine="645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（三）建立绩效评价指标体系</w:t>
      </w:r>
    </w:p>
    <w:p>
      <w:pPr>
        <w:spacing w:line="360" w:lineRule="auto"/>
        <w:ind w:firstLine="645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  <w:lang w:eastAsia="zh-CN"/>
        </w:rPr>
        <w:t>中波台</w:t>
      </w:r>
      <w:r>
        <w:rPr>
          <w:rFonts w:hint="eastAsia" w:ascii="楷体_GB2312" w:hAnsi="楷体_GB2312" w:eastAsia="楷体_GB2312" w:cs="楷体_GB2312"/>
          <w:bCs/>
          <w:sz w:val="32"/>
          <w:szCs w:val="32"/>
        </w:rPr>
        <w:t>维护项目绩效评价指标体系</w:t>
      </w:r>
    </w:p>
    <w:tbl>
      <w:tblPr>
        <w:tblStyle w:val="4"/>
        <w:tblW w:w="8826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95"/>
        <w:gridCol w:w="884"/>
        <w:gridCol w:w="866"/>
        <w:gridCol w:w="2701"/>
        <w:gridCol w:w="803"/>
        <w:gridCol w:w="975"/>
        <w:gridCol w:w="857"/>
        <w:gridCol w:w="124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5" w:hRule="atLeast"/>
        </w:trPr>
        <w:tc>
          <w:tcPr>
            <w:tcW w:w="49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绩效指标</w:t>
            </w: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一级指标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二级指标</w:t>
            </w:r>
          </w:p>
        </w:tc>
        <w:tc>
          <w:tcPr>
            <w:tcW w:w="2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三级指标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年度指标值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完成值</w:t>
            </w:r>
          </w:p>
        </w:tc>
        <w:tc>
          <w:tcPr>
            <w:tcW w:w="8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未完成原因和改进措施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自评分值（分）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5" w:hRule="atLeast"/>
        </w:trPr>
        <w:tc>
          <w:tcPr>
            <w:tcW w:w="49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8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产出指标（60分）</w:t>
            </w:r>
          </w:p>
        </w:tc>
        <w:tc>
          <w:tcPr>
            <w:tcW w:w="86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数量指标（20分）</w:t>
            </w:r>
          </w:p>
        </w:tc>
        <w:tc>
          <w:tcPr>
            <w:tcW w:w="2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49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3个频率如期发射信号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8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ajorEastAsia" w:hAnsiTheme="majorEastAsia" w:eastAsiaTheme="majorEastAsia" w:cstheme="majorEastAsia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60" w:hRule="atLeast"/>
        </w:trPr>
        <w:tc>
          <w:tcPr>
            <w:tcW w:w="49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ajorEastAsia" w:hAnsiTheme="majorEastAsia" w:eastAsiaTheme="majorEastAsia" w:cstheme="majorEastAsia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0" w:hRule="atLeast"/>
        </w:trPr>
        <w:tc>
          <w:tcPr>
            <w:tcW w:w="49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6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质量指标（20分）</w:t>
            </w:r>
          </w:p>
        </w:tc>
        <w:tc>
          <w:tcPr>
            <w:tcW w:w="2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49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3个频率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满时间、满调制度播出率（%）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100 </w:t>
            </w:r>
          </w:p>
        </w:tc>
        <w:tc>
          <w:tcPr>
            <w:tcW w:w="8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ajorEastAsia" w:hAnsiTheme="majorEastAsia" w:eastAsiaTheme="majorEastAsia" w:cstheme="majorEastAsia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49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ajorEastAsia" w:hAnsiTheme="majorEastAsia" w:eastAsiaTheme="majorEastAsia" w:cstheme="majorEastAsia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</w:trPr>
        <w:tc>
          <w:tcPr>
            <w:tcW w:w="49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6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时效指标（20分）</w:t>
            </w:r>
          </w:p>
        </w:tc>
        <w:tc>
          <w:tcPr>
            <w:tcW w:w="2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专项资金到位率（%）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100 </w:t>
            </w:r>
          </w:p>
        </w:tc>
        <w:tc>
          <w:tcPr>
            <w:tcW w:w="8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</w:trPr>
        <w:tc>
          <w:tcPr>
            <w:tcW w:w="49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ajorEastAsia" w:hAnsiTheme="majorEastAsia" w:eastAsiaTheme="majorEastAsia" w:cstheme="majorEastAsia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49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电费按时进行缴纳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（%）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100 </w:t>
            </w:r>
          </w:p>
        </w:tc>
        <w:tc>
          <w:tcPr>
            <w:tcW w:w="8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ajorEastAsia" w:hAnsiTheme="majorEastAsia" w:eastAsiaTheme="majorEastAsia" w:cstheme="majorEastAsia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49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701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57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ajorEastAsia" w:hAnsiTheme="majorEastAsia" w:eastAsiaTheme="majorEastAsia" w:cstheme="majorEastAsia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5" w:hRule="atLeast"/>
        </w:trPr>
        <w:tc>
          <w:tcPr>
            <w:tcW w:w="49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绩效指标</w:t>
            </w:r>
          </w:p>
        </w:tc>
        <w:tc>
          <w:tcPr>
            <w:tcW w:w="88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效益指标（30分）</w:t>
            </w:r>
          </w:p>
        </w:tc>
        <w:tc>
          <w:tcPr>
            <w:tcW w:w="86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社会效益指标（20分）</w:t>
            </w:r>
          </w:p>
        </w:tc>
        <w:tc>
          <w:tcPr>
            <w:tcW w:w="2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5" w:hRule="atLeast"/>
        </w:trPr>
        <w:tc>
          <w:tcPr>
            <w:tcW w:w="49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电台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综合人口覆盖率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Style w:val="7"/>
                <w:lang w:val="en-US" w:eastAsia="zh-CN" w:bidi="ar"/>
              </w:rPr>
              <w:t>≧</w:t>
            </w:r>
            <w:r>
              <w:rPr>
                <w:rStyle w:val="8"/>
                <w:lang w:val="en-US" w:eastAsia="zh-CN" w:bidi="ar"/>
              </w:rPr>
              <w:t>95%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Style w:val="7"/>
                <w:lang w:val="en-US" w:eastAsia="zh-CN" w:bidi="ar"/>
              </w:rPr>
              <w:t>≧</w:t>
            </w:r>
            <w:r>
              <w:rPr>
                <w:rStyle w:val="8"/>
                <w:lang w:val="en-US" w:eastAsia="zh-CN" w:bidi="ar"/>
              </w:rPr>
              <w:t>95%</w:t>
            </w:r>
          </w:p>
        </w:tc>
        <w:tc>
          <w:tcPr>
            <w:tcW w:w="8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ajorEastAsia" w:hAnsiTheme="majorEastAsia" w:eastAsiaTheme="majorEastAsia" w:cstheme="majorEastAsia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</w:trPr>
        <w:tc>
          <w:tcPr>
            <w:tcW w:w="49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ajorEastAsia" w:hAnsiTheme="majorEastAsia" w:eastAsiaTheme="majorEastAsia" w:cstheme="majorEastAsia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</w:trPr>
        <w:tc>
          <w:tcPr>
            <w:tcW w:w="49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6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可持续影响指标（10）</w:t>
            </w:r>
          </w:p>
        </w:tc>
        <w:tc>
          <w:tcPr>
            <w:tcW w:w="2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无线覆盖运行维护的持续作用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Style w:val="7"/>
                <w:lang w:val="en-US" w:eastAsia="zh-CN" w:bidi="ar"/>
              </w:rPr>
              <w:t>≧</w:t>
            </w:r>
            <w:r>
              <w:rPr>
                <w:rStyle w:val="8"/>
                <w:lang w:val="en-US" w:eastAsia="zh-CN" w:bidi="ar"/>
              </w:rPr>
              <w:t>90%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  <w:tc>
          <w:tcPr>
            <w:tcW w:w="8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</w:trPr>
        <w:tc>
          <w:tcPr>
            <w:tcW w:w="49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Theme="majorEastAsia" w:hAnsiTheme="majorEastAsia" w:eastAsiaTheme="majorEastAsia" w:cstheme="majorEastAsia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0" w:hRule="atLeast"/>
        </w:trPr>
        <w:tc>
          <w:tcPr>
            <w:tcW w:w="49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满意度指标（10分）</w:t>
            </w:r>
          </w:p>
        </w:tc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服务对象满意度指标（10分）</w:t>
            </w:r>
          </w:p>
        </w:tc>
        <w:tc>
          <w:tcPr>
            <w:tcW w:w="2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群众对</w:t>
            </w:r>
            <w:r>
              <w:rPr>
                <w:rFonts w:hint="eastAsia" w:ascii="宋体" w:hAnsi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电台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公共文化服务满意度</w:t>
            </w:r>
          </w:p>
        </w:tc>
        <w:tc>
          <w:tcPr>
            <w:tcW w:w="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Style w:val="7"/>
                <w:lang w:val="en-US" w:eastAsia="zh-CN" w:bidi="ar"/>
              </w:rPr>
              <w:t>≧</w:t>
            </w:r>
            <w:r>
              <w:rPr>
                <w:rStyle w:val="8"/>
                <w:lang w:val="en-US" w:eastAsia="zh-CN" w:bidi="ar"/>
              </w:rPr>
              <w:t>95%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  <w:tc>
          <w:tcPr>
            <w:tcW w:w="8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7581" w:type="dxa"/>
            <w:gridSpan w:val="7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自评分值合计</w:t>
            </w:r>
          </w:p>
        </w:tc>
        <w:tc>
          <w:tcPr>
            <w:tcW w:w="1245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</w:t>
            </w:r>
          </w:p>
        </w:tc>
      </w:tr>
    </w:tbl>
    <w:p>
      <w:pPr>
        <w:spacing w:line="360" w:lineRule="auto"/>
        <w:rPr>
          <w:rFonts w:hint="eastAsia" w:ascii="黑体" w:hAnsi="黑体" w:eastAsia="黑体"/>
          <w:sz w:val="32"/>
          <w:szCs w:val="32"/>
        </w:rPr>
      </w:pPr>
    </w:p>
    <w:p>
      <w:pPr>
        <w:spacing w:line="360" w:lineRule="auto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三、项目执行及绩效实现情况</w:t>
      </w:r>
    </w:p>
    <w:p>
      <w:pPr>
        <w:numPr>
          <w:ilvl w:val="0"/>
          <w:numId w:val="2"/>
        </w:numPr>
        <w:spacing w:line="360" w:lineRule="auto"/>
        <w:ind w:firstLine="643" w:firstLineChars="200"/>
        <w:rPr>
          <w:rFonts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预算执行情况</w:t>
      </w:r>
    </w:p>
    <w:p>
      <w:pPr>
        <w:pStyle w:val="6"/>
        <w:spacing w:line="360" w:lineRule="auto"/>
        <w:ind w:firstLine="64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执行年初预算安排情况：我部门按照要求目前已经完成预算支出100%。</w:t>
      </w:r>
      <w:r>
        <w:rPr>
          <w:rFonts w:hint="eastAsia" w:ascii="仿宋_GB2312" w:eastAsia="仿宋_GB2312"/>
          <w:sz w:val="32"/>
          <w:szCs w:val="32"/>
          <w:lang w:eastAsia="zh-CN"/>
        </w:rPr>
        <w:t>执行率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100%</w:t>
      </w:r>
      <w:r>
        <w:rPr>
          <w:rFonts w:hint="eastAsia" w:ascii="仿宋_GB2312" w:eastAsia="仿宋_GB2312"/>
          <w:sz w:val="32"/>
          <w:szCs w:val="32"/>
        </w:rPr>
        <w:t>。</w:t>
      </w:r>
    </w:p>
    <w:p>
      <w:pPr>
        <w:spacing w:line="360" w:lineRule="auto"/>
        <w:rPr>
          <w:rFonts w:hint="eastAsia" w:ascii="仿宋_GB2312" w:eastAsia="楷体_GB2312"/>
          <w:b/>
          <w:bCs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（二）产出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  <w:t>指标</w:t>
      </w:r>
    </w:p>
    <w:p>
      <w:pPr>
        <w:spacing w:line="360" w:lineRule="auto"/>
        <w:ind w:firstLine="640" w:firstLineChars="200"/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数量指标：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电费按时缴纳，3个频率按时播出，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完成率为100%，本项得分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  <w:lang w:val="en-US" w:eastAsia="zh-CN"/>
        </w:rPr>
        <w:t>2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0分。</w:t>
      </w:r>
    </w:p>
    <w:p>
      <w:pPr>
        <w:spacing w:line="360" w:lineRule="auto"/>
        <w:ind w:firstLine="640" w:firstLineChars="200"/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质量指标：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3个频率发射良好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、满时间、满调制度播出率（%）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  <w:lang w:eastAsia="zh-CN"/>
        </w:rPr>
        <w:t>。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全年设备运行良好，实现了零停播的任务指标，完成率100%，本项得分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  <w:lang w:val="en-US" w:eastAsia="zh-CN"/>
        </w:rPr>
        <w:t>2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0分。</w:t>
      </w:r>
    </w:p>
    <w:p>
      <w:pPr>
        <w:spacing w:line="360" w:lineRule="auto"/>
        <w:ind w:firstLine="640" w:firstLineChars="200"/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时效指标：专项资金到位率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  <w:lang w:val="en-US" w:eastAsia="zh-CN"/>
        </w:rPr>
        <w:t>100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%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  <w:lang w:eastAsia="zh-CN"/>
        </w:rPr>
        <w:t>，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数字运维设备及服务招标采购完成率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  <w:lang w:val="en-US" w:eastAsia="zh-CN"/>
        </w:rPr>
        <w:t>100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%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  <w:lang w:eastAsia="zh-CN"/>
        </w:rPr>
        <w:t>，本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项得分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  <w:lang w:val="en-US" w:eastAsia="zh-CN"/>
        </w:rPr>
        <w:t>2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0分。</w:t>
      </w:r>
    </w:p>
    <w:p>
      <w:pPr>
        <w:spacing w:line="360" w:lineRule="auto"/>
        <w:ind w:firstLine="643" w:firstLineChars="200"/>
        <w:rPr>
          <w:rFonts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（三）项目效益</w:t>
      </w:r>
    </w:p>
    <w:p>
      <w:pPr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社会效益：电视综合人口覆盖率本项完成率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95</w:t>
      </w:r>
      <w:r>
        <w:rPr>
          <w:rFonts w:hint="eastAsia" w:ascii="仿宋_GB2312" w:eastAsia="仿宋_GB2312"/>
          <w:sz w:val="32"/>
          <w:szCs w:val="32"/>
        </w:rPr>
        <w:t>%，本项得分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</w:t>
      </w:r>
      <w:r>
        <w:rPr>
          <w:rFonts w:hint="eastAsia" w:ascii="仿宋_GB2312" w:eastAsia="仿宋_GB2312"/>
          <w:sz w:val="32"/>
          <w:szCs w:val="32"/>
        </w:rPr>
        <w:t>0分。</w:t>
      </w:r>
    </w:p>
    <w:p>
      <w:pPr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可持续影响指标：</w:t>
      </w:r>
      <w:r>
        <w:rPr>
          <w:rFonts w:hint="eastAsia" w:ascii="仿宋_GB2312" w:eastAsia="仿宋_GB2312"/>
          <w:sz w:val="32"/>
          <w:szCs w:val="32"/>
        </w:rPr>
        <w:t>无线覆盖运行维护的持续作用本项完成率100%，本项得分10分。</w:t>
      </w:r>
    </w:p>
    <w:p>
      <w:pPr>
        <w:spacing w:line="360" w:lineRule="auto"/>
        <w:ind w:firstLine="643" w:firstLineChars="200"/>
        <w:rPr>
          <w:rFonts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（四）满意度</w:t>
      </w:r>
    </w:p>
    <w:p>
      <w:pPr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及时到位的维护工作，是播出设备正常运转的前提，播出质量关系到收视效果，收视人群不断扩大，收视满意度不断提高，本项完成率100%，本项得分10分。</w:t>
      </w:r>
    </w:p>
    <w:p>
      <w:pPr>
        <w:spacing w:line="360" w:lineRule="auto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四、项目综合评价结论</w:t>
      </w:r>
    </w:p>
    <w:p>
      <w:pPr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该项目专业性很强，实施过程中能够严格按照广电总局的设备维护、维修规范执行，</w:t>
      </w:r>
      <w:r>
        <w:rPr>
          <w:rFonts w:hint="eastAsia" w:ascii="仿宋_GB2312" w:eastAsia="仿宋_GB2312"/>
          <w:sz w:val="32"/>
          <w:szCs w:val="32"/>
          <w:lang w:eastAsia="zh-CN"/>
        </w:rPr>
        <w:t>自我</w:t>
      </w:r>
      <w:r>
        <w:rPr>
          <w:rFonts w:hint="eastAsia" w:ascii="仿宋_GB2312" w:eastAsia="仿宋_GB2312"/>
          <w:sz w:val="32"/>
          <w:szCs w:val="32"/>
        </w:rPr>
        <w:t>综合绩效评价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100分</w:t>
      </w:r>
      <w:r>
        <w:rPr>
          <w:rFonts w:hint="eastAsia" w:ascii="仿宋_GB2312" w:eastAsia="仿宋_GB2312"/>
          <w:sz w:val="32"/>
          <w:szCs w:val="32"/>
        </w:rPr>
        <w:t>。</w:t>
      </w:r>
    </w:p>
    <w:p>
      <w:pPr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>
      <w:pPr>
        <w:spacing w:line="360" w:lineRule="auto"/>
        <w:ind w:firstLine="643" w:firstLineChars="200"/>
        <w:rPr>
          <w:rFonts w:hint="eastAsia" w:ascii="楷体_GB2312" w:hAnsi="楷体_GB2312" w:eastAsia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/>
          <w:b/>
          <w:bCs/>
          <w:sz w:val="32"/>
          <w:szCs w:val="32"/>
        </w:rPr>
        <w:t>（一）项目存在的主要问题</w:t>
      </w:r>
    </w:p>
    <w:p>
      <w:pPr>
        <w:spacing w:line="360" w:lineRule="auto"/>
        <w:ind w:firstLine="640" w:firstLineChars="200"/>
        <w:rPr>
          <w:rFonts w:hint="eastAsia" w:ascii="楷体_GB2312" w:hAnsi="楷体_GB2312" w:eastAsia="楷体_GB2312"/>
          <w:b w:val="0"/>
          <w:bCs w:val="0"/>
          <w:sz w:val="32"/>
          <w:szCs w:val="32"/>
        </w:rPr>
      </w:pPr>
      <w:r>
        <w:rPr>
          <w:rFonts w:hint="eastAsia" w:ascii="楷体_GB2312" w:hAnsi="楷体_GB2312" w:eastAsia="楷体_GB2312"/>
          <w:b w:val="0"/>
          <w:bCs w:val="0"/>
          <w:sz w:val="32"/>
          <w:szCs w:val="32"/>
        </w:rPr>
        <w:t>中波部目前主要隐患是多数设备超期服役，使用年限长，设备老化，可靠性低。</w:t>
      </w:r>
    </w:p>
    <w:p>
      <w:pPr>
        <w:spacing w:line="360" w:lineRule="auto"/>
        <w:ind w:firstLine="643" w:firstLineChars="200"/>
        <w:rPr>
          <w:rFonts w:hint="eastAsia" w:ascii="楷体_GB2312" w:hAnsi="楷体_GB2312" w:eastAsia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/>
          <w:b/>
          <w:bCs/>
          <w:sz w:val="32"/>
          <w:szCs w:val="32"/>
        </w:rPr>
        <w:t>（二）针对问题提出具体的改进措施或建议</w:t>
      </w:r>
    </w:p>
    <w:p>
      <w:pPr>
        <w:spacing w:line="360" w:lineRule="auto"/>
        <w:ind w:firstLine="642"/>
        <w:rPr>
          <w:rFonts w:hint="eastAsia" w:ascii="楷体_GB2312" w:hAnsi="楷体_GB2312" w:eastAsia="楷体_GB2312"/>
          <w:bCs/>
          <w:sz w:val="32"/>
          <w:szCs w:val="32"/>
        </w:rPr>
      </w:pPr>
      <w:r>
        <w:rPr>
          <w:rFonts w:hint="eastAsia" w:ascii="楷体_GB2312" w:hAnsi="楷体_GB2312" w:eastAsia="楷体_GB2312"/>
          <w:bCs/>
          <w:sz w:val="32"/>
          <w:szCs w:val="32"/>
          <w:lang w:val="en-US" w:eastAsia="zh-CN"/>
        </w:rPr>
        <w:t>加大自查自修力度，确保设备安全</w:t>
      </w:r>
      <w:r>
        <w:rPr>
          <w:rFonts w:hint="eastAsia" w:ascii="楷体_GB2312" w:hAnsi="楷体_GB2312" w:eastAsia="楷体_GB2312"/>
          <w:bCs/>
          <w:sz w:val="32"/>
          <w:szCs w:val="32"/>
        </w:rPr>
        <w:t>。</w:t>
      </w:r>
    </w:p>
    <w:p>
      <w:pPr>
        <w:spacing w:line="360" w:lineRule="auto"/>
        <w:ind w:left="0" w:leftChars="0" w:firstLine="4840" w:firstLineChars="0"/>
        <w:jc w:val="center"/>
        <w:rPr>
          <w:rFonts w:hint="eastAsia" w:ascii="楷体_GB2312" w:hAnsi="楷体_GB2312" w:eastAsia="楷体_GB2312"/>
          <w:bCs/>
          <w:sz w:val="32"/>
          <w:szCs w:val="32"/>
          <w:lang w:eastAsia="zh-CN"/>
        </w:rPr>
      </w:pPr>
    </w:p>
    <w:p>
      <w:pPr>
        <w:spacing w:line="360" w:lineRule="auto"/>
        <w:ind w:left="0" w:leftChars="0" w:firstLine="4840" w:firstLineChars="0"/>
        <w:jc w:val="center"/>
        <w:rPr>
          <w:rFonts w:hint="eastAsia" w:ascii="楷体_GB2312" w:hAnsi="楷体_GB2312" w:eastAsia="楷体_GB2312"/>
          <w:bCs/>
          <w:sz w:val="32"/>
          <w:szCs w:val="32"/>
          <w:lang w:eastAsia="zh-CN"/>
        </w:rPr>
      </w:pPr>
      <w:r>
        <w:rPr>
          <w:rFonts w:hint="eastAsia" w:ascii="楷体_GB2312" w:hAnsi="楷体_GB2312" w:eastAsia="楷体_GB2312"/>
          <w:bCs/>
          <w:sz w:val="32"/>
          <w:szCs w:val="32"/>
          <w:lang w:eastAsia="zh-CN"/>
        </w:rPr>
        <w:t>石家庄广播电视台</w:t>
      </w:r>
    </w:p>
    <w:p>
      <w:pPr>
        <w:spacing w:line="360" w:lineRule="auto"/>
        <w:ind w:left="0" w:leftChars="0" w:firstLine="4840" w:firstLineChars="0"/>
        <w:jc w:val="center"/>
        <w:rPr>
          <w:rFonts w:hint="eastAsia" w:ascii="楷体_GB2312" w:hAnsi="楷体_GB2312" w:eastAsia="楷体_GB2312"/>
          <w:bCs/>
          <w:sz w:val="32"/>
          <w:szCs w:val="32"/>
          <w:lang w:eastAsia="zh-CN"/>
        </w:rPr>
      </w:pPr>
      <w:r>
        <w:rPr>
          <w:rFonts w:hint="eastAsia" w:ascii="楷体_GB2312" w:hAnsi="楷体_GB2312" w:eastAsia="楷体_GB2312"/>
          <w:bCs/>
          <w:sz w:val="32"/>
          <w:szCs w:val="32"/>
          <w:lang w:eastAsia="zh-CN"/>
        </w:rPr>
        <w:t>2021年</w:t>
      </w:r>
      <w:r>
        <w:rPr>
          <w:rFonts w:hint="eastAsia" w:ascii="楷体_GB2312" w:hAnsi="楷体_GB2312" w:eastAsia="楷体_GB2312"/>
          <w:bCs/>
          <w:sz w:val="32"/>
          <w:szCs w:val="32"/>
          <w:lang w:val="en-US" w:eastAsia="zh-CN"/>
        </w:rPr>
        <w:t>2</w:t>
      </w:r>
      <w:r>
        <w:rPr>
          <w:rFonts w:hint="eastAsia" w:ascii="楷体_GB2312" w:hAnsi="楷体_GB2312" w:eastAsia="楷体_GB2312"/>
          <w:bCs/>
          <w:sz w:val="32"/>
          <w:szCs w:val="32"/>
          <w:lang w:eastAsia="zh-CN"/>
        </w:rPr>
        <w:t>月</w:t>
      </w:r>
      <w:r>
        <w:rPr>
          <w:rFonts w:hint="eastAsia" w:ascii="楷体_GB2312" w:hAnsi="楷体_GB2312" w:eastAsia="楷体_GB2312"/>
          <w:bCs/>
          <w:sz w:val="32"/>
          <w:szCs w:val="32"/>
          <w:lang w:val="en-US" w:eastAsia="zh-CN"/>
        </w:rPr>
        <w:t>20</w:t>
      </w:r>
      <w:r>
        <w:rPr>
          <w:rFonts w:hint="eastAsia" w:ascii="楷体_GB2312" w:hAnsi="楷体_GB2312" w:eastAsia="楷体_GB2312"/>
          <w:bCs/>
          <w:sz w:val="32"/>
          <w:szCs w:val="32"/>
          <w:lang w:eastAsia="zh-CN"/>
        </w:rPr>
        <w:t>日</w:t>
      </w:r>
    </w:p>
    <w:sectPr>
      <w:footerReference r:id="rId3" w:type="default"/>
      <w:pgSz w:w="11906" w:h="16838"/>
      <w:pgMar w:top="1440" w:right="1800" w:bottom="1440" w:left="1800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0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rPr>
                              <w:sz w:val="18"/>
                            </w:rP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025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rPr>
                        <w:sz w:val="18"/>
                      </w:rP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9BF963FD"/>
    <w:multiLevelType w:val="singleLevel"/>
    <w:tmpl w:val="9BF963FD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EBD2122"/>
    <w:rsid w:val="00011F7A"/>
    <w:rsid w:val="00045A8A"/>
    <w:rsid w:val="00142025"/>
    <w:rsid w:val="001B2BD8"/>
    <w:rsid w:val="004C4A24"/>
    <w:rsid w:val="006248F1"/>
    <w:rsid w:val="006C183E"/>
    <w:rsid w:val="007A2FBF"/>
    <w:rsid w:val="00914F7D"/>
    <w:rsid w:val="009B768B"/>
    <w:rsid w:val="00A104B7"/>
    <w:rsid w:val="00AA725C"/>
    <w:rsid w:val="00B30B9D"/>
    <w:rsid w:val="00B5001D"/>
    <w:rsid w:val="00B818AE"/>
    <w:rsid w:val="00BF2235"/>
    <w:rsid w:val="00C03911"/>
    <w:rsid w:val="00CF14A1"/>
    <w:rsid w:val="00D62007"/>
    <w:rsid w:val="00E860E8"/>
    <w:rsid w:val="00EE6C30"/>
    <w:rsid w:val="02B43A28"/>
    <w:rsid w:val="0EB97A43"/>
    <w:rsid w:val="0EBD2122"/>
    <w:rsid w:val="11B71E6A"/>
    <w:rsid w:val="1AAF0063"/>
    <w:rsid w:val="1BE140DE"/>
    <w:rsid w:val="248C197D"/>
    <w:rsid w:val="252959AF"/>
    <w:rsid w:val="277A6671"/>
    <w:rsid w:val="323858DC"/>
    <w:rsid w:val="32394C6F"/>
    <w:rsid w:val="33EB6CFF"/>
    <w:rsid w:val="3AA80856"/>
    <w:rsid w:val="3B625C0A"/>
    <w:rsid w:val="3CEE1963"/>
    <w:rsid w:val="4B43287F"/>
    <w:rsid w:val="4D700C0B"/>
    <w:rsid w:val="4EF02927"/>
    <w:rsid w:val="50B3328E"/>
    <w:rsid w:val="512260B4"/>
    <w:rsid w:val="5A167AD4"/>
    <w:rsid w:val="64CD193E"/>
    <w:rsid w:val="66AF0CE5"/>
    <w:rsid w:val="6E5B14A6"/>
    <w:rsid w:val="71BF0FA2"/>
    <w:rsid w:val="7BB51E06"/>
    <w:rsid w:val="7C387F7C"/>
    <w:rsid w:val="7DB26A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styleId="6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7">
    <w:name w:val="font01"/>
    <w:basedOn w:val="5"/>
    <w:qFormat/>
    <w:uiPriority w:val="0"/>
    <w:rPr>
      <w:rFonts w:ascii="宋体" w:hAnsi="宋体" w:eastAsia="宋体" w:cs="宋体"/>
      <w:color w:val="000000"/>
      <w:sz w:val="20"/>
      <w:szCs w:val="20"/>
      <w:u w:val="none"/>
    </w:rPr>
  </w:style>
  <w:style w:type="character" w:customStyle="1" w:styleId="8">
    <w:name w:val="font11"/>
    <w:basedOn w:val="5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6</Pages>
  <Words>416</Words>
  <Characters>2374</Characters>
  <Lines>19</Lines>
  <Paragraphs>5</Paragraphs>
  <TotalTime>20</TotalTime>
  <ScaleCrop>false</ScaleCrop>
  <LinksUpToDate>false</LinksUpToDate>
  <CharactersWithSpaces>2785</CharactersWithSpaces>
  <Application>WPS Office_11.8.2.8411_F1E327BC-269C-435d-A152-05C5408002CA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2020-06-05T01:51:00Z</dcterms:created>
  <dc:creator>欣欣大人</dc:creator>
  <cp:lastModifiedBy>冯宏涛</cp:lastModifiedBy>
  <cp:lastPrinted>2020-06-05T01:42:00Z</cp:lastPrinted>
  <dcterms:modified xsi:type="dcterms:W3CDTF">2021-04-15T07:01:32Z</dcterms:modified>
  <dc:title>附件3：</dc:title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2052-11.8.2.8411</vt:lpwstr>
  </property>
</Properties>
</file>