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val="en-US" w:eastAsia="zh-CN"/>
        </w:rPr>
        <w:t>附件4：</w:t>
      </w:r>
    </w:p>
    <w:p>
      <w:pPr>
        <w:widowControl w:val="0"/>
        <w:wordWrap/>
        <w:spacing w:line="360" w:lineRule="auto"/>
        <w:ind w:left="0" w:leftChars="0" w:right="0" w:firstLine="0" w:firstLineChars="0"/>
        <w:jc w:val="center"/>
        <w:textAlignment w:val="auto"/>
        <w:outlineLvl w:val="9"/>
        <w:rPr>
          <w:rFonts w:hint="eastAsia" w:ascii="宋体" w:hAnsi="宋体" w:cs="宋体"/>
          <w:b/>
          <w:bCs/>
          <w:sz w:val="44"/>
          <w:szCs w:val="44"/>
          <w:lang w:val="en-US" w:eastAsia="zh-CN"/>
        </w:rPr>
      </w:pPr>
      <w:r>
        <w:rPr>
          <w:rFonts w:hint="eastAsia" w:ascii="宋体" w:hAnsi="宋体" w:cs="宋体"/>
          <w:b/>
          <w:bCs/>
          <w:sz w:val="44"/>
          <w:szCs w:val="44"/>
          <w:lang w:val="en-US" w:eastAsia="zh-CN"/>
        </w:rPr>
        <w:t>中共石家庄市委宣传部</w:t>
      </w:r>
    </w:p>
    <w:p>
      <w:pPr>
        <w:widowControl w:val="0"/>
        <w:wordWrap/>
        <w:spacing w:line="360" w:lineRule="auto"/>
        <w:ind w:left="0" w:leftChars="0" w:right="0" w:firstLine="0" w:firstLineChars="0"/>
        <w:jc w:val="center"/>
        <w:textAlignment w:val="auto"/>
        <w:outlineLvl w:val="9"/>
        <w:rPr>
          <w:rFonts w:hint="eastAsia" w:ascii="宋体" w:hAnsi="宋体" w:eastAsia="宋体" w:cs="宋体"/>
          <w:sz w:val="32"/>
          <w:szCs w:val="32"/>
          <w:lang w:eastAsia="zh-CN"/>
        </w:rPr>
      </w:pPr>
      <w:r>
        <w:rPr>
          <w:rFonts w:hint="eastAsia" w:ascii="宋体" w:hAnsi="宋体" w:cs="宋体"/>
          <w:b/>
          <w:bCs/>
          <w:sz w:val="44"/>
          <w:szCs w:val="44"/>
          <w:lang w:val="en-US" w:eastAsia="zh-CN"/>
        </w:rPr>
        <w:t>《行风热线》开设文明城市建设专栏</w:t>
      </w:r>
      <w:r>
        <w:rPr>
          <w:rFonts w:hint="eastAsia" w:ascii="宋体" w:hAnsi="宋体" w:eastAsia="宋体" w:cs="宋体"/>
          <w:b/>
          <w:bCs/>
          <w:sz w:val="44"/>
          <w:szCs w:val="44"/>
          <w:lang w:eastAsia="zh-CN"/>
        </w:rPr>
        <w:t>项目自评</w:t>
      </w:r>
      <w:r>
        <w:rPr>
          <w:rFonts w:hint="eastAsia" w:ascii="宋体" w:hAnsi="宋体" w:eastAsia="宋体" w:cs="宋体"/>
          <w:b/>
          <w:bCs/>
          <w:sz w:val="44"/>
          <w:szCs w:val="44"/>
        </w:rPr>
        <w:t>报告</w:t>
      </w:r>
    </w:p>
    <w:p>
      <w:pPr>
        <w:widowControl w:val="0"/>
        <w:wordWrap/>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，遵循“科学性、规范性、客观性和公正性”的原则，对《行风热线》开设文明城市建设专栏</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textAlignment w:val="auto"/>
        <w:outlineLvl w:val="9"/>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《行风热线》开设文明城市建设专栏是由中共石家庄市委宣传部主管，</w:t>
      </w:r>
      <w:r>
        <w:rPr>
          <w:rFonts w:hint="eastAsia" w:ascii="仿宋_GB2312" w:hAnsi="仿宋_GB2312" w:eastAsia="仿宋_GB2312" w:cs="仿宋_GB2312"/>
          <w:sz w:val="32"/>
          <w:szCs w:val="32"/>
          <w:lang w:val="en-US" w:eastAsia="zh-CN"/>
        </w:rPr>
        <w:t>石家庄广播电视台承办，节目以与城市文明息息相关的市容市貌、城市管理、人居环境、校园文明、窗口文明、行业文明、市民素质等重点内容设置主题型节目，邀请相关部门、专家学者、市民代表等嘉宾共同做客直播间畅谈城市文明，介绍在文明城市创建中的工作内容，分享文明工作成果，分析遇到的困惑，探讨解决的办法，从而完善创建工作机制，推动我市文明城市创建常态化。</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1、节目时长：每周五上午9点至10点 </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2、节目形式：访谈+记者调查+互动+新媒体直播</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3、主题设置要求：围绕我市文明城市工作的重要考核内容，城市管理过程中的顽疾进行设置，重要主题可拆分为多个分主题，同时，要注意集合当前的社会热点。节目组提前一个月将主题报市文明办审核。</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4、嘉宾要求：专家、市民等节目组负责安排，相关职能部门嘉宾由市文明办负责通知，节目组具体对接。</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该项目由市财政直接拨付到我台经费8万元，支出包含节目记者采访、撰写、编辑稿件酬劳，节目制作费，外联交通必要支出、新媒体内容制作和传播费用等。该节目制定了严格的编审制度和财务支出制度，此后一直严格按照要求执行。</w:t>
      </w:r>
    </w:p>
    <w:p>
      <w:pPr>
        <w:keepNext w:val="0"/>
        <w:keepLines w:val="0"/>
        <w:pageBreakBefore w:val="0"/>
        <w:widowControl w:val="0"/>
        <w:kinsoku/>
        <w:wordWrap/>
        <w:overflowPunct/>
        <w:topLinePunct w:val="0"/>
        <w:autoSpaceDE/>
        <w:autoSpaceDN/>
        <w:bidi w:val="0"/>
        <w:spacing w:line="360" w:lineRule="auto"/>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自我市全国文明城市创建活动开展以来，新闻广播高度重视，紧紧围绕创建全国文明城市这一奋斗目标，以提高城市文明程度和市民文明素质为核心，以各种创建活动为载体，以宣传教育为手段，为创建工作营造声势和氛围、提供智力保障和精神动力。</w:t>
      </w:r>
      <w:r>
        <w:rPr>
          <w:rFonts w:hint="eastAsia" w:ascii="仿宋_GB2312" w:hAnsi="仿宋_GB2312" w:eastAsia="仿宋_GB2312" w:cs="仿宋_GB2312"/>
          <w:sz w:val="32"/>
          <w:szCs w:val="32"/>
        </w:rPr>
        <w:t>《行风热线》开设文明城市建设专栏</w:t>
      </w:r>
      <w:r>
        <w:rPr>
          <w:rFonts w:hint="eastAsia" w:ascii="仿宋_GB2312" w:hAnsi="仿宋_GB2312" w:eastAsia="仿宋_GB2312" w:cs="仿宋_GB2312"/>
          <w:sz w:val="32"/>
          <w:szCs w:val="32"/>
          <w:lang w:eastAsia="zh-CN"/>
        </w:rPr>
        <w:t>节目组</w:t>
      </w:r>
      <w:r>
        <w:rPr>
          <w:rFonts w:hint="eastAsia" w:ascii="仿宋_GB2312" w:eastAsia="仿宋_GB2312"/>
          <w:sz w:val="32"/>
          <w:szCs w:val="32"/>
          <w:lang w:eastAsia="zh-CN"/>
        </w:rPr>
        <w:t>全员发动，调动每名采编播的力量参与其中；勇于创新，发挥各节目组力量创新节目形式，贴近宣传主题；积极协调，加强与创城工作相关部门沟通联系，确保跟紧进度，及时发布，宣传准确到位。</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keepNext w:val="0"/>
        <w:keepLines w:val="0"/>
        <w:pageBreakBefore w:val="0"/>
        <w:widowControl w:val="0"/>
        <w:kinsoku/>
        <w:wordWrap/>
        <w:overflowPunct/>
        <w:topLinePunct w:val="0"/>
        <w:autoSpaceDE/>
        <w:autoSpaceDN/>
        <w:bidi w:val="0"/>
        <w:spacing w:line="360" w:lineRule="auto"/>
        <w:ind w:left="0" w:leftChars="0" w:right="0" w:firstLine="0" w:firstLineChars="0"/>
        <w:jc w:val="both"/>
        <w:textAlignment w:val="auto"/>
        <w:outlineLvl w:val="9"/>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textAlignment w:val="auto"/>
        <w:outlineLvl w:val="9"/>
        <w:rPr>
          <w:rFonts w:hint="eastAsia" w:ascii="仿宋_GB2312" w:eastAsia="仿宋_GB2312"/>
          <w:color w:val="auto"/>
          <w:sz w:val="32"/>
          <w:szCs w:val="32"/>
          <w:u w:val="none"/>
        </w:rPr>
      </w:pPr>
      <w:r>
        <w:rPr>
          <w:rFonts w:hint="eastAsia" w:ascii="仿宋_GB2312" w:eastAsia="仿宋_GB2312"/>
          <w:color w:val="auto"/>
          <w:sz w:val="32"/>
          <w:szCs w:val="32"/>
          <w:u w:val="none"/>
        </w:rPr>
        <w:t>我台对项目评价工作非常重视，成立了石家庄广播电视台《行风热线》开设文明城市创建相关专栏项目绩效自评工作组。工作组及时召开专门会议，组织有关技术人员进行了认真学习相关法律文件。并按照要求逐项搞好资料检查和现场调查，收集相关评价资料。</w:t>
      </w:r>
    </w:p>
    <w:p>
      <w:pPr>
        <w:keepNext w:val="0"/>
        <w:keepLines w:val="0"/>
        <w:pageBreakBefore w:val="0"/>
        <w:widowControl w:val="0"/>
        <w:numPr>
          <w:ilvl w:val="0"/>
          <w:numId w:val="1"/>
        </w:numPr>
        <w:kinsoku/>
        <w:wordWrap/>
        <w:overflowPunct/>
        <w:topLinePunct w:val="0"/>
        <w:autoSpaceDE/>
        <w:autoSpaceDN/>
        <w:bidi w:val="0"/>
        <w:spacing w:line="360" w:lineRule="auto"/>
        <w:ind w:left="642" w:leftChars="0" w:right="0" w:firstLine="0" w:firstLineChars="0"/>
        <w:jc w:val="both"/>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自评的方法和过程</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1、制定了项目绩效自评打分标准和项目绩效自评打分表。</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2、评价工作组采用对照方法，按财政要求从项目产出指标、预算执行率指标、效益指标、满意度指标四个方面，对照实际执行情况进行评价打分。</w:t>
      </w:r>
    </w:p>
    <w:p>
      <w:pPr>
        <w:keepNext w:val="0"/>
        <w:keepLines w:val="0"/>
        <w:pageBreakBefore w:val="0"/>
        <w:widowControl w:val="0"/>
        <w:numPr>
          <w:ilvl w:val="0"/>
          <w:numId w:val="0"/>
        </w:numPr>
        <w:kinsoku/>
        <w:wordWrap/>
        <w:overflowPunct/>
        <w:topLinePunct w:val="0"/>
        <w:autoSpaceDE/>
        <w:autoSpaceDN/>
        <w:bidi w:val="0"/>
        <w:spacing w:line="360" w:lineRule="auto"/>
        <w:ind w:left="642" w:leftChars="0" w:right="0" w:rightChars="0"/>
        <w:jc w:val="both"/>
        <w:textAlignment w:val="auto"/>
        <w:outlineLvl w:val="9"/>
        <w:rPr>
          <w:rFonts w:hint="eastAsia" w:ascii="楷体_GB2312" w:hAnsi="楷体_GB2312" w:eastAsia="楷体_GB2312" w:cs="楷体_GB2312"/>
          <w:b/>
          <w:bCs/>
          <w:sz w:val="32"/>
          <w:szCs w:val="32"/>
          <w:lang w:val="en-US" w:eastAsia="zh-CN"/>
        </w:rPr>
      </w:pPr>
      <w:r>
        <w:rPr>
          <w:rFonts w:hint="eastAsia" w:ascii="仿宋_GB2312" w:eastAsia="仿宋_GB2312"/>
          <w:sz w:val="32"/>
          <w:szCs w:val="32"/>
          <w:lang w:val="en-US" w:eastAsia="zh-CN"/>
        </w:rPr>
        <w:t>3、评价工作组根据绩效评价结果撰写绩效评价报告。</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jc w:val="both"/>
        <w:textAlignment w:val="auto"/>
        <w:outlineLvl w:val="9"/>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 xml:space="preserve">    （三）建立绩效评价指标体系</w:t>
      </w:r>
    </w:p>
    <w:p>
      <w:pPr>
        <w:keepNext w:val="0"/>
        <w:keepLines w:val="0"/>
        <w:pageBreakBefore w:val="0"/>
        <w:widowControl w:val="0"/>
        <w:kinsoku/>
        <w:wordWrap/>
        <w:overflowPunct/>
        <w:topLinePunct w:val="0"/>
        <w:autoSpaceDE/>
        <w:autoSpaceDN/>
        <w:bidi w:val="0"/>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制定了项目绩效自评打分</w:t>
      </w:r>
      <w:r>
        <w:rPr>
          <w:rFonts w:hint="eastAsia" w:ascii="仿宋" w:hAnsi="仿宋" w:eastAsia="仿宋" w:cs="仿宋"/>
          <w:sz w:val="32"/>
          <w:szCs w:val="32"/>
          <w:lang w:eastAsia="zh-CN"/>
        </w:rPr>
        <w:t>标</w:t>
      </w:r>
      <w:r>
        <w:rPr>
          <w:rFonts w:hint="eastAsia" w:ascii="仿宋" w:hAnsi="仿宋" w:eastAsia="仿宋" w:cs="仿宋"/>
          <w:sz w:val="32"/>
          <w:szCs w:val="32"/>
        </w:rPr>
        <w:t>准</w:t>
      </w:r>
      <w:r>
        <w:rPr>
          <w:rFonts w:hint="eastAsia" w:ascii="仿宋" w:hAnsi="仿宋" w:eastAsia="仿宋" w:cs="仿宋"/>
          <w:sz w:val="32"/>
          <w:szCs w:val="32"/>
          <w:lang w:eastAsia="zh-CN"/>
        </w:rPr>
        <w:t>并完成了</w:t>
      </w:r>
      <w:r>
        <w:rPr>
          <w:rFonts w:hint="eastAsia" w:ascii="仿宋" w:hAnsi="仿宋" w:eastAsia="仿宋" w:cs="仿宋"/>
          <w:sz w:val="32"/>
          <w:szCs w:val="32"/>
        </w:rPr>
        <w:t>项目绩效自评打分表</w:t>
      </w:r>
      <w:r>
        <w:rPr>
          <w:rFonts w:hint="eastAsia" w:ascii="仿宋" w:hAnsi="仿宋" w:eastAsia="仿宋" w:cs="仿宋"/>
          <w:sz w:val="32"/>
          <w:szCs w:val="32"/>
          <w:lang w:eastAsia="zh-CN"/>
        </w:rPr>
        <w:t>。</w:t>
      </w:r>
    </w:p>
    <w:tbl>
      <w:tblPr>
        <w:tblStyle w:val="4"/>
        <w:tblW w:w="90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80"/>
        <w:gridCol w:w="1080"/>
        <w:gridCol w:w="2655"/>
        <w:gridCol w:w="1080"/>
        <w:gridCol w:w="1080"/>
        <w:gridCol w:w="20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40" w:hRule="atLeast"/>
        </w:trPr>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7"/>
                <w:lang w:val="en-US" w:eastAsia="zh-CN" w:bidi="ar"/>
              </w:rPr>
              <w:t>指标</w:t>
            </w:r>
            <w:r>
              <w:rPr>
                <w:rStyle w:val="8"/>
                <w:rFonts w:eastAsia="宋体"/>
                <w:lang w:val="en-US" w:eastAsia="zh-CN" w:bidi="ar"/>
              </w:rPr>
              <w:t xml:space="preserve"> </w:t>
            </w:r>
            <w:r>
              <w:rPr>
                <w:rStyle w:val="9"/>
                <w:lang w:val="en-US" w:eastAsia="zh-CN" w:bidi="ar"/>
              </w:rPr>
              <w:t>１</w:t>
            </w:r>
            <w:r>
              <w:rPr>
                <w:rStyle w:val="7"/>
                <w:lang w:val="en-US" w:eastAsia="zh-CN" w:bidi="ar"/>
              </w:rPr>
              <w:t>(与绩效目标申报表一致）</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(与绩效目标申报表一致）</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（截止预算年度末的完成情况）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每周五上午九点至十点</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每周一期</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3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节目质量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每周一期策划访谈，要求有嘉宾、有调查</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84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稿件时效性</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根据市文明办相关宣传要求及时策划访谈选题</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0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包装成本、人力成本等支出。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控制到</w:t>
            </w:r>
            <w:r>
              <w:rPr>
                <w:rStyle w:val="10"/>
                <w:rFonts w:eastAsia="宋体"/>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按合同进度支付款项</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按合同</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 xml:space="preserve"> </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84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营造人人参与文明城市创建的氛围</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发现文明创建中的一些问题，并及时通过媒体解决</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 xml:space="preserve"> </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3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宣传效果</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形成文明城市创建的浓厚氛围</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2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群众满意度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697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w:t>
            </w:r>
            <w:bookmarkStart w:id="0" w:name="_GoBack"/>
            <w:bookmarkEnd w:id="0"/>
            <w:r>
              <w:rPr>
                <w:rFonts w:hint="default" w:ascii="Calibri" w:hAnsi="Calibri" w:eastAsia="宋体" w:cs="Calibri"/>
                <w:i w:val="0"/>
                <w:color w:val="000000"/>
                <w:kern w:val="0"/>
                <w:sz w:val="21"/>
                <w:szCs w:val="21"/>
                <w:u w:val="none"/>
                <w:lang w:val="en-US" w:eastAsia="zh-CN" w:bidi="ar"/>
              </w:rPr>
              <w:t>0</w:t>
            </w:r>
          </w:p>
        </w:tc>
      </w:tr>
    </w:tbl>
    <w:p>
      <w:pPr>
        <w:keepNext w:val="0"/>
        <w:keepLines w:val="0"/>
        <w:pageBreakBefore w:val="0"/>
        <w:widowControl w:val="0"/>
        <w:kinsoku/>
        <w:wordWrap/>
        <w:overflowPunct/>
        <w:topLinePunct w:val="0"/>
        <w:autoSpaceDE/>
        <w:autoSpaceDN/>
        <w:bidi w:val="0"/>
        <w:adjustRightInd/>
        <w:snapToGrid/>
        <w:spacing w:line="360" w:lineRule="auto"/>
        <w:ind w:left="0" w:leftChars="0" w:right="0"/>
        <w:textAlignment w:val="auto"/>
        <w:outlineLvl w:val="9"/>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预算执行情况</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执行年初预算安排情况，我部门按照合同进度要求目前已经支付了合同额的95%。实际完成值100%。自评得分10分。</w:t>
      </w:r>
    </w:p>
    <w:tbl>
      <w:tblPr>
        <w:tblStyle w:val="4"/>
        <w:tblW w:w="9345" w:type="dxa"/>
        <w:tblInd w:w="0" w:type="dxa"/>
        <w:shd w:val="clear" w:color="auto" w:fill="auto"/>
        <w:tblLayout w:type="fixed"/>
        <w:tblCellMar>
          <w:top w:w="0" w:type="dxa"/>
          <w:left w:w="0" w:type="dxa"/>
          <w:bottom w:w="0" w:type="dxa"/>
          <w:right w:w="0" w:type="dxa"/>
        </w:tblCellMar>
      </w:tblPr>
      <w:tblGrid>
        <w:gridCol w:w="979"/>
        <w:gridCol w:w="1496"/>
        <w:gridCol w:w="1898"/>
        <w:gridCol w:w="4972"/>
      </w:tblGrid>
      <w:tr>
        <w:tblPrEx>
          <w:shd w:val="clear" w:color="auto" w:fill="auto"/>
          <w:tblLayout w:type="fixed"/>
          <w:tblCellMar>
            <w:top w:w="0" w:type="dxa"/>
            <w:left w:w="0" w:type="dxa"/>
            <w:bottom w:w="0" w:type="dxa"/>
            <w:right w:w="0" w:type="dxa"/>
          </w:tblCellMar>
        </w:tblPrEx>
        <w:trPr>
          <w:trHeight w:val="342" w:hRule="atLeast"/>
        </w:trPr>
        <w:tc>
          <w:tcPr>
            <w:tcW w:w="9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1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49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绩效指标描述</w:t>
            </w:r>
          </w:p>
        </w:tc>
      </w:tr>
      <w:tr>
        <w:tblPrEx>
          <w:tblLayout w:type="fixed"/>
          <w:tblCellMar>
            <w:top w:w="0" w:type="dxa"/>
            <w:left w:w="0" w:type="dxa"/>
            <w:bottom w:w="0" w:type="dxa"/>
            <w:right w:w="0" w:type="dxa"/>
          </w:tblCellMar>
        </w:tblPrEx>
        <w:trPr>
          <w:trHeight w:val="420" w:hRule="atLeast"/>
        </w:trPr>
        <w:tc>
          <w:tcPr>
            <w:tcW w:w="97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p>
        </w:tc>
        <w:tc>
          <w:tcPr>
            <w:tcW w:w="14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1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稿件质量</w:t>
            </w:r>
          </w:p>
        </w:tc>
        <w:tc>
          <w:tcPr>
            <w:tcW w:w="49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cs="宋体"/>
                <w:i w:val="0"/>
                <w:color w:val="000000"/>
                <w:kern w:val="0"/>
                <w:sz w:val="20"/>
                <w:szCs w:val="20"/>
                <w:u w:val="none"/>
                <w:lang w:val="en-US" w:eastAsia="zh-CN" w:bidi="ar"/>
              </w:rPr>
              <w:t>按照文明办的要求把关</w:t>
            </w:r>
          </w:p>
        </w:tc>
      </w:tr>
      <w:tr>
        <w:tblPrEx>
          <w:tblLayout w:type="fixed"/>
          <w:tblCellMar>
            <w:top w:w="0" w:type="dxa"/>
            <w:left w:w="0" w:type="dxa"/>
            <w:bottom w:w="0" w:type="dxa"/>
            <w:right w:w="0" w:type="dxa"/>
          </w:tblCellMar>
        </w:tblPrEx>
        <w:trPr>
          <w:trHeight w:val="462" w:hRule="atLeast"/>
        </w:trPr>
        <w:tc>
          <w:tcPr>
            <w:tcW w:w="97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1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稿件时效性</w:t>
            </w:r>
          </w:p>
        </w:tc>
        <w:tc>
          <w:tcPr>
            <w:tcW w:w="49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按照</w:t>
            </w:r>
            <w:r>
              <w:rPr>
                <w:rFonts w:hint="eastAsia" w:ascii="宋体" w:hAnsi="宋体" w:cs="宋体"/>
                <w:i w:val="0"/>
                <w:color w:val="000000"/>
                <w:kern w:val="0"/>
                <w:sz w:val="20"/>
                <w:szCs w:val="20"/>
                <w:u w:val="none"/>
                <w:lang w:val="en-US" w:eastAsia="zh-CN" w:bidi="ar"/>
              </w:rPr>
              <w:t>宣传</w:t>
            </w:r>
            <w:r>
              <w:rPr>
                <w:rFonts w:hint="eastAsia" w:ascii="宋体" w:hAnsi="宋体" w:eastAsia="宋体" w:cs="宋体"/>
                <w:i w:val="0"/>
                <w:color w:val="000000"/>
                <w:kern w:val="0"/>
                <w:sz w:val="20"/>
                <w:szCs w:val="20"/>
                <w:u w:val="none"/>
                <w:lang w:val="en-US" w:eastAsia="zh-CN" w:bidi="ar"/>
              </w:rPr>
              <w:t>选题，及时将</w:t>
            </w:r>
            <w:r>
              <w:rPr>
                <w:rFonts w:hint="eastAsia" w:ascii="宋体" w:hAnsi="宋体" w:cs="宋体"/>
                <w:i w:val="0"/>
                <w:color w:val="000000"/>
                <w:kern w:val="0"/>
                <w:sz w:val="20"/>
                <w:szCs w:val="20"/>
                <w:u w:val="none"/>
                <w:lang w:val="en-US" w:eastAsia="zh-CN" w:bidi="ar"/>
              </w:rPr>
              <w:t>每期选题</w:t>
            </w:r>
            <w:r>
              <w:rPr>
                <w:rFonts w:hint="eastAsia" w:ascii="宋体" w:hAnsi="宋体" w:eastAsia="宋体" w:cs="宋体"/>
                <w:i w:val="0"/>
                <w:color w:val="000000"/>
                <w:kern w:val="0"/>
                <w:sz w:val="20"/>
                <w:szCs w:val="20"/>
                <w:u w:val="none"/>
                <w:lang w:val="en-US" w:eastAsia="zh-CN" w:bidi="ar"/>
              </w:rPr>
              <w:t>设计制作完成</w:t>
            </w:r>
          </w:p>
        </w:tc>
      </w:tr>
      <w:tr>
        <w:tblPrEx>
          <w:tblLayout w:type="fixed"/>
          <w:tblCellMar>
            <w:top w:w="0" w:type="dxa"/>
            <w:left w:w="0" w:type="dxa"/>
            <w:bottom w:w="0" w:type="dxa"/>
            <w:right w:w="0" w:type="dxa"/>
          </w:tblCellMar>
        </w:tblPrEx>
        <w:trPr>
          <w:trHeight w:val="270" w:hRule="atLeast"/>
        </w:trPr>
        <w:tc>
          <w:tcPr>
            <w:tcW w:w="97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效果指标</w:t>
            </w:r>
          </w:p>
        </w:tc>
        <w:tc>
          <w:tcPr>
            <w:tcW w:w="14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1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宣传效果</w:t>
            </w:r>
          </w:p>
        </w:tc>
        <w:tc>
          <w:tcPr>
            <w:tcW w:w="49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sz w:val="20"/>
                <w:szCs w:val="20"/>
                <w:u w:val="none"/>
              </w:rPr>
              <w:t>发现文明创建中的一些问题，并及时通过媒体解决</w:t>
            </w:r>
          </w:p>
        </w:tc>
      </w:tr>
      <w:tr>
        <w:tblPrEx>
          <w:tblLayout w:type="fixed"/>
          <w:tblCellMar>
            <w:top w:w="0" w:type="dxa"/>
            <w:left w:w="0" w:type="dxa"/>
            <w:bottom w:w="0" w:type="dxa"/>
            <w:right w:w="0" w:type="dxa"/>
          </w:tblCellMar>
        </w:tblPrEx>
        <w:trPr>
          <w:trHeight w:val="420" w:hRule="atLeast"/>
        </w:trPr>
        <w:tc>
          <w:tcPr>
            <w:tcW w:w="97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经济效益指标</w:t>
            </w:r>
          </w:p>
        </w:tc>
        <w:tc>
          <w:tcPr>
            <w:tcW w:w="1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项目资金到位及时性</w:t>
            </w:r>
          </w:p>
        </w:tc>
        <w:tc>
          <w:tcPr>
            <w:tcW w:w="49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项目资金到位是否及时</w:t>
            </w:r>
          </w:p>
        </w:tc>
      </w:tr>
      <w:tr>
        <w:tblPrEx>
          <w:tblLayout w:type="fixed"/>
          <w:tblCellMar>
            <w:top w:w="0" w:type="dxa"/>
            <w:left w:w="0" w:type="dxa"/>
            <w:bottom w:w="0" w:type="dxa"/>
            <w:right w:w="0" w:type="dxa"/>
          </w:tblCellMar>
        </w:tblPrEx>
        <w:trPr>
          <w:trHeight w:val="480" w:hRule="atLeast"/>
        </w:trPr>
        <w:tc>
          <w:tcPr>
            <w:tcW w:w="9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14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服务对象满意度指标 </w:t>
            </w:r>
          </w:p>
        </w:tc>
        <w:tc>
          <w:tcPr>
            <w:tcW w:w="1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群众满意度</w:t>
            </w:r>
          </w:p>
        </w:tc>
        <w:tc>
          <w:tcPr>
            <w:tcW w:w="49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优秀</w:t>
            </w:r>
          </w:p>
        </w:tc>
      </w:tr>
    </w:tbl>
    <w:p>
      <w:pPr>
        <w:widowControl w:val="0"/>
        <w:numPr>
          <w:ilvl w:val="0"/>
          <w:numId w:val="0"/>
        </w:numPr>
        <w:wordWrap/>
        <w:spacing w:line="360" w:lineRule="auto"/>
        <w:ind w:right="0"/>
        <w:textAlignment w:val="auto"/>
        <w:outlineLvl w:val="9"/>
        <w:rPr>
          <w:rFonts w:hint="eastAsia" w:ascii="仿宋_GB2312" w:eastAsia="仿宋_GB2312"/>
          <w:b w:val="0"/>
          <w:bCs w:val="0"/>
          <w:color w:val="auto"/>
          <w:sz w:val="32"/>
          <w:szCs w:val="32"/>
          <w:u w:val="none"/>
          <w:lang w:val="en-US" w:eastAsia="zh-CN"/>
        </w:rPr>
      </w:pP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firstLineChars="200"/>
        <w:textAlignment w:val="auto"/>
        <w:outlineLvl w:val="9"/>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项目具有明确的目标，项目实施过程中能够严格按照省市有关项目管理和资金管理规定执行，资金到位及时，使用得当。</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该项目工程从前期调研、立项、论证、招标等工作，到项目实施、验收等工作，资料完整、齐全，该项目总得分100分，综合绩效评价等级为优秀。</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3" w:firstLineChars="200"/>
        <w:textAlignment w:val="auto"/>
        <w:outlineLvl w:val="9"/>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（一）项目存在的主要问题</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资金投入少，新媒体端的宣传需要进一步加强。</w:t>
      </w:r>
    </w:p>
    <w:p>
      <w:pPr>
        <w:keepNext w:val="0"/>
        <w:keepLines w:val="0"/>
        <w:pageBreakBefore w:val="0"/>
        <w:widowControl w:val="0"/>
        <w:numPr>
          <w:ilvl w:val="0"/>
          <w:numId w:val="2"/>
        </w:numPr>
        <w:kinsoku/>
        <w:wordWrap/>
        <w:overflowPunct/>
        <w:topLinePunct w:val="0"/>
        <w:autoSpaceDE/>
        <w:autoSpaceDN/>
        <w:bidi w:val="0"/>
        <w:spacing w:line="360" w:lineRule="auto"/>
        <w:ind w:left="0" w:leftChars="0" w:right="0" w:firstLine="643" w:firstLineChars="200"/>
        <w:textAlignment w:val="auto"/>
        <w:outlineLvl w:val="9"/>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spacing w:line="360" w:lineRule="auto"/>
        <w:ind w:right="0" w:rightChars="0" w:firstLine="640" w:firstLineChars="200"/>
        <w:textAlignment w:val="auto"/>
        <w:outlineLvl w:val="9"/>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更加合理地支配使用经费，争取使有限的经费得到最大程度的利用，建议增加投入。</w:t>
      </w:r>
    </w:p>
    <w:p>
      <w:pPr>
        <w:keepNext w:val="0"/>
        <w:keepLines w:val="0"/>
        <w:pageBreakBefore w:val="0"/>
        <w:widowControl w:val="0"/>
        <w:numPr>
          <w:ilvl w:val="0"/>
          <w:numId w:val="3"/>
        </w:numPr>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200" w:right="0" w:rightChars="0"/>
        <w:textAlignment w:val="auto"/>
        <w:outlineLvl w:val="9"/>
        <w:rPr>
          <w:rFonts w:hint="eastAsia" w:ascii="仿宋_GB2312" w:eastAsia="仿宋_GB2312"/>
          <w:sz w:val="32"/>
          <w:szCs w:val="32"/>
        </w:rPr>
      </w:pPr>
    </w:p>
    <w:tbl>
      <w:tblPr>
        <w:tblStyle w:val="5"/>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姓名</w:t>
            </w:r>
          </w:p>
        </w:tc>
        <w:tc>
          <w:tcPr>
            <w:tcW w:w="202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工作单位</w:t>
            </w:r>
          </w:p>
        </w:tc>
        <w:tc>
          <w:tcPr>
            <w:tcW w:w="2243"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职务</w:t>
            </w:r>
          </w:p>
        </w:tc>
        <w:tc>
          <w:tcPr>
            <w:tcW w:w="197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职称</w:t>
            </w:r>
          </w:p>
        </w:tc>
        <w:tc>
          <w:tcPr>
            <w:tcW w:w="151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5" w:hRule="atLeast"/>
        </w:trPr>
        <w:tc>
          <w:tcPr>
            <w:tcW w:w="1309" w:type="dxa"/>
          </w:tcPr>
          <w:p>
            <w:pPr>
              <w:widowControl w:val="0"/>
              <w:wordWrap/>
              <w:spacing w:line="360" w:lineRule="auto"/>
              <w:ind w:right="0"/>
              <w:jc w:val="center"/>
              <w:textAlignment w:val="auto"/>
              <w:outlineLvl w:val="9"/>
              <w:rPr>
                <w:rFonts w:hint="eastAsia" w:eastAsia="宋体"/>
                <w:color w:val="auto"/>
                <w:vertAlign w:val="baseline"/>
                <w:lang w:val="en-US" w:eastAsia="zh-CN"/>
              </w:rPr>
            </w:pPr>
            <w:r>
              <w:rPr>
                <w:rFonts w:hint="eastAsia"/>
                <w:color w:val="auto"/>
                <w:vertAlign w:val="baseline"/>
                <w:lang w:val="en-US" w:eastAsia="zh-CN"/>
              </w:rPr>
              <w:t>商业南</w:t>
            </w:r>
          </w:p>
        </w:tc>
        <w:tc>
          <w:tcPr>
            <w:tcW w:w="202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val="en-US" w:eastAsia="zh-CN"/>
              </w:rPr>
              <w:t>总编辑、</w:t>
            </w:r>
            <w:r>
              <w:rPr>
                <w:rFonts w:hint="eastAsia"/>
                <w:color w:val="auto"/>
                <w:vertAlign w:val="baseline"/>
                <w:lang w:eastAsia="zh-CN"/>
              </w:rPr>
              <w:t>副台长</w:t>
            </w:r>
          </w:p>
        </w:tc>
        <w:tc>
          <w:tcPr>
            <w:tcW w:w="1971" w:type="dxa"/>
          </w:tcPr>
          <w:p>
            <w:pPr>
              <w:widowControl w:val="0"/>
              <w:wordWrap/>
              <w:spacing w:line="360" w:lineRule="auto"/>
              <w:ind w:right="0"/>
              <w:textAlignment w:val="auto"/>
              <w:outlineLvl w:val="9"/>
              <w:rPr>
                <w:rFonts w:hint="default" w:eastAsia="宋体"/>
                <w:color w:val="auto"/>
                <w:vertAlign w:val="baseline"/>
                <w:lang w:val="en-US" w:eastAsia="zh-CN"/>
              </w:rPr>
            </w:pPr>
            <w:r>
              <w:rPr>
                <w:rFonts w:hint="eastAsia"/>
                <w:color w:val="auto"/>
                <w:vertAlign w:val="baseline"/>
                <w:lang w:val="en-US" w:eastAsia="zh-CN"/>
              </w:rPr>
              <w:t>高级编辑</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rPr>
              <w:t>申</w:t>
            </w:r>
            <w:r>
              <w:rPr>
                <w:rFonts w:hint="eastAsia"/>
                <w:color w:val="auto"/>
                <w:lang w:val="en-US" w:eastAsia="zh-CN"/>
              </w:rPr>
              <w:t xml:space="preserve">  </w:t>
            </w:r>
            <w:r>
              <w:rPr>
                <w:rFonts w:hint="eastAsia"/>
                <w:color w:val="auto"/>
              </w:rPr>
              <w:t>媛</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财务部主任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陶丽宏</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财务部副主任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vertAlign w:val="baseline"/>
                <w:lang w:val="en-US" w:eastAsia="zh-CN"/>
              </w:rPr>
              <w:t>高伟</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val="en-US" w:eastAsia="zh-CN"/>
              </w:rPr>
              <w:t>新闻广播副总监</w:t>
            </w:r>
          </w:p>
        </w:tc>
        <w:tc>
          <w:tcPr>
            <w:tcW w:w="1971" w:type="dxa"/>
          </w:tcPr>
          <w:p>
            <w:pPr>
              <w:widowControl w:val="0"/>
              <w:wordWrap/>
              <w:spacing w:line="360" w:lineRule="auto"/>
              <w:ind w:right="0"/>
              <w:textAlignment w:val="auto"/>
              <w:outlineLvl w:val="9"/>
              <w:rPr>
                <w:rFonts w:hint="default" w:eastAsia="宋体"/>
                <w:color w:val="auto"/>
                <w:vertAlign w:val="baseline"/>
                <w:lang w:val="en-US" w:eastAsia="zh-CN"/>
              </w:rPr>
            </w:pPr>
            <w:r>
              <w:rPr>
                <w:rFonts w:hint="eastAsia"/>
                <w:color w:val="auto"/>
                <w:vertAlign w:val="baseline"/>
                <w:lang w:val="en-US" w:eastAsia="zh-CN"/>
              </w:rPr>
              <w:t>记者</w:t>
            </w:r>
          </w:p>
        </w:tc>
        <w:tc>
          <w:tcPr>
            <w:tcW w:w="1511" w:type="dxa"/>
          </w:tcPr>
          <w:p>
            <w:pPr>
              <w:widowControl w:val="0"/>
              <w:wordWrap/>
              <w:spacing w:line="360" w:lineRule="auto"/>
              <w:ind w:right="0"/>
              <w:textAlignment w:val="auto"/>
              <w:outlineLvl w:val="9"/>
              <w:rPr>
                <w:color w:val="auto"/>
                <w:vertAlign w:val="baseline"/>
              </w:rPr>
            </w:pPr>
          </w:p>
        </w:tc>
      </w:tr>
    </w:tbl>
    <w:p>
      <w:pPr>
        <w:widowControl w:val="0"/>
        <w:numPr>
          <w:ilvl w:val="0"/>
          <w:numId w:val="0"/>
        </w:numPr>
        <w:wordWrap/>
        <w:adjustRightInd w:val="0"/>
        <w:snapToGrid w:val="0"/>
        <w:spacing w:line="360" w:lineRule="auto"/>
        <w:ind w:leftChars="200" w:right="0" w:rightChars="0"/>
        <w:textAlignment w:val="auto"/>
        <w:outlineLvl w:val="9"/>
        <w:rPr>
          <w:rFonts w:hint="eastAsia" w:ascii="仿宋_GB2312" w:eastAsia="仿宋_GB2312"/>
          <w:sz w:val="32"/>
          <w:szCs w:val="32"/>
        </w:rPr>
      </w:pPr>
    </w:p>
    <w:p>
      <w:pPr>
        <w:widowControl w:val="0"/>
        <w:wordWrap/>
        <w:spacing w:line="360" w:lineRule="auto"/>
        <w:ind w:left="0" w:leftChars="0" w:right="0"/>
        <w:textAlignment w:val="auto"/>
        <w:outlineLvl w:val="9"/>
      </w:pPr>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Arial Unicode MS">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1961EA8"/>
    <w:multiLevelType w:val="singleLevel"/>
    <w:tmpl w:val="D1961EA8"/>
    <w:lvl w:ilvl="0" w:tentative="0">
      <w:start w:val="2"/>
      <w:numFmt w:val="chineseCounting"/>
      <w:suff w:val="nothing"/>
      <w:lvlText w:val="（%1）"/>
      <w:lvlJc w:val="left"/>
      <w:pPr>
        <w:ind w:left="642" w:leftChars="0" w:firstLine="0" w:firstLineChars="0"/>
      </w:pPr>
      <w:rPr>
        <w:rFonts w:hint="eastAsia"/>
      </w:rPr>
    </w:lvl>
  </w:abstractNum>
  <w:abstractNum w:abstractNumId="1">
    <w:nsid w:val="E2BFA9F4"/>
    <w:multiLevelType w:val="singleLevel"/>
    <w:tmpl w:val="E2BFA9F4"/>
    <w:lvl w:ilvl="0" w:tentative="0">
      <w:start w:val="6"/>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2B43A28"/>
    <w:rsid w:val="0EB97A43"/>
    <w:rsid w:val="0EBD2122"/>
    <w:rsid w:val="11B71E6A"/>
    <w:rsid w:val="18872F0D"/>
    <w:rsid w:val="1AAF0063"/>
    <w:rsid w:val="1BE140DE"/>
    <w:rsid w:val="1F2E5BF2"/>
    <w:rsid w:val="215C6F2A"/>
    <w:rsid w:val="248C197D"/>
    <w:rsid w:val="252959AF"/>
    <w:rsid w:val="277A6671"/>
    <w:rsid w:val="2BFE2B58"/>
    <w:rsid w:val="2E391B4D"/>
    <w:rsid w:val="33EB6CFF"/>
    <w:rsid w:val="3B625C0A"/>
    <w:rsid w:val="3CEE1963"/>
    <w:rsid w:val="45A60781"/>
    <w:rsid w:val="4BCE7CAA"/>
    <w:rsid w:val="512260B4"/>
    <w:rsid w:val="5BF70767"/>
    <w:rsid w:val="5EE1449E"/>
    <w:rsid w:val="63D57F97"/>
    <w:rsid w:val="65B411D1"/>
    <w:rsid w:val="65E27090"/>
    <w:rsid w:val="66AF0CE5"/>
    <w:rsid w:val="6E5B14A6"/>
    <w:rsid w:val="7141798A"/>
    <w:rsid w:val="74640930"/>
    <w:rsid w:val="761A4352"/>
    <w:rsid w:val="76D93680"/>
    <w:rsid w:val="7BB51E06"/>
    <w:rsid w:val="7C387F7C"/>
    <w:rsid w:val="7C7D3F8A"/>
    <w:rsid w:val="7F7F527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7">
    <w:name w:val="font51"/>
    <w:basedOn w:val="6"/>
    <w:qFormat/>
    <w:uiPriority w:val="0"/>
    <w:rPr>
      <w:rFonts w:hint="eastAsia" w:ascii="宋体" w:hAnsi="宋体" w:eastAsia="宋体" w:cs="宋体"/>
      <w:color w:val="000000"/>
      <w:sz w:val="16"/>
      <w:szCs w:val="16"/>
      <w:u w:val="none"/>
    </w:rPr>
  </w:style>
  <w:style w:type="character" w:customStyle="1" w:styleId="8">
    <w:name w:val="font21"/>
    <w:basedOn w:val="6"/>
    <w:qFormat/>
    <w:uiPriority w:val="0"/>
    <w:rPr>
      <w:rFonts w:ascii="Calibri" w:hAnsi="Calibri" w:cs="Calibri"/>
      <w:color w:val="000000"/>
      <w:sz w:val="16"/>
      <w:szCs w:val="16"/>
      <w:u w:val="none"/>
    </w:rPr>
  </w:style>
  <w:style w:type="character" w:customStyle="1" w:styleId="9">
    <w:name w:val="font31"/>
    <w:basedOn w:val="6"/>
    <w:qFormat/>
    <w:uiPriority w:val="0"/>
    <w:rPr>
      <w:rFonts w:ascii="Arial Unicode MS" w:hAnsi="Arial Unicode MS" w:eastAsia="Arial Unicode MS" w:cs="Arial Unicode MS"/>
      <w:color w:val="000000"/>
      <w:sz w:val="16"/>
      <w:szCs w:val="16"/>
      <w:u w:val="none"/>
    </w:rPr>
  </w:style>
  <w:style w:type="character" w:customStyle="1" w:styleId="10">
    <w:name w:val="font71"/>
    <w:basedOn w:val="6"/>
    <w:qFormat/>
    <w:uiPriority w:val="0"/>
    <w:rPr>
      <w:rFonts w:hint="default" w:ascii="Calibri" w:hAnsi="Calibri" w:cs="Calibri"/>
      <w:color w:val="000000"/>
      <w:sz w:val="21"/>
      <w:szCs w:val="21"/>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25</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2020-02-12T05:54:00Z</cp:lastPrinted>
  <dcterms:modified xsi:type="dcterms:W3CDTF">2021-06-09T08:01:17Z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