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hint="eastAsia" w:ascii="仿宋_GB2312" w:eastAsia="仿宋_GB2312"/>
          <w:sz w:val="32"/>
          <w:szCs w:val="32"/>
          <w:lang w:val="en-US" w:eastAsia="zh-CN"/>
        </w:rPr>
      </w:pPr>
      <w:bookmarkStart w:id="0" w:name="_GoBack"/>
      <w:bookmarkEnd w:id="0"/>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《燕赵社区大讲堂》</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燕赵社区大讲堂项目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3" w:firstLineChars="200"/>
        <w:textAlignment w:val="auto"/>
        <w:outlineLvl w:val="2"/>
        <w:rPr>
          <w:rFonts w:hint="eastAsia" w:ascii="仿宋_GB2312" w:eastAsia="仿宋_GB2312"/>
          <w:b/>
          <w:bCs/>
          <w:sz w:val="32"/>
          <w:szCs w:val="32"/>
          <w:u w:val="none"/>
          <w:lang w:eastAsia="zh-CN"/>
        </w:rPr>
      </w:pPr>
      <w:r>
        <w:rPr>
          <w:rFonts w:hint="eastAsia" w:ascii="仿宋_GB2312" w:eastAsia="仿宋_GB2312"/>
          <w:b/>
          <w:bCs/>
          <w:sz w:val="32"/>
          <w:szCs w:val="32"/>
          <w:u w:val="none"/>
        </w:rPr>
        <w:t>1、</w:t>
      </w:r>
      <w:r>
        <w:rPr>
          <w:rFonts w:hint="eastAsia" w:ascii="仿宋_GB2312" w:eastAsia="仿宋_GB2312"/>
          <w:b/>
          <w:bCs/>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1141人，在编正式员工350人，岗位聘用员工791人。</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始终坚持新闻立台、政治家办台理念，围绕中心，服务大局，舆论引导正确有力；开展各类媒体活动，不断扩大广电影响力；稳固广播广告收入,改革激发了电视广告创收潜力；积极探索产业项目，推进广电转型发展；媒体融合经验受到省市领导表扬，在全省予以推广。</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石家庄广播电视台新媒体中心负责我台广电网、两微一端及其它台属新媒体平台运营工作，此外，还承担着我市全媒体运营指挥中心职能。</w:t>
      </w:r>
    </w:p>
    <w:p>
      <w:pPr>
        <w:widowControl w:val="0"/>
        <w:numPr>
          <w:ilvl w:val="0"/>
          <w:numId w:val="1"/>
        </w:numPr>
        <w:wordWrap/>
        <w:adjustRightInd w:val="0"/>
        <w:snapToGrid w:val="0"/>
        <w:spacing w:line="360" w:lineRule="auto"/>
        <w:ind w:left="0" w:leftChars="0" w:right="0" w:firstLine="643" w:firstLineChars="20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项目主要实施内容和范围</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燕赵社区大讲堂”是由市委宣传部主办、各区委宣传部承办，面向全市社区居民的一项公益文化活动。讲堂宗旨是大力弘扬社会主义核心价值观，实施文化惠民工程。通过举办社区讲座，大力传播优秀文化，丰富居民文化生活，增强市民文化素质，提高城市文化品位。讲座的布局和规模是“百千万”，即在全市100个社区举办1000场讲座，让上万居民受益。</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讲堂坚持贴近实际、贴近生活、贴近群众。内容包括政治经济文化社会等各个方面，涵盖习近平总书记系列重要讲话精神，党和国家大政方针，形势政策等主导课程，以及健康养生、教育心理、文史文艺、烹饪美食、信息技术、花鸟鱼虫、服饰礼仪、投资收藏等百科知识，满足不同人群的文化需要。该项目由我部门负责配备专业采编、摄像、技术人员，完成节目前期策划、摄像、编辑制作、上传等各项工作。</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color w:val="auto"/>
          <w:sz w:val="32"/>
          <w:szCs w:val="32"/>
          <w:u w:val="none"/>
          <w:lang w:val="en-US" w:eastAsia="zh-CN"/>
        </w:rPr>
        <w:t>项目资金共拨付5万元，用于</w:t>
      </w:r>
      <w:r>
        <w:rPr>
          <w:rFonts w:hint="eastAsia" w:ascii="仿宋_GB2312" w:eastAsia="仿宋_GB2312"/>
          <w:sz w:val="32"/>
          <w:szCs w:val="32"/>
          <w:lang w:val="en-US" w:eastAsia="zh-CN"/>
        </w:rPr>
        <w:t>完成节目前期策划、摄像、编辑制作、上传等各项工作，</w:t>
      </w:r>
      <w:r>
        <w:rPr>
          <w:rFonts w:hint="eastAsia" w:ascii="仿宋_GB2312" w:eastAsia="仿宋_GB2312"/>
          <w:color w:val="auto"/>
          <w:sz w:val="32"/>
          <w:szCs w:val="32"/>
          <w:u w:val="none"/>
          <w:lang w:val="en-US" w:eastAsia="zh-CN"/>
        </w:rPr>
        <w:t>资金来源为全额财政拨款。</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充分利用石家庄广播电视台专业采编播队伍，提高节目质量，吸引受众点击，成为市委、市政府重要新媒体阵地，宣传时代精神，弘扬社会主义核心价值观，尊重新闻传播规律，提高主流媒体影响力，切实提高党的新闻舆论传播力、引导力、影响力、公信力，形成风清气正的社会舆论环境，促进网络强市建设。</w:t>
      </w:r>
      <w:r>
        <w:rPr>
          <w:rFonts w:hint="eastAsia" w:ascii="仿宋_GB2312" w:eastAsia="仿宋_GB2312"/>
          <w:sz w:val="32"/>
          <w:szCs w:val="32"/>
          <w:lang w:val="en-US" w:eastAsia="zh-CN"/>
        </w:rPr>
        <w:t>满足不同人群的文化需要。</w:t>
      </w:r>
    </w:p>
    <w:p>
      <w:pPr>
        <w:widowControl w:val="0"/>
        <w:wordWrap/>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lang w:val="en-US" w:eastAsia="zh-CN"/>
        </w:rPr>
        <w:t xml:space="preserve"> </w:t>
      </w: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燕赵社区大讲堂</w:t>
      </w:r>
      <w:r>
        <w:rPr>
          <w:rFonts w:hint="eastAsia" w:ascii="仿宋_GB2312" w:eastAsia="仿宋_GB2312"/>
          <w:sz w:val="32"/>
          <w:szCs w:val="32"/>
          <w:u w:val="none"/>
        </w:rPr>
        <w:t>项目绩效自评工作组</w:t>
      </w:r>
      <w:r>
        <w:rPr>
          <w:rFonts w:hint="eastAsia" w:ascii="仿宋_GB2312" w:eastAsia="仿宋_GB2312"/>
          <w:sz w:val="32"/>
          <w:szCs w:val="32"/>
          <w:u w:val="none"/>
          <w:lang w:eastAsia="zh-CN"/>
        </w:rPr>
        <w:t>，</w:t>
      </w:r>
      <w:r>
        <w:rPr>
          <w:rFonts w:hint="eastAsia" w:ascii="仿宋_GB2312" w:eastAsia="仿宋_GB2312"/>
          <w:sz w:val="32"/>
          <w:szCs w:val="32"/>
          <w:u w:val="none"/>
        </w:rPr>
        <w:t>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w:t>
      </w:r>
      <w:r>
        <w:rPr>
          <w:rFonts w:hint="eastAsia" w:ascii="仿宋_GB2312" w:eastAsia="仿宋_GB2312"/>
          <w:sz w:val="32"/>
          <w:szCs w:val="32"/>
          <w:u w:val="none"/>
          <w:lang w:eastAsia="zh-CN"/>
        </w:rPr>
        <w:t>新媒体</w:t>
      </w:r>
      <w:r>
        <w:rPr>
          <w:rFonts w:hint="eastAsia" w:ascii="仿宋_GB2312" w:eastAsia="仿宋_GB2312"/>
          <w:sz w:val="32"/>
          <w:szCs w:val="32"/>
          <w:u w:val="none"/>
        </w:rPr>
        <w:t>中心</w:t>
      </w:r>
      <w:r>
        <w:rPr>
          <w:rFonts w:hint="eastAsia" w:ascii="仿宋_GB2312" w:eastAsia="仿宋_GB2312"/>
          <w:sz w:val="32"/>
          <w:szCs w:val="32"/>
          <w:u w:val="none"/>
          <w:lang w:eastAsia="zh-CN"/>
        </w:rPr>
        <w:t>负责人李海宁</w:t>
      </w:r>
      <w:r>
        <w:rPr>
          <w:rFonts w:hint="eastAsia" w:ascii="仿宋_GB2312" w:eastAsia="仿宋_GB2312"/>
          <w:sz w:val="32"/>
          <w:szCs w:val="32"/>
          <w:u w:val="none"/>
        </w:rPr>
        <w:t>、</w:t>
      </w:r>
      <w:r>
        <w:rPr>
          <w:rFonts w:hint="eastAsia" w:ascii="仿宋_GB2312" w:eastAsia="仿宋_GB2312"/>
          <w:sz w:val="32"/>
          <w:szCs w:val="32"/>
          <w:u w:val="none"/>
          <w:lang w:eastAsia="zh-CN"/>
        </w:rPr>
        <w:t>新媒体中心副主任赵兵、聂刚</w:t>
      </w:r>
      <w:r>
        <w:rPr>
          <w:rFonts w:hint="eastAsia" w:ascii="仿宋_GB2312" w:eastAsia="仿宋_GB2312"/>
          <w:sz w:val="32"/>
          <w:szCs w:val="32"/>
          <w:u w:val="none"/>
        </w:rPr>
        <w:t>。</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rPr>
      </w:pPr>
      <w:r>
        <w:rPr>
          <w:rFonts w:hint="eastAsia" w:ascii="仿宋_GB2312" w:eastAsia="仿宋_GB2312"/>
          <w:color w:val="auto"/>
          <w:sz w:val="32"/>
          <w:szCs w:val="32"/>
          <w:u w:val="none"/>
        </w:rPr>
        <w:t>工作组及时召开专门会议，并按照要求逐项搞好资料检查和现场调查，收集相关评价资料。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9"/>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燕赵社区大讲堂项目绩效评价指标体系</w:t>
      </w:r>
    </w:p>
    <w:tbl>
      <w:tblPr>
        <w:tblStyle w:val="5"/>
        <w:tblW w:w="932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30"/>
        <w:gridCol w:w="958"/>
        <w:gridCol w:w="2563"/>
        <w:gridCol w:w="2942"/>
        <w:gridCol w:w="958"/>
        <w:gridCol w:w="8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00" w:hRule="atLeast"/>
        </w:trPr>
        <w:tc>
          <w:tcPr>
            <w:tcW w:w="103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质量指标（20分）</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节目质量</w:t>
            </w:r>
          </w:p>
        </w:tc>
        <w:tc>
          <w:tcPr>
            <w:tcW w:w="2942"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大力传播优秀文化，丰富居民文化生活，增强市民文化素质，提高城市文化品位</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80" w:hRule="atLeast"/>
        </w:trPr>
        <w:tc>
          <w:tcPr>
            <w:tcW w:w="103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时效指标（20分）</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稿件时效性（20分）</w:t>
            </w:r>
          </w:p>
        </w:tc>
        <w:tc>
          <w:tcPr>
            <w:tcW w:w="2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及时宣讲党和政府权威声音，及时宣讲健康养生、教育心理、文史文艺、烹饪美食、信息技术、花鸟鱼虫、服饰礼仪、投资收藏等百科知识，满足不同人群的文化需要。</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9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按合同进度支付款项</w:t>
            </w:r>
          </w:p>
        </w:tc>
        <w:tc>
          <w:tcPr>
            <w:tcW w:w="2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支付合同额的</w:t>
            </w:r>
            <w:r>
              <w:rPr>
                <w:rStyle w:val="34"/>
                <w:rFonts w:eastAsia="宋体"/>
                <w:lang w:val="en-US" w:eastAsia="zh-CN" w:bidi="ar"/>
              </w:rPr>
              <w:t>100%</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620" w:hRule="atLeast"/>
        </w:trPr>
        <w:tc>
          <w:tcPr>
            <w:tcW w:w="103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社会效益指标（20分）</w:t>
            </w:r>
          </w:p>
        </w:tc>
        <w:tc>
          <w:tcPr>
            <w:tcW w:w="256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提升市民文化素养、文化品位</w:t>
            </w:r>
          </w:p>
        </w:tc>
        <w:tc>
          <w:tcPr>
            <w:tcW w:w="2942"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讲堂宗旨是大力弘扬社会主义核心价值观，实施文化惠民工程。通过举办社区讲座，大力传播优秀文化，丰富居民文化生活，增强市民文化素质，提高城市文化品位。</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80" w:hRule="atLeast"/>
        </w:trPr>
        <w:tc>
          <w:tcPr>
            <w:tcW w:w="103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58"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生态效益指标（10分）</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讲座的布局和规模是</w:t>
            </w:r>
            <w:r>
              <w:rPr>
                <w:rStyle w:val="35"/>
                <w:lang w:val="en-US" w:eastAsia="zh-CN" w:bidi="ar"/>
              </w:rPr>
              <w:t>“</w:t>
            </w:r>
            <w:r>
              <w:rPr>
                <w:rFonts w:hint="eastAsia" w:ascii="宋体" w:hAnsi="宋体" w:eastAsia="宋体" w:cs="宋体"/>
                <w:i w:val="0"/>
                <w:color w:val="000000"/>
                <w:kern w:val="0"/>
                <w:sz w:val="16"/>
                <w:szCs w:val="16"/>
                <w:u w:val="none"/>
                <w:lang w:val="en-US" w:eastAsia="zh-CN" w:bidi="ar"/>
              </w:rPr>
              <w:t>百千万</w:t>
            </w:r>
            <w:r>
              <w:rPr>
                <w:rStyle w:val="35"/>
                <w:lang w:val="en-US" w:eastAsia="zh-CN" w:bidi="ar"/>
              </w:rPr>
              <w:t>”</w:t>
            </w:r>
            <w:r>
              <w:rPr>
                <w:rFonts w:hint="eastAsia" w:ascii="宋体" w:hAnsi="宋体" w:eastAsia="宋体" w:cs="宋体"/>
                <w:i w:val="0"/>
                <w:color w:val="000000"/>
                <w:kern w:val="0"/>
                <w:sz w:val="16"/>
                <w:szCs w:val="16"/>
                <w:u w:val="none"/>
                <w:lang w:val="en-US" w:eastAsia="zh-CN" w:bidi="ar"/>
              </w:rPr>
              <w:t>，即在全市</w:t>
            </w:r>
            <w:r>
              <w:rPr>
                <w:rStyle w:val="35"/>
                <w:lang w:val="en-US" w:eastAsia="zh-CN" w:bidi="ar"/>
              </w:rPr>
              <w:t>100</w:t>
            </w:r>
            <w:r>
              <w:rPr>
                <w:rFonts w:hint="eastAsia" w:ascii="宋体" w:hAnsi="宋体" w:eastAsia="宋体" w:cs="宋体"/>
                <w:i w:val="0"/>
                <w:color w:val="000000"/>
                <w:kern w:val="0"/>
                <w:sz w:val="16"/>
                <w:szCs w:val="16"/>
                <w:u w:val="none"/>
                <w:lang w:val="en-US" w:eastAsia="zh-CN" w:bidi="ar"/>
              </w:rPr>
              <w:t>个社区举办</w:t>
            </w:r>
            <w:r>
              <w:rPr>
                <w:rStyle w:val="35"/>
                <w:lang w:val="en-US" w:eastAsia="zh-CN" w:bidi="ar"/>
              </w:rPr>
              <w:t>1000</w:t>
            </w:r>
            <w:r>
              <w:rPr>
                <w:rFonts w:hint="eastAsia" w:ascii="宋体" w:hAnsi="宋体" w:eastAsia="宋体" w:cs="宋体"/>
                <w:i w:val="0"/>
                <w:color w:val="000000"/>
                <w:kern w:val="0"/>
                <w:sz w:val="16"/>
                <w:szCs w:val="16"/>
                <w:u w:val="none"/>
                <w:lang w:val="en-US" w:eastAsia="zh-CN" w:bidi="ar"/>
              </w:rPr>
              <w:t>场讲座，让上万居民受益。</w:t>
            </w:r>
          </w:p>
        </w:tc>
        <w:tc>
          <w:tcPr>
            <w:tcW w:w="294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00" w:hRule="atLeast"/>
        </w:trPr>
        <w:tc>
          <w:tcPr>
            <w:tcW w:w="103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可持续影响指标（10分）</w:t>
            </w:r>
          </w:p>
        </w:tc>
        <w:tc>
          <w:tcPr>
            <w:tcW w:w="256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w:t>
            </w:r>
          </w:p>
        </w:tc>
        <w:tc>
          <w:tcPr>
            <w:tcW w:w="2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提高主流媒体影响力，形成风清气正的社会舆论环境。</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60" w:hRule="atLeast"/>
        </w:trPr>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满意度指标（10分）</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深受观众喜爱的轻松学习平台</w:t>
            </w:r>
          </w:p>
        </w:tc>
        <w:tc>
          <w:tcPr>
            <w:tcW w:w="2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把燕赵社区大讲堂打造成观众喜爱的学习平台</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845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r>
    </w:tbl>
    <w:p>
      <w:pPr>
        <w:widowControl w:val="0"/>
        <w:wordWrap/>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执行年初预算安排情况，我部门按照合同进度要求已经支付了合同额的100%。实际完成值100%。自评得分10分。</w:t>
      </w:r>
    </w:p>
    <w:p>
      <w:pPr>
        <w:widowControl w:val="0"/>
        <w:numPr>
          <w:ilvl w:val="0"/>
          <w:numId w:val="0"/>
        </w:numPr>
        <w:wordWrap/>
        <w:spacing w:line="360" w:lineRule="auto"/>
        <w:ind w:left="0" w:leftChars="0" w:right="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质量指标：大力传播优秀文化，丰富居民文化生活，增强市民文化素质，提高城市文化品位。完成率100%，本项得分20分。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时效指标：及时宣讲党和政府权威声音，及时宣讲健康养生、教育心理、文史文艺、烹饪美食、信息技术、花鸟鱼虫、服饰礼仪、投资收藏等百科知识，满足不同人群的文化需要。完成率90%，本项得分18分。</w:t>
      </w:r>
    </w:p>
    <w:p>
      <w:pPr>
        <w:widowControl w:val="0"/>
        <w:numPr>
          <w:ilvl w:val="0"/>
          <w:numId w:val="0"/>
        </w:numPr>
        <w:wordWrap/>
        <w:spacing w:line="360" w:lineRule="auto"/>
        <w:ind w:leftChars="200" w:right="0" w:rightChars="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社会效益：讲堂宗旨是大力弘扬社会主义核心价值观，实施文化惠民工程。通过举办社区讲座，大力传播优秀文化，丰富居民文化生活，增强市民文化素质，提高城市文化品位。2019年共完成52期，每期节目时长约为20分钟，《燕赵社区大讲堂》全年后期制作完成节目时长约1000多分钟。其中制作多期节目宣讲学习中共石家庄市委十届六次全会会议精神，宣传学习建国前夕的重大历史节点我党为筹建新中国、恢复国家经济做出的巨大历史贡献等一批宣传我党历史的节目。另外着重采编制作我市在深入落实十九大宣讲工作的宣传，十九届四中全会召开后，积极配合十九届四中全会的宣讲，这期间还兼顾老百姓需要的消防安全，文化娱乐，投资理财，健康医疗，法律常识，家风传承，优秀的中国文化，等等一批贴近百姓生活的讲堂节目，让更多的老百姓能够更好地了解党的方针政策，感受到政府的实际工作和温暖，这些节目深受群众的欢迎。完成率100%，本项得分18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 w:hAnsi="仿宋" w:eastAsia="仿宋" w:cs="仿宋"/>
          <w:b w:val="0"/>
          <w:bCs w:val="0"/>
          <w:sz w:val="32"/>
          <w:szCs w:val="32"/>
          <w:lang w:val="en-US" w:eastAsia="zh-CN"/>
        </w:rPr>
        <w:t>生态效益：尊重新闻传播规律，切实提高党的新闻舆论传播力、引导力、影响力、公信力。</w:t>
      </w:r>
      <w:r>
        <w:rPr>
          <w:rFonts w:hint="eastAsia" w:ascii="仿宋_GB2312" w:eastAsia="仿宋_GB2312"/>
          <w:b w:val="0"/>
          <w:bCs w:val="0"/>
          <w:sz w:val="32"/>
          <w:szCs w:val="32"/>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可持续影响：提高主流媒体影响力，形成风清气正的社会舆论环境。完成率100%，本项得分10分。</w:t>
      </w:r>
    </w:p>
    <w:p>
      <w:pPr>
        <w:widowControl w:val="0"/>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宣传时代精神，弘扬社会主义核心价值观、占领宣传主阵地，提高党媒新媒体主流媒体影响力，形成风清气正的社会舆论环境提供了新媒体平台。增加了受众人群，广泛地提高了全社会的关注度和支持力。完成率100%，本项得分9分。</w:t>
      </w:r>
    </w:p>
    <w:p>
      <w:pPr>
        <w:widowControl w:val="0"/>
        <w:numPr>
          <w:ilvl w:val="0"/>
          <w:numId w:val="0"/>
        </w:numPr>
        <w:wordWrap/>
        <w:spacing w:line="360" w:lineRule="auto"/>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r>
        <w:rPr>
          <w:rFonts w:hint="eastAsia" w:ascii="仿宋_GB2312" w:eastAsia="仿宋_GB2312"/>
          <w:b w:val="0"/>
          <w:bCs w:val="0"/>
          <w:sz w:val="32"/>
          <w:szCs w:val="32"/>
          <w:lang w:val="en-US" w:eastAsia="zh-CN"/>
        </w:rPr>
        <w:t>该项目总得分95分，综合绩效评价等级为优秀。</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0" w:firstLineChars="200"/>
        <w:textAlignment w:val="auto"/>
        <w:outlineLvl w:val="9"/>
        <w:rPr>
          <w:rFonts w:hint="eastAsia" w:ascii="楷体_GB2312" w:hAnsi="楷体_GB2312" w:eastAsia="楷体_GB2312"/>
          <w:b/>
          <w:bCs/>
          <w:sz w:val="32"/>
          <w:szCs w:val="32"/>
          <w:lang w:val="en-US" w:eastAsia="zh-CN"/>
        </w:rPr>
      </w:pPr>
      <w:r>
        <w:rPr>
          <w:rFonts w:hint="eastAsia" w:ascii="仿宋" w:hAnsi="仿宋" w:eastAsia="仿宋" w:cs="仿宋"/>
          <w:b w:val="0"/>
          <w:bCs w:val="0"/>
          <w:sz w:val="32"/>
          <w:szCs w:val="32"/>
          <w:lang w:val="en-US" w:eastAsia="zh-CN"/>
        </w:rPr>
        <w:t>随着5G时代到来，新媒体技术快速发展，受资金投入限制，在人员数量、人员培训、设备更新方面投入不足。今后加大人员培训力度，提高业务素质。</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李海宁</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新媒体中心负责人</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主任记者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default" w:eastAsia="宋体"/>
                <w:color w:val="auto"/>
                <w:vertAlign w:val="baseline"/>
                <w:lang w:val="en-US" w:eastAsia="zh-CN"/>
              </w:rPr>
            </w:pPr>
            <w:r>
              <w:rPr>
                <w:rFonts w:hint="eastAsia"/>
                <w:color w:val="auto"/>
                <w:vertAlign w:val="baseline"/>
                <w:lang w:eastAsia="zh-CN"/>
              </w:rPr>
              <w:t>赵</w:t>
            </w:r>
            <w:r>
              <w:rPr>
                <w:rFonts w:hint="eastAsia"/>
                <w:color w:val="auto"/>
                <w:vertAlign w:val="baseline"/>
                <w:lang w:val="en-US" w:eastAsia="zh-CN"/>
              </w:rPr>
              <w:t xml:space="preserve">  兵</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新媒体中心副主任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default"/>
                <w:color w:val="auto"/>
                <w:vertAlign w:val="baseline"/>
                <w:lang w:val="en-US" w:eastAsia="zh-CN"/>
              </w:rPr>
            </w:pPr>
            <w:r>
              <w:rPr>
                <w:rFonts w:hint="eastAsia"/>
                <w:color w:val="auto"/>
                <w:vertAlign w:val="baseline"/>
                <w:lang w:eastAsia="zh-CN"/>
              </w:rPr>
              <w:t>聂</w:t>
            </w:r>
            <w:r>
              <w:rPr>
                <w:rFonts w:hint="eastAsia"/>
                <w:color w:val="auto"/>
                <w:vertAlign w:val="baseline"/>
                <w:lang w:val="en-US" w:eastAsia="zh-CN"/>
              </w:rPr>
              <w:t xml:space="preserve">  刚</w:t>
            </w:r>
          </w:p>
        </w:tc>
        <w:tc>
          <w:tcPr>
            <w:tcW w:w="2021" w:type="dxa"/>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val="en-US" w:eastAsia="zh-CN"/>
              </w:rPr>
              <w:t>新媒体中心副主任</w:t>
            </w:r>
          </w:p>
        </w:tc>
        <w:tc>
          <w:tcPr>
            <w:tcW w:w="1971" w:type="dxa"/>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eastAsia="zh-CN"/>
              </w:rPr>
              <w:t>高级工程师</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auto"/>
    <w:pitch w:val="default"/>
    <w:sig w:usb0="FFFFFFFF" w:usb1="E9FFFFFF" w:usb2="0000003F" w:usb3="00000000" w:csb0="603F01FF" w:csb1="FFFF0000"/>
  </w:font>
  <w:font w:name="Arial Black">
    <w:panose1 w:val="020B0A04020102020204"/>
    <w:charset w:val="00"/>
    <w:family w:val="auto"/>
    <w:pitch w:val="default"/>
    <w:sig w:usb0="00000287" w:usb1="00000000" w:usb2="00000000" w:usb3="00000000" w:csb0="2000009F" w:csb1="DFD7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45871F"/>
    <w:multiLevelType w:val="singleLevel"/>
    <w:tmpl w:val="CC45871F"/>
    <w:lvl w:ilvl="0" w:tentative="0">
      <w:start w:val="2"/>
      <w:numFmt w:val="decimal"/>
      <w:suff w:val="nothing"/>
      <w:lvlText w:val="%1、"/>
      <w:lvlJc w:val="left"/>
    </w:lvl>
  </w:abstractNum>
  <w:abstractNum w:abstractNumId="1">
    <w:nsid w:val="D11D247F"/>
    <w:multiLevelType w:val="singleLevel"/>
    <w:tmpl w:val="D11D247F"/>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30E40D6"/>
    <w:rsid w:val="042D585E"/>
    <w:rsid w:val="04E93155"/>
    <w:rsid w:val="07807BC4"/>
    <w:rsid w:val="0C3548C4"/>
    <w:rsid w:val="0EB97A43"/>
    <w:rsid w:val="0EBD2122"/>
    <w:rsid w:val="10EC688D"/>
    <w:rsid w:val="11B71E6A"/>
    <w:rsid w:val="13223AF6"/>
    <w:rsid w:val="1A9A200D"/>
    <w:rsid w:val="1AAF0063"/>
    <w:rsid w:val="1BE140DE"/>
    <w:rsid w:val="1F2708D0"/>
    <w:rsid w:val="23A975B9"/>
    <w:rsid w:val="248C197D"/>
    <w:rsid w:val="252959AF"/>
    <w:rsid w:val="277A6671"/>
    <w:rsid w:val="2AAA787F"/>
    <w:rsid w:val="32592D0D"/>
    <w:rsid w:val="33EB6CFF"/>
    <w:rsid w:val="35247C7D"/>
    <w:rsid w:val="3A7B49E9"/>
    <w:rsid w:val="3B625C0A"/>
    <w:rsid w:val="3B885F0D"/>
    <w:rsid w:val="3CEE1963"/>
    <w:rsid w:val="40A05AE4"/>
    <w:rsid w:val="44B232E9"/>
    <w:rsid w:val="47916278"/>
    <w:rsid w:val="4C3D1647"/>
    <w:rsid w:val="512260B4"/>
    <w:rsid w:val="55A7380D"/>
    <w:rsid w:val="66AF0CE5"/>
    <w:rsid w:val="69140E60"/>
    <w:rsid w:val="6A6829D7"/>
    <w:rsid w:val="6E5B14A6"/>
    <w:rsid w:val="75F5053B"/>
    <w:rsid w:val="7B9E53B4"/>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8">
    <w:name w:val="Strong"/>
    <w:basedOn w:val="7"/>
    <w:qFormat/>
    <w:uiPriority w:val="0"/>
    <w:rPr>
      <w:b/>
    </w:rPr>
  </w:style>
  <w:style w:type="character" w:styleId="9">
    <w:name w:val="FollowedHyperlink"/>
    <w:basedOn w:val="7"/>
    <w:qFormat/>
    <w:uiPriority w:val="0"/>
    <w:rPr>
      <w:color w:val="666666"/>
      <w:u w:val="none"/>
    </w:rPr>
  </w:style>
  <w:style w:type="character" w:styleId="10">
    <w:name w:val="Hyperlink"/>
    <w:basedOn w:val="7"/>
    <w:qFormat/>
    <w:uiPriority w:val="0"/>
    <w:rPr>
      <w:color w:val="666666"/>
      <w:u w:val="none"/>
    </w:rPr>
  </w:style>
  <w:style w:type="character" w:customStyle="1" w:styleId="11">
    <w:name w:val="font21"/>
    <w:basedOn w:val="7"/>
    <w:qFormat/>
    <w:uiPriority w:val="0"/>
    <w:rPr>
      <w:rFonts w:ascii="Calibri" w:hAnsi="Calibri" w:cs="Calibri"/>
      <w:color w:val="000000"/>
      <w:sz w:val="16"/>
      <w:szCs w:val="16"/>
      <w:u w:val="none"/>
    </w:rPr>
  </w:style>
  <w:style w:type="character" w:customStyle="1" w:styleId="12">
    <w:name w:val="font11"/>
    <w:basedOn w:val="7"/>
    <w:qFormat/>
    <w:uiPriority w:val="0"/>
    <w:rPr>
      <w:rFonts w:ascii="Arial Unicode MS" w:hAnsi="Arial Unicode MS" w:eastAsia="Arial Unicode MS" w:cs="Arial Unicode MS"/>
      <w:color w:val="000000"/>
      <w:sz w:val="16"/>
      <w:szCs w:val="16"/>
      <w:u w:val="none"/>
    </w:rPr>
  </w:style>
  <w:style w:type="character" w:customStyle="1" w:styleId="13">
    <w:name w:val="font41"/>
    <w:basedOn w:val="7"/>
    <w:qFormat/>
    <w:uiPriority w:val="0"/>
    <w:rPr>
      <w:rFonts w:hint="eastAsia" w:ascii="宋体" w:hAnsi="宋体" w:eastAsia="宋体" w:cs="宋体"/>
      <w:color w:val="000000"/>
      <w:sz w:val="16"/>
      <w:szCs w:val="16"/>
      <w:u w:val="none"/>
    </w:rPr>
  </w:style>
  <w:style w:type="character" w:customStyle="1" w:styleId="14">
    <w:name w:val="left21"/>
    <w:basedOn w:val="7"/>
    <w:qFormat/>
    <w:uiPriority w:val="0"/>
    <w:rPr>
      <w:color w:val="D55C47"/>
      <w:spacing w:val="45"/>
      <w:sz w:val="27"/>
      <w:szCs w:val="27"/>
      <w:bdr w:val="single" w:color="D8D8D8" w:sz="6" w:space="0"/>
      <w:shd w:val="clear" w:fill="FFFFFF"/>
    </w:rPr>
  </w:style>
  <w:style w:type="character" w:customStyle="1" w:styleId="15">
    <w:name w:val="right"/>
    <w:basedOn w:val="7"/>
    <w:qFormat/>
    <w:uiPriority w:val="0"/>
    <w:rPr>
      <w:sz w:val="21"/>
      <w:szCs w:val="21"/>
    </w:rPr>
  </w:style>
  <w:style w:type="character" w:customStyle="1" w:styleId="16">
    <w:name w:val="right1"/>
    <w:basedOn w:val="7"/>
    <w:qFormat/>
    <w:uiPriority w:val="0"/>
    <w:rPr>
      <w:sz w:val="21"/>
      <w:szCs w:val="21"/>
    </w:rPr>
  </w:style>
  <w:style w:type="character" w:customStyle="1" w:styleId="17">
    <w:name w:val="right2"/>
    <w:basedOn w:val="7"/>
    <w:qFormat/>
    <w:uiPriority w:val="0"/>
    <w:rPr>
      <w:sz w:val="21"/>
      <w:szCs w:val="21"/>
    </w:rPr>
  </w:style>
  <w:style w:type="character" w:customStyle="1" w:styleId="18">
    <w:name w:val="right3"/>
    <w:basedOn w:val="7"/>
    <w:qFormat/>
    <w:uiPriority w:val="0"/>
    <w:rPr>
      <w:sz w:val="21"/>
      <w:szCs w:val="21"/>
    </w:rPr>
  </w:style>
  <w:style w:type="character" w:customStyle="1" w:styleId="19">
    <w:name w:val="right4"/>
    <w:basedOn w:val="7"/>
    <w:qFormat/>
    <w:uiPriority w:val="0"/>
    <w:rPr>
      <w:sz w:val="21"/>
      <w:szCs w:val="21"/>
    </w:rPr>
  </w:style>
  <w:style w:type="character" w:customStyle="1" w:styleId="20">
    <w:name w:val="right5"/>
    <w:basedOn w:val="7"/>
    <w:qFormat/>
    <w:uiPriority w:val="0"/>
    <w:rPr>
      <w:sz w:val="21"/>
      <w:szCs w:val="21"/>
      <w:bdr w:val="single" w:color="E0E0E0" w:sz="6" w:space="0"/>
    </w:rPr>
  </w:style>
  <w:style w:type="character" w:customStyle="1" w:styleId="21">
    <w:name w:val="last"/>
    <w:basedOn w:val="7"/>
    <w:qFormat/>
    <w:uiPriority w:val="0"/>
  </w:style>
  <w:style w:type="character" w:customStyle="1" w:styleId="22">
    <w:name w:val="last1"/>
    <w:basedOn w:val="7"/>
    <w:qFormat/>
    <w:uiPriority w:val="0"/>
  </w:style>
  <w:style w:type="character" w:customStyle="1" w:styleId="23">
    <w:name w:val="red"/>
    <w:basedOn w:val="7"/>
    <w:qFormat/>
    <w:uiPriority w:val="0"/>
    <w:rPr>
      <w:color w:val="F66A0B"/>
    </w:rPr>
  </w:style>
  <w:style w:type="character" w:customStyle="1" w:styleId="24">
    <w:name w:val="red1"/>
    <w:basedOn w:val="7"/>
    <w:qFormat/>
    <w:uiPriority w:val="0"/>
    <w:rPr>
      <w:color w:val="F66A0B"/>
    </w:rPr>
  </w:style>
  <w:style w:type="character" w:customStyle="1" w:styleId="25">
    <w:name w:val="left"/>
    <w:basedOn w:val="7"/>
    <w:qFormat/>
    <w:uiPriority w:val="0"/>
    <w:rPr>
      <w:color w:val="438CAD"/>
      <w:spacing w:val="45"/>
      <w:sz w:val="30"/>
      <w:szCs w:val="30"/>
      <w:bdr w:val="single" w:color="D8D8D8" w:sz="6" w:space="0"/>
      <w:shd w:val="clear" w:fill="FFFFFF"/>
    </w:rPr>
  </w:style>
  <w:style w:type="character" w:customStyle="1" w:styleId="26">
    <w:name w:val="left1"/>
    <w:basedOn w:val="7"/>
    <w:qFormat/>
    <w:uiPriority w:val="0"/>
    <w:rPr>
      <w:color w:val="438CAD"/>
      <w:spacing w:val="45"/>
      <w:sz w:val="30"/>
      <w:szCs w:val="30"/>
      <w:bdr w:val="single" w:color="D8D8D8" w:sz="6" w:space="0"/>
      <w:shd w:val="clear" w:fill="FFFFFF"/>
    </w:rPr>
  </w:style>
  <w:style w:type="character" w:customStyle="1" w:styleId="27">
    <w:name w:val="left2"/>
    <w:basedOn w:val="7"/>
    <w:qFormat/>
    <w:uiPriority w:val="0"/>
    <w:rPr>
      <w:color w:val="469CCD"/>
      <w:spacing w:val="45"/>
      <w:sz w:val="30"/>
      <w:szCs w:val="30"/>
      <w:bdr w:val="single" w:color="D8D8D8" w:sz="6" w:space="0"/>
      <w:shd w:val="clear" w:fill="FFFFFF"/>
    </w:rPr>
  </w:style>
  <w:style w:type="character" w:customStyle="1" w:styleId="28">
    <w:name w:val="left3"/>
    <w:basedOn w:val="7"/>
    <w:qFormat/>
    <w:uiPriority w:val="0"/>
    <w:rPr>
      <w:color w:val="438CAD"/>
      <w:spacing w:val="45"/>
      <w:sz w:val="27"/>
      <w:szCs w:val="27"/>
      <w:bdr w:val="single" w:color="D8D8D8" w:sz="6" w:space="0"/>
      <w:shd w:val="clear" w:fill="FFFFFF"/>
    </w:rPr>
  </w:style>
  <w:style w:type="character" w:customStyle="1" w:styleId="29">
    <w:name w:val="left4"/>
    <w:basedOn w:val="7"/>
    <w:qFormat/>
    <w:uiPriority w:val="0"/>
    <w:rPr>
      <w:color w:val="D55C47"/>
      <w:spacing w:val="45"/>
      <w:sz w:val="27"/>
      <w:szCs w:val="27"/>
      <w:bdr w:val="single" w:color="D8D8D8" w:sz="6" w:space="0"/>
      <w:shd w:val="clear" w:fill="FFFFFF"/>
    </w:rPr>
  </w:style>
  <w:style w:type="character" w:customStyle="1" w:styleId="30">
    <w:name w:val="left5"/>
    <w:basedOn w:val="7"/>
    <w:qFormat/>
    <w:uiPriority w:val="0"/>
    <w:rPr>
      <w:color w:val="C32205"/>
      <w:spacing w:val="15"/>
      <w:sz w:val="24"/>
      <w:szCs w:val="24"/>
    </w:rPr>
  </w:style>
  <w:style w:type="character" w:customStyle="1" w:styleId="31">
    <w:name w:val="lan"/>
    <w:basedOn w:val="7"/>
    <w:qFormat/>
    <w:uiPriority w:val="0"/>
    <w:rPr>
      <w:color w:val="034B85"/>
    </w:rPr>
  </w:style>
  <w:style w:type="character" w:customStyle="1" w:styleId="32">
    <w:name w:val="dao"/>
    <w:basedOn w:val="7"/>
    <w:qFormat/>
    <w:uiPriority w:val="0"/>
  </w:style>
  <w:style w:type="character" w:customStyle="1" w:styleId="33">
    <w:name w:val="last2"/>
    <w:basedOn w:val="7"/>
    <w:qFormat/>
    <w:uiPriority w:val="0"/>
  </w:style>
  <w:style w:type="character" w:customStyle="1" w:styleId="34">
    <w:name w:val="font01"/>
    <w:basedOn w:val="7"/>
    <w:qFormat/>
    <w:uiPriority w:val="0"/>
    <w:rPr>
      <w:rFonts w:hint="default" w:ascii="Calibri" w:hAnsi="Calibri" w:cs="Calibri"/>
      <w:color w:val="000000"/>
      <w:sz w:val="16"/>
      <w:szCs w:val="16"/>
      <w:u w:val="none"/>
    </w:rPr>
  </w:style>
  <w:style w:type="character" w:customStyle="1" w:styleId="35">
    <w:name w:val="font31"/>
    <w:basedOn w:val="7"/>
    <w:qFormat/>
    <w:uiPriority w:val="0"/>
    <w:rPr>
      <w:rFonts w:ascii="Arial Black" w:hAnsi="Arial Black" w:eastAsia="Arial Black" w:cs="Arial Black"/>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2020-02-12T05:54:00Z</cp:lastPrinted>
  <dcterms:modified xsi:type="dcterms:W3CDTF">2020-06-05T07:59:48Z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