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rPr>
          <w:rFonts w:ascii="仿宋_GB2312" w:eastAsia="仿宋_GB2312"/>
          <w:sz w:val="32"/>
          <w:szCs w:val="32"/>
        </w:rPr>
      </w:pPr>
      <w:bookmarkStart w:id="0" w:name="_GoBack"/>
      <w:bookmarkEnd w:id="0"/>
      <w:r>
        <w:rPr>
          <w:rFonts w:hint="eastAsia" w:ascii="仿宋_GB2312" w:eastAsia="仿宋_GB2312"/>
          <w:sz w:val="32"/>
          <w:szCs w:val="32"/>
        </w:rPr>
        <w:t>附件4：</w:t>
      </w:r>
    </w:p>
    <w:p>
      <w:pPr>
        <w:spacing w:line="360" w:lineRule="auto"/>
        <w:jc w:val="center"/>
        <w:outlineLvl w:val="0"/>
        <w:rPr>
          <w:rFonts w:ascii="宋体" w:hAnsi="宋体" w:cs="宋体"/>
          <w:b/>
          <w:bCs/>
          <w:sz w:val="44"/>
          <w:szCs w:val="44"/>
        </w:rPr>
      </w:pPr>
      <w:r>
        <w:rPr>
          <w:rFonts w:hint="eastAsia" w:ascii="宋体" w:hAnsi="宋体" w:cs="宋体"/>
          <w:b/>
          <w:bCs/>
          <w:sz w:val="44"/>
          <w:szCs w:val="44"/>
        </w:rPr>
        <w:t>石家庄广播电视台</w:t>
      </w:r>
    </w:p>
    <w:p>
      <w:pPr>
        <w:spacing w:line="360" w:lineRule="auto"/>
        <w:jc w:val="center"/>
        <w:outlineLvl w:val="0"/>
        <w:rPr>
          <w:rFonts w:ascii="宋体" w:hAnsi="宋体" w:cs="宋体"/>
          <w:b/>
          <w:bCs/>
          <w:sz w:val="44"/>
          <w:szCs w:val="44"/>
        </w:rPr>
      </w:pPr>
      <w:r>
        <w:rPr>
          <w:rFonts w:hint="eastAsia" w:ascii="宋体" w:hAnsi="宋体" w:cs="宋体"/>
          <w:b/>
          <w:bCs/>
          <w:sz w:val="44"/>
          <w:szCs w:val="44"/>
        </w:rPr>
        <w:t>石家庄发布两微一端项目自评报告</w:t>
      </w:r>
    </w:p>
    <w:p>
      <w:pPr>
        <w:spacing w:line="360" w:lineRule="auto"/>
        <w:jc w:val="center"/>
        <w:rPr>
          <w:rFonts w:ascii="华文楷体" w:eastAsia="华文楷体"/>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根据《石家庄市财政支出绩效评价办法》（石财绩[2013]2号），遵循“科学性、规范性、客观性和公正性”的原则，对石家庄发布两微一端项目实施了财政支出绩效自评价，形成本评价报告。</w:t>
      </w:r>
    </w:p>
    <w:p>
      <w:pPr>
        <w:adjustRightInd w:val="0"/>
        <w:snapToGrid w:val="0"/>
        <w:spacing w:line="360" w:lineRule="auto"/>
        <w:ind w:firstLine="640" w:firstLineChars="200"/>
        <w:rPr>
          <w:rFonts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360" w:lineRule="auto"/>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adjustRightInd w:val="0"/>
        <w:snapToGrid w:val="0"/>
        <w:spacing w:line="360" w:lineRule="auto"/>
        <w:ind w:firstLine="643" w:firstLineChars="200"/>
        <w:outlineLvl w:val="2"/>
        <w:rPr>
          <w:rFonts w:ascii="仿宋_GB2312" w:eastAsia="仿宋_GB2312"/>
          <w:b/>
          <w:bCs/>
          <w:sz w:val="32"/>
          <w:szCs w:val="32"/>
        </w:rPr>
      </w:pPr>
      <w:r>
        <w:rPr>
          <w:rFonts w:hint="eastAsia" w:ascii="仿宋_GB2312" w:eastAsia="仿宋_GB2312"/>
          <w:b/>
          <w:bCs/>
          <w:sz w:val="32"/>
          <w:szCs w:val="32"/>
        </w:rPr>
        <w:t>1、项目实施单位及项目立项等基本情况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实施单位基本情况：石家庄广播电视台是市委直属事业单位，由市委宣传部领导。拥有新闻综合、娱乐、生活、都市4个电视频道，新闻、经济、音乐、农村、交通5个广播频率，以及新媒体中心、《声屏之友》报、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1141人，在编正式员工350人，岗位聘用员工791人。</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近两年来，我台在市委市政府、市委宣传部正确领导下，始终坚持新闻立台、政治家办台理念，围绕中心，服务大局，舆论引导正确有力；开展各类媒体活动，不断扩大广电影响力；稳固广播广告收入,改革激发了电视广告创收潜力；积极探索产业项目，推进广电转型发展；媒体融合经验受到省市领导表扬，在全省予以推广。</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石家庄广播电视台新媒体中心负责我台广电网、两微一端及其它台属新媒体平台运营工作，此外，还承担着我市全媒体运营指挥中心职能。</w:t>
      </w:r>
    </w:p>
    <w:p>
      <w:pPr>
        <w:numPr>
          <w:ilvl w:val="0"/>
          <w:numId w:val="1"/>
        </w:numPr>
        <w:adjustRightInd w:val="0"/>
        <w:snapToGrid w:val="0"/>
        <w:spacing w:line="360" w:lineRule="auto"/>
        <w:ind w:firstLine="643" w:firstLineChars="200"/>
        <w:rPr>
          <w:rFonts w:ascii="仿宋_GB2312" w:eastAsia="仿宋_GB2312"/>
          <w:b/>
          <w:bCs/>
          <w:sz w:val="32"/>
          <w:szCs w:val="32"/>
        </w:rPr>
      </w:pPr>
      <w:r>
        <w:rPr>
          <w:rFonts w:hint="eastAsia" w:ascii="仿宋_GB2312" w:eastAsia="仿宋_GB2312"/>
          <w:b/>
          <w:bCs/>
          <w:sz w:val="32"/>
          <w:szCs w:val="32"/>
        </w:rPr>
        <w:t>项目主要实施内容和范围</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石家庄发布微信公众号，围绕中心、服务大局，及时发布石家庄权威政务信息，传承石家庄历史文化，打造了一个集政务发布、便民服务、城市形象展示等为一体的新媒体政务平台。</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为充分利用石家庄广播电视台采编播能力，落实各级党委政府意识形态主体责任，切实提高党的新闻舆论传播力、引导力、影响力、公信力，切实提高受众互动，帮助广大网民了解政策、反映诉求、参与社会治理，切实尊重新闻传播规律，宣传时代精神，弘扬社会主义核心价值观、占领宣传主阵地。</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石家庄发布两微一端运营服务项目，由我部门负责配备专业采编、技术人员，组织开展信息采编发、图文设计、软件编程等各项工作。及时发布市委和政府权威声音。</w:t>
      </w:r>
    </w:p>
    <w:p>
      <w:pPr>
        <w:numPr>
          <w:ilvl w:val="0"/>
          <w:numId w:val="1"/>
        </w:numPr>
        <w:adjustRightInd w:val="0"/>
        <w:snapToGrid w:val="0"/>
        <w:spacing w:line="360" w:lineRule="auto"/>
        <w:ind w:firstLine="643" w:firstLineChars="200"/>
        <w:rPr>
          <w:rFonts w:ascii="仿宋_GB2312" w:eastAsia="仿宋_GB2312"/>
          <w:sz w:val="32"/>
          <w:szCs w:val="32"/>
        </w:rPr>
      </w:pPr>
      <w:r>
        <w:rPr>
          <w:rFonts w:hint="eastAsia" w:ascii="仿宋_GB2312" w:eastAsia="仿宋_GB2312"/>
          <w:b/>
          <w:bCs/>
          <w:sz w:val="32"/>
          <w:szCs w:val="32"/>
        </w:rPr>
        <w:t>项目资金投入情况</w:t>
      </w:r>
      <w:r>
        <w:rPr>
          <w:rFonts w:hint="eastAsia" w:ascii="仿宋_GB2312" w:eastAsia="仿宋_GB2312"/>
          <w:sz w:val="32"/>
          <w:szCs w:val="32"/>
        </w:rPr>
        <w:t>（资金数量、资金结构、资金来源渠道等）</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项目资金共拨付40万元，用于石家庄发布两微一端信息采编发、图文设计、软件编程等各项工作，资金来源为全额财政拨款。</w:t>
      </w:r>
    </w:p>
    <w:p>
      <w:pPr>
        <w:adjustRightInd w:val="0"/>
        <w:snapToGrid w:val="0"/>
        <w:spacing w:line="360" w:lineRule="auto"/>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（二）项目预期绩效目标</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预期绩效目标和指标：充分利用石家庄广播电视台专业采编播队伍，提高稿件质量，吸引受众点击，成为市委、市政府重要新媒体阵地，宣传时代精神，弘扬社会主义核心价值观，尊重新闻传播规律，提高主流媒体影响力，切实提高党的新闻舆论传播力、引导力、影响力、公信力，形成风清气正的社会舆论环境，促进网络强市建设。帮助广大网民了解政策，方便受众与各职能部门互动反映诉求，参与社会治理，解决生活中实现问题。</w:t>
      </w:r>
    </w:p>
    <w:p>
      <w:pPr>
        <w:adjustRightInd w:val="0"/>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二、自评工作情况</w:t>
      </w:r>
    </w:p>
    <w:p>
      <w:pPr>
        <w:spacing w:line="360" w:lineRule="auto"/>
        <w:ind w:firstLine="321" w:firstLineChars="100"/>
        <w:rPr>
          <w:rFonts w:ascii="楷体_GB2312" w:hAnsi="楷体_GB2312" w:eastAsia="楷体_GB2312" w:cs="楷体_GB2312"/>
          <w:sz w:val="32"/>
          <w:szCs w:val="32"/>
        </w:rPr>
      </w:pPr>
      <w:r>
        <w:rPr>
          <w:rFonts w:hint="eastAsia" w:ascii="楷体_GB2312" w:hAnsi="楷体_GB2312" w:eastAsia="楷体_GB2312" w:cs="楷体_GB2312"/>
          <w:b/>
          <w:bCs/>
          <w:sz w:val="32"/>
          <w:szCs w:val="32"/>
        </w:rPr>
        <w:t>（一）自评的组织工作</w:t>
      </w:r>
    </w:p>
    <w:p>
      <w:pPr>
        <w:spacing w:line="360" w:lineRule="auto"/>
        <w:ind w:firstLine="640"/>
        <w:rPr>
          <w:rFonts w:ascii="仿宋_GB2312" w:eastAsia="仿宋_GB2312"/>
          <w:sz w:val="32"/>
          <w:szCs w:val="32"/>
        </w:rPr>
      </w:pPr>
      <w:r>
        <w:rPr>
          <w:rFonts w:hint="eastAsia" w:ascii="仿宋_GB2312" w:eastAsia="仿宋_GB2312"/>
          <w:sz w:val="32"/>
          <w:szCs w:val="32"/>
        </w:rPr>
        <w:t>我台对项目评价工作非常重视，成立了石家庄广播电视台石家庄发布两微一端项目绩效自评工作组。由王永利副台长任组长。成员包括财务部主任申媛和陶丽宏、新媒体中心负责人李海宁、新媒体中心副主任赵兵、聂刚。</w:t>
      </w:r>
    </w:p>
    <w:p>
      <w:pPr>
        <w:spacing w:line="360" w:lineRule="auto"/>
        <w:ind w:firstLine="640"/>
        <w:rPr>
          <w:rFonts w:ascii="仿宋_GB2312" w:eastAsia="仿宋_GB2312"/>
          <w:sz w:val="32"/>
          <w:szCs w:val="32"/>
        </w:rPr>
      </w:pPr>
      <w:r>
        <w:rPr>
          <w:rFonts w:hint="eastAsia" w:ascii="仿宋_GB2312" w:eastAsia="仿宋_GB2312"/>
          <w:sz w:val="32"/>
          <w:szCs w:val="32"/>
        </w:rPr>
        <w:t>工作组及时召开专门会议，组织有关技术人员进行了认真学习相关法律文件。并按照要求逐项搞好资料检查和现场调查，收集相关评价资料。</w:t>
      </w:r>
    </w:p>
    <w:p>
      <w:pPr>
        <w:spacing w:line="360" w:lineRule="auto"/>
        <w:rPr>
          <w:rFonts w:ascii="仿宋_GB2312" w:eastAsia="仿宋_GB2312"/>
          <w:sz w:val="32"/>
          <w:szCs w:val="32"/>
        </w:rPr>
      </w:pPr>
    </w:p>
    <w:p>
      <w:pPr>
        <w:numPr>
          <w:ilvl w:val="0"/>
          <w:numId w:val="2"/>
        </w:numPr>
        <w:spacing w:line="360" w:lineRule="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自评的方法和过程</w:t>
      </w:r>
    </w:p>
    <w:p>
      <w:pPr>
        <w:spacing w:line="360" w:lineRule="auto"/>
        <w:ind w:firstLine="640"/>
        <w:outlineLvl w:val="2"/>
        <w:rPr>
          <w:rFonts w:ascii="仿宋_GB2312" w:eastAsia="仿宋_GB2312"/>
          <w:sz w:val="32"/>
          <w:szCs w:val="32"/>
        </w:rPr>
      </w:pPr>
      <w:r>
        <w:rPr>
          <w:rFonts w:hint="eastAsia" w:ascii="仿宋_GB2312" w:eastAsia="仿宋_GB2312"/>
          <w:sz w:val="32"/>
          <w:szCs w:val="32"/>
        </w:rPr>
        <w:t>1、制定了项目绩效自评打分标准和项目绩效自评打分表。</w:t>
      </w:r>
    </w:p>
    <w:p>
      <w:pPr>
        <w:spacing w:line="360" w:lineRule="auto"/>
        <w:ind w:firstLine="640"/>
        <w:outlineLvl w:val="2"/>
        <w:rPr>
          <w:rFonts w:ascii="仿宋_GB2312" w:eastAsia="仿宋_GB2312"/>
          <w:sz w:val="32"/>
          <w:szCs w:val="32"/>
        </w:rPr>
      </w:pPr>
      <w:r>
        <w:rPr>
          <w:rFonts w:hint="eastAsia" w:ascii="仿宋_GB2312" w:eastAsia="仿宋_GB2312"/>
          <w:sz w:val="32"/>
          <w:szCs w:val="32"/>
        </w:rPr>
        <w:t>2、评价工作组采用对照方法，按财政要求从项目产出指标、预算执行率指标、效益指标、满意度指标四个方面，对照实际执行情况进行评价打分。</w:t>
      </w:r>
    </w:p>
    <w:p>
      <w:pPr>
        <w:spacing w:line="360" w:lineRule="auto"/>
        <w:ind w:firstLine="640"/>
        <w:outlineLvl w:val="2"/>
        <w:rPr>
          <w:rFonts w:ascii="仿宋_GB2312" w:eastAsia="仿宋_GB2312"/>
          <w:sz w:val="32"/>
          <w:szCs w:val="32"/>
        </w:rPr>
      </w:pPr>
      <w:r>
        <w:rPr>
          <w:rFonts w:hint="eastAsia" w:ascii="仿宋_GB2312" w:eastAsia="仿宋_GB2312"/>
          <w:sz w:val="32"/>
          <w:szCs w:val="32"/>
        </w:rPr>
        <w:t>3、评价工作组根据绩效评价结果撰写绩效评价报告。</w:t>
      </w:r>
    </w:p>
    <w:p>
      <w:pPr>
        <w:spacing w:line="360" w:lineRule="auto"/>
        <w:rPr>
          <w:rFonts w:ascii="仿宋_GB2312" w:eastAsia="仿宋_GB2312"/>
          <w:b/>
          <w:bCs/>
          <w:sz w:val="32"/>
          <w:szCs w:val="32"/>
        </w:rPr>
      </w:pPr>
      <w:r>
        <w:rPr>
          <w:rFonts w:hint="eastAsia" w:ascii="楷体_GB2312" w:hAnsi="楷体_GB2312" w:eastAsia="楷体_GB2312" w:cs="楷体_GB2312"/>
          <w:b/>
          <w:bCs/>
          <w:sz w:val="32"/>
          <w:szCs w:val="32"/>
        </w:rPr>
        <w:t xml:space="preserve">    （三）建立绩效评价指标体系</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制定了项目绩效自评打分标准并完成了项目绩效自评打分表。</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石家庄发布两微一端项目绩效评价指标体系</w:t>
      </w:r>
    </w:p>
    <w:tbl>
      <w:tblPr>
        <w:tblStyle w:val="4"/>
        <w:tblW w:w="9096" w:type="dxa"/>
        <w:tblInd w:w="0" w:type="dxa"/>
        <w:tblLayout w:type="fixed"/>
        <w:tblCellMar>
          <w:top w:w="0" w:type="dxa"/>
          <w:left w:w="0" w:type="dxa"/>
          <w:bottom w:w="0" w:type="dxa"/>
          <w:right w:w="0" w:type="dxa"/>
        </w:tblCellMar>
      </w:tblPr>
      <w:tblGrid>
        <w:gridCol w:w="1079"/>
        <w:gridCol w:w="958"/>
        <w:gridCol w:w="3016"/>
        <w:gridCol w:w="2318"/>
        <w:gridCol w:w="990"/>
        <w:gridCol w:w="735"/>
      </w:tblGrid>
      <w:tr>
        <w:tblPrEx>
          <w:tblLayout w:type="fixed"/>
          <w:tblCellMar>
            <w:top w:w="0" w:type="dxa"/>
            <w:left w:w="0" w:type="dxa"/>
            <w:bottom w:w="0" w:type="dxa"/>
            <w:right w:w="0" w:type="dxa"/>
          </w:tblCellMar>
        </w:tblPrEx>
        <w:trPr>
          <w:trHeight w:val="270" w:hRule="atLeast"/>
        </w:trPr>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一级指标</w:t>
            </w: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二级指标</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三级指标</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预期指标值</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实际完成值</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自评得分</w:t>
            </w:r>
          </w:p>
        </w:tc>
      </w:tr>
      <w:tr>
        <w:tblPrEx>
          <w:tblLayout w:type="fixed"/>
          <w:tblCellMar>
            <w:top w:w="0" w:type="dxa"/>
            <w:left w:w="0" w:type="dxa"/>
            <w:bottom w:w="0" w:type="dxa"/>
            <w:right w:w="0" w:type="dxa"/>
          </w:tblCellMar>
        </w:tblPrEx>
        <w:trPr>
          <w:trHeight w:val="640" w:hRule="atLeast"/>
        </w:trPr>
        <w:tc>
          <w:tcPr>
            <w:tcW w:w="1079"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产出指标（40）</w:t>
            </w: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数量指标（10分）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Style w:val="9"/>
                <w:rFonts w:hint="default"/>
              </w:rPr>
              <w:t>完成石家庄发布信息采编发、图文设计、软件编程（5分）</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完成每月发稿量</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5</w:t>
            </w:r>
          </w:p>
        </w:tc>
      </w:tr>
      <w:tr>
        <w:tblPrEx>
          <w:tblLayout w:type="fixed"/>
          <w:tblCellMar>
            <w:top w:w="0" w:type="dxa"/>
            <w:left w:w="0" w:type="dxa"/>
            <w:bottom w:w="0" w:type="dxa"/>
            <w:right w:w="0" w:type="dxa"/>
          </w:tblCellMar>
        </w:tblPrEx>
        <w:trPr>
          <w:trHeight w:val="312" w:hRule="atLeast"/>
        </w:trPr>
        <w:tc>
          <w:tcPr>
            <w:tcW w:w="10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30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both"/>
              <w:textAlignment w:val="center"/>
              <w:rPr>
                <w:rFonts w:ascii="宋体" w:hAnsi="宋体" w:cs="宋体"/>
                <w:color w:val="000000"/>
                <w:sz w:val="16"/>
                <w:szCs w:val="16"/>
              </w:rPr>
            </w:pPr>
            <w:r>
              <w:rPr>
                <w:rFonts w:hint="eastAsia" w:ascii="宋体" w:hAnsi="宋体" w:cs="宋体"/>
                <w:color w:val="000000"/>
                <w:kern w:val="0"/>
                <w:sz w:val="16"/>
                <w:szCs w:val="16"/>
              </w:rPr>
              <w:t>打造石家庄发布宣传主阵地（5分）</w:t>
            </w:r>
          </w:p>
        </w:tc>
        <w:tc>
          <w:tcPr>
            <w:tcW w:w="23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做好石家庄发布两微一端运营</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5</w:t>
            </w:r>
          </w:p>
        </w:tc>
      </w:tr>
      <w:tr>
        <w:tblPrEx>
          <w:tblLayout w:type="fixed"/>
          <w:tblCellMar>
            <w:top w:w="0" w:type="dxa"/>
            <w:left w:w="0" w:type="dxa"/>
            <w:bottom w:w="0" w:type="dxa"/>
            <w:right w:w="0" w:type="dxa"/>
          </w:tblCellMar>
        </w:tblPrEx>
        <w:trPr>
          <w:trHeight w:val="420" w:hRule="atLeast"/>
        </w:trPr>
        <w:tc>
          <w:tcPr>
            <w:tcW w:w="10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30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23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cs="Calibri"/>
                <w:color w:val="000000"/>
                <w:szCs w:val="21"/>
              </w:rPr>
            </w:pPr>
          </w:p>
        </w:tc>
        <w:tc>
          <w:tcPr>
            <w:tcW w:w="7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cs="Calibri"/>
                <w:color w:val="000000"/>
                <w:szCs w:val="21"/>
              </w:rPr>
            </w:pPr>
          </w:p>
        </w:tc>
      </w:tr>
      <w:tr>
        <w:tblPrEx>
          <w:tblLayout w:type="fixed"/>
          <w:tblCellMar>
            <w:top w:w="0" w:type="dxa"/>
            <w:left w:w="0" w:type="dxa"/>
            <w:bottom w:w="0" w:type="dxa"/>
            <w:right w:w="0" w:type="dxa"/>
          </w:tblCellMar>
        </w:tblPrEx>
        <w:trPr>
          <w:trHeight w:val="440" w:hRule="atLeast"/>
        </w:trPr>
        <w:tc>
          <w:tcPr>
            <w:tcW w:w="10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质量指标（10分）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指标１：安排专职编辑、记者保证稿件质量（5分）</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按月完成文稿发稿任务</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5</w:t>
            </w:r>
          </w:p>
        </w:tc>
      </w:tr>
      <w:tr>
        <w:tblPrEx>
          <w:tblLayout w:type="fixed"/>
          <w:tblCellMar>
            <w:top w:w="0" w:type="dxa"/>
            <w:left w:w="0" w:type="dxa"/>
            <w:bottom w:w="0" w:type="dxa"/>
            <w:right w:w="0" w:type="dxa"/>
          </w:tblCellMar>
        </w:tblPrEx>
        <w:trPr>
          <w:trHeight w:val="540" w:hRule="atLeast"/>
        </w:trPr>
        <w:tc>
          <w:tcPr>
            <w:tcW w:w="10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指标</w:t>
            </w:r>
            <w:r>
              <w:rPr>
                <w:rStyle w:val="8"/>
              </w:rPr>
              <w:t>２：安排专职摄影记者保证图片质量（</w:t>
            </w:r>
            <w:r>
              <w:rPr>
                <w:rStyle w:val="9"/>
                <w:rFonts w:hint="default"/>
              </w:rPr>
              <w:t>5分）</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按月完成图片发稿任务</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5</w:t>
            </w:r>
          </w:p>
        </w:tc>
      </w:tr>
      <w:tr>
        <w:tblPrEx>
          <w:tblLayout w:type="fixed"/>
          <w:tblCellMar>
            <w:top w:w="0" w:type="dxa"/>
            <w:left w:w="0" w:type="dxa"/>
            <w:bottom w:w="0" w:type="dxa"/>
            <w:right w:w="0" w:type="dxa"/>
          </w:tblCellMar>
        </w:tblPrEx>
        <w:trPr>
          <w:trHeight w:val="420" w:hRule="atLeast"/>
        </w:trPr>
        <w:tc>
          <w:tcPr>
            <w:tcW w:w="10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时效指标（10分）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稿件时效性（10分）</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及时发布党和政府权威声音</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hint="eastAsia" w:cs="Calibri"/>
                <w:color w:val="000000"/>
                <w:kern w:val="0"/>
                <w:szCs w:val="21"/>
              </w:rPr>
              <w:t>100</w:t>
            </w:r>
            <w:r>
              <w:rPr>
                <w:rFonts w:cs="Calibri"/>
                <w:color w:val="000000"/>
                <w:kern w:val="0"/>
                <w:szCs w:val="21"/>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hint="eastAsia" w:cs="Calibri"/>
                <w:color w:val="000000"/>
                <w:kern w:val="0"/>
                <w:szCs w:val="21"/>
              </w:rPr>
              <w:t>10</w:t>
            </w:r>
          </w:p>
        </w:tc>
      </w:tr>
      <w:tr>
        <w:tblPrEx>
          <w:tblLayout w:type="fixed"/>
          <w:tblCellMar>
            <w:top w:w="0" w:type="dxa"/>
            <w:left w:w="0" w:type="dxa"/>
            <w:bottom w:w="0" w:type="dxa"/>
            <w:right w:w="0" w:type="dxa"/>
          </w:tblCellMar>
        </w:tblPrEx>
        <w:trPr>
          <w:trHeight w:val="480" w:hRule="atLeast"/>
        </w:trPr>
        <w:tc>
          <w:tcPr>
            <w:tcW w:w="10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成本指标（10分）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软件开发维护、硬件维护、网络安全保障成本（10分）</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自主开发软件避免侵权</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w:t>
            </w:r>
          </w:p>
        </w:tc>
      </w:tr>
      <w:tr>
        <w:tblPrEx>
          <w:tblLayout w:type="fixed"/>
          <w:tblCellMar>
            <w:top w:w="0" w:type="dxa"/>
            <w:left w:w="0" w:type="dxa"/>
            <w:bottom w:w="0" w:type="dxa"/>
            <w:right w:w="0" w:type="dxa"/>
          </w:tblCellMar>
        </w:tblPrEx>
        <w:trPr>
          <w:trHeight w:val="700" w:hRule="atLeast"/>
        </w:trPr>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预算执行率指标（10分）</w:t>
            </w:r>
          </w:p>
        </w:tc>
        <w:tc>
          <w:tcPr>
            <w:tcW w:w="9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预算执行率</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按合同进度支付款项</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支付合同额的</w:t>
            </w:r>
            <w:r>
              <w:rPr>
                <w:rStyle w:val="7"/>
              </w:rPr>
              <w:t>100%</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w:t>
            </w:r>
          </w:p>
        </w:tc>
      </w:tr>
      <w:tr>
        <w:tblPrEx>
          <w:tblLayout w:type="fixed"/>
          <w:tblCellMar>
            <w:top w:w="0" w:type="dxa"/>
            <w:left w:w="0" w:type="dxa"/>
            <w:bottom w:w="0" w:type="dxa"/>
            <w:right w:w="0" w:type="dxa"/>
          </w:tblCellMar>
        </w:tblPrEx>
        <w:trPr>
          <w:trHeight w:val="841" w:hRule="atLeast"/>
        </w:trPr>
        <w:tc>
          <w:tcPr>
            <w:tcW w:w="1079"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效益指标（40）</w:t>
            </w:r>
          </w:p>
        </w:tc>
        <w:tc>
          <w:tcPr>
            <w:tcW w:w="9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经济效益指标（10分）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项目资金到位及时性</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充分利用石家庄广播电视台专业采编播队伍，提高稿件质量，吸引受众点击</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hint="eastAsia" w:cs="Calibri"/>
                <w:color w:val="000000"/>
                <w:kern w:val="0"/>
                <w:szCs w:val="21"/>
              </w:rPr>
              <w:t>100</w:t>
            </w:r>
            <w:r>
              <w:rPr>
                <w:rFonts w:cs="Calibri"/>
                <w:color w:val="000000"/>
                <w:kern w:val="0"/>
                <w:szCs w:val="21"/>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hint="eastAsia" w:cs="Calibri"/>
                <w:color w:val="000000"/>
                <w:kern w:val="0"/>
                <w:szCs w:val="21"/>
              </w:rPr>
              <w:t>10</w:t>
            </w:r>
          </w:p>
        </w:tc>
      </w:tr>
      <w:tr>
        <w:tblPrEx>
          <w:tblLayout w:type="fixed"/>
          <w:tblCellMar>
            <w:top w:w="0" w:type="dxa"/>
            <w:left w:w="0" w:type="dxa"/>
            <w:bottom w:w="0" w:type="dxa"/>
            <w:right w:w="0" w:type="dxa"/>
          </w:tblCellMar>
        </w:tblPrEx>
        <w:trPr>
          <w:trHeight w:val="700" w:hRule="atLeast"/>
        </w:trPr>
        <w:tc>
          <w:tcPr>
            <w:tcW w:w="107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社会效益指标（10分）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市委、市政府落实意识形态主体责任重要新媒体阵地，党的声音占领新媒体端的重要途径</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成为本地新媒体宣传的主阵地，促进网络强市建设</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w:t>
            </w:r>
          </w:p>
        </w:tc>
      </w:tr>
      <w:tr>
        <w:tblPrEx>
          <w:tblLayout w:type="fixed"/>
          <w:tblCellMar>
            <w:top w:w="0" w:type="dxa"/>
            <w:left w:w="0" w:type="dxa"/>
            <w:bottom w:w="0" w:type="dxa"/>
            <w:right w:w="0" w:type="dxa"/>
          </w:tblCellMar>
        </w:tblPrEx>
        <w:trPr>
          <w:trHeight w:val="880" w:hRule="atLeast"/>
        </w:trPr>
        <w:tc>
          <w:tcPr>
            <w:tcW w:w="107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生态效益指标（10分）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帮助广大网民了解政策，方便受众与各职能部门互动反映诉求，参与社会治理，解决生活中实现问题</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尊重新闻传播规律，切实提高党的新闻舆论传播力、引导力、影响力、公信力</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w:t>
            </w:r>
          </w:p>
        </w:tc>
      </w:tr>
      <w:tr>
        <w:tblPrEx>
          <w:tblLayout w:type="fixed"/>
          <w:tblCellMar>
            <w:top w:w="0" w:type="dxa"/>
            <w:left w:w="0" w:type="dxa"/>
            <w:bottom w:w="0" w:type="dxa"/>
            <w:right w:w="0" w:type="dxa"/>
          </w:tblCellMar>
        </w:tblPrEx>
        <w:trPr>
          <w:trHeight w:val="580" w:hRule="atLeast"/>
        </w:trPr>
        <w:tc>
          <w:tcPr>
            <w:tcW w:w="107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可持续影响指标（10分）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宣传时代精神，弘扬社会主义核心价值观、占领宣传主阵地。（5分）</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提高主流媒体影响力，形成风清气正的社会舆论环境。</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5</w:t>
            </w:r>
          </w:p>
        </w:tc>
      </w:tr>
      <w:tr>
        <w:tblPrEx>
          <w:tblLayout w:type="fixed"/>
          <w:tblCellMar>
            <w:top w:w="0" w:type="dxa"/>
            <w:left w:w="0" w:type="dxa"/>
            <w:bottom w:w="0" w:type="dxa"/>
            <w:right w:w="0" w:type="dxa"/>
          </w:tblCellMar>
        </w:tblPrEx>
        <w:trPr>
          <w:trHeight w:val="640" w:hRule="atLeast"/>
        </w:trPr>
        <w:tc>
          <w:tcPr>
            <w:tcW w:w="107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95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rPr>
              <w:t>充分运用云计算、大数据等技术建设该平台，提高制作能力，增加受众人群，广泛提高全社会的关注度和支持力。（5分）</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传统媒体持续影响力</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80%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4</w:t>
            </w:r>
          </w:p>
        </w:tc>
      </w:tr>
      <w:tr>
        <w:tblPrEx>
          <w:tblLayout w:type="fixed"/>
          <w:tblCellMar>
            <w:top w:w="0" w:type="dxa"/>
            <w:left w:w="0" w:type="dxa"/>
            <w:bottom w:w="0" w:type="dxa"/>
            <w:right w:w="0" w:type="dxa"/>
          </w:tblCellMar>
        </w:tblPrEx>
        <w:trPr>
          <w:trHeight w:val="660" w:hRule="atLeast"/>
        </w:trPr>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满意度指标</w:t>
            </w:r>
            <w:r>
              <w:rPr>
                <w:rFonts w:hint="eastAsia" w:ascii="宋体" w:hAnsi="宋体" w:cs="宋体"/>
                <w:color w:val="000000"/>
                <w:kern w:val="0"/>
                <w:sz w:val="16"/>
                <w:szCs w:val="16"/>
              </w:rPr>
              <w:br w:type="textWrapping"/>
            </w:r>
            <w:r>
              <w:rPr>
                <w:rFonts w:hint="eastAsia" w:ascii="宋体" w:hAnsi="宋体" w:cs="宋体"/>
                <w:color w:val="000000"/>
                <w:kern w:val="0"/>
                <w:sz w:val="16"/>
                <w:szCs w:val="16"/>
              </w:rPr>
              <w:t>（10分）</w:t>
            </w:r>
          </w:p>
        </w:tc>
        <w:tc>
          <w:tcPr>
            <w:tcW w:w="95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满意度指标（10分）</w:t>
            </w:r>
          </w:p>
        </w:tc>
        <w:tc>
          <w:tcPr>
            <w:tcW w:w="30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sz w:val="16"/>
                <w:szCs w:val="16"/>
              </w:rPr>
              <w:t>利用新媒体融合等技术构建新闻宣传新生态系统</w:t>
            </w:r>
          </w:p>
        </w:tc>
        <w:tc>
          <w:tcPr>
            <w:tcW w:w="2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eastAsia="zh-CN"/>
              </w:rPr>
              <w:t>用</w:t>
            </w:r>
            <w:r>
              <w:rPr>
                <w:rFonts w:hint="eastAsia" w:ascii="宋体" w:hAnsi="宋体" w:cs="宋体"/>
                <w:color w:val="000000"/>
                <w:kern w:val="0"/>
                <w:sz w:val="16"/>
                <w:szCs w:val="16"/>
              </w:rPr>
              <w:t>石家庄发布这一新媒体平台互动性强的特点，传播党的声音，反馈民生关注。</w:t>
            </w:r>
          </w:p>
          <w:p>
            <w:pPr>
              <w:widowControl/>
              <w:jc w:val="left"/>
              <w:textAlignment w:val="center"/>
              <w:rPr>
                <w:rFonts w:ascii="宋体" w:hAnsi="宋体" w:cs="宋体"/>
                <w:color w:val="000000"/>
                <w:sz w:val="16"/>
                <w:szCs w:val="16"/>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cs="Calibri"/>
                <w:color w:val="000000"/>
                <w:szCs w:val="21"/>
              </w:rPr>
            </w:pPr>
            <w:r>
              <w:rPr>
                <w:rFonts w:cs="Calibri"/>
                <w:color w:val="000000"/>
                <w:kern w:val="0"/>
                <w:szCs w:val="21"/>
              </w:rPr>
              <w:t>9</w:t>
            </w:r>
          </w:p>
        </w:tc>
      </w:tr>
      <w:tr>
        <w:tblPrEx>
          <w:tblLayout w:type="fixed"/>
          <w:tblCellMar>
            <w:top w:w="0" w:type="dxa"/>
            <w:left w:w="0" w:type="dxa"/>
            <w:bottom w:w="0" w:type="dxa"/>
            <w:right w:w="0" w:type="dxa"/>
          </w:tblCellMar>
        </w:tblPrEx>
        <w:trPr>
          <w:trHeight w:val="285" w:hRule="atLeast"/>
        </w:trPr>
        <w:tc>
          <w:tcPr>
            <w:tcW w:w="836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rPr>
              <w:t>总分</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eastAsia="宋体" w:cs="Calibri"/>
                <w:color w:val="000000"/>
                <w:szCs w:val="21"/>
                <w:lang w:val="en-US" w:eastAsia="zh-CN"/>
              </w:rPr>
            </w:pPr>
            <w:r>
              <w:rPr>
                <w:rFonts w:hint="eastAsia" w:cs="Calibri"/>
                <w:color w:val="000000"/>
                <w:kern w:val="0"/>
                <w:szCs w:val="21"/>
                <w:lang w:val="en-US" w:eastAsia="zh-CN"/>
              </w:rPr>
              <w:t>98</w:t>
            </w:r>
          </w:p>
        </w:tc>
      </w:tr>
    </w:tbl>
    <w:p>
      <w:pPr>
        <w:spacing w:line="360" w:lineRule="auto"/>
        <w:ind w:firstLine="640" w:firstLineChars="200"/>
        <w:rPr>
          <w:rFonts w:ascii="黑体" w:hAnsi="黑体" w:eastAsia="黑体"/>
          <w:b/>
          <w:bCs/>
          <w:sz w:val="32"/>
          <w:szCs w:val="32"/>
        </w:rPr>
      </w:pPr>
      <w:r>
        <w:rPr>
          <w:rFonts w:hint="eastAsia" w:ascii="黑体" w:hAnsi="黑体" w:eastAsia="黑体"/>
          <w:sz w:val="32"/>
          <w:szCs w:val="32"/>
        </w:rPr>
        <w:t>三、项目执行及绩效实现情况</w:t>
      </w:r>
    </w:p>
    <w:p>
      <w:pPr>
        <w:numPr>
          <w:ilvl w:val="0"/>
          <w:numId w:val="3"/>
        </w:numPr>
        <w:spacing w:line="360" w:lineRule="auto"/>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预算执行情况</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执行年初预算安排情况，我部门按照合同进度要求目前已经支付了合同额的100%。实际完成值100%。自评得分10分。</w:t>
      </w:r>
    </w:p>
    <w:p>
      <w:pPr>
        <w:spacing w:line="360" w:lineRule="auto"/>
        <w:rPr>
          <w:rFonts w:ascii="仿宋_GB2312" w:eastAsia="仿宋_GB2312"/>
          <w:b/>
          <w:bCs/>
          <w:sz w:val="32"/>
          <w:szCs w:val="32"/>
        </w:rPr>
      </w:pPr>
      <w:r>
        <w:rPr>
          <w:rFonts w:hint="eastAsia" w:ascii="楷体_GB2312" w:hAnsi="楷体_GB2312" w:eastAsia="楷体_GB2312" w:cs="楷体_GB2312"/>
          <w:b/>
          <w:bCs/>
          <w:sz w:val="32"/>
          <w:szCs w:val="32"/>
        </w:rPr>
        <w:t xml:space="preserve"> （二）项目产出</w:t>
      </w:r>
    </w:p>
    <w:p>
      <w:pPr>
        <w:spacing w:line="360" w:lineRule="auto"/>
        <w:ind w:firstLine="643" w:firstLineChars="200"/>
        <w:rPr>
          <w:rFonts w:ascii="仿宋_GB2312" w:eastAsia="仿宋_GB2312"/>
          <w:sz w:val="32"/>
          <w:szCs w:val="32"/>
        </w:rPr>
      </w:pPr>
      <w:r>
        <w:rPr>
          <w:rFonts w:hint="eastAsia" w:ascii="仿宋_GB2312" w:eastAsia="仿宋_GB2312"/>
          <w:b/>
          <w:bCs/>
          <w:sz w:val="32"/>
          <w:szCs w:val="32"/>
        </w:rPr>
        <w:t>数量指标：</w:t>
      </w:r>
      <w:r>
        <w:rPr>
          <w:rFonts w:hint="eastAsia" w:ascii="仿宋_GB2312" w:eastAsia="仿宋_GB2312"/>
          <w:sz w:val="32"/>
          <w:szCs w:val="32"/>
        </w:rPr>
        <w:t>完成石家庄发布信息采编发、图文设计、软件编程，完成每月发稿量，完成率100%，本项得分10分。</w:t>
      </w:r>
    </w:p>
    <w:p>
      <w:pPr>
        <w:spacing w:line="360" w:lineRule="auto"/>
        <w:ind w:firstLine="643" w:firstLineChars="200"/>
        <w:rPr>
          <w:rFonts w:ascii="仿宋_GB2312" w:eastAsia="仿宋_GB2312"/>
          <w:sz w:val="32"/>
          <w:szCs w:val="32"/>
        </w:rPr>
      </w:pPr>
      <w:r>
        <w:rPr>
          <w:rFonts w:hint="eastAsia" w:ascii="仿宋_GB2312" w:eastAsia="仿宋_GB2312"/>
          <w:b/>
          <w:bCs/>
          <w:sz w:val="32"/>
          <w:szCs w:val="32"/>
        </w:rPr>
        <w:t>质量指标：</w:t>
      </w:r>
      <w:r>
        <w:rPr>
          <w:rFonts w:hint="eastAsia" w:ascii="仿宋_GB2312" w:eastAsia="仿宋_GB2312"/>
          <w:sz w:val="32"/>
          <w:szCs w:val="32"/>
        </w:rPr>
        <w:t>安排专职编辑、记者保证稿件质量，按月完成发稿任务，完成软件开发维护作务，完成率100%，本项得分10分。</w:t>
      </w:r>
    </w:p>
    <w:p>
      <w:pPr>
        <w:spacing w:line="360" w:lineRule="auto"/>
        <w:ind w:firstLine="643" w:firstLineChars="200"/>
        <w:rPr>
          <w:rFonts w:hint="eastAsia" w:ascii="仿宋_GB2312" w:eastAsia="仿宋_GB2312"/>
          <w:sz w:val="32"/>
          <w:szCs w:val="32"/>
          <w:lang w:val="en-US" w:eastAsia="zh-CN"/>
        </w:rPr>
      </w:pPr>
      <w:r>
        <w:rPr>
          <w:rFonts w:hint="eastAsia" w:ascii="仿宋_GB2312" w:eastAsia="仿宋_GB2312"/>
          <w:b/>
          <w:bCs/>
          <w:sz w:val="32"/>
          <w:szCs w:val="32"/>
        </w:rPr>
        <w:t>时效指标：</w:t>
      </w:r>
      <w:r>
        <w:rPr>
          <w:rFonts w:hint="eastAsia" w:ascii="仿宋_GB2312" w:eastAsia="仿宋_GB2312"/>
          <w:sz w:val="32"/>
          <w:szCs w:val="32"/>
        </w:rPr>
        <w:t>及时发布党和政府权威声音，完成率</w:t>
      </w:r>
      <w:r>
        <w:rPr>
          <w:rFonts w:hint="eastAsia" w:ascii="仿宋_GB2312" w:eastAsia="仿宋_GB2312"/>
          <w:sz w:val="32"/>
          <w:szCs w:val="32"/>
          <w:lang w:val="en-US" w:eastAsia="zh-CN"/>
        </w:rPr>
        <w:t>100</w:t>
      </w:r>
      <w:r>
        <w:rPr>
          <w:rFonts w:hint="eastAsia" w:ascii="仿宋_GB2312" w:eastAsia="仿宋_GB2312"/>
          <w:sz w:val="32"/>
          <w:szCs w:val="32"/>
        </w:rPr>
        <w:t>%，本项得分</w:t>
      </w:r>
      <w:r>
        <w:rPr>
          <w:rFonts w:hint="eastAsia" w:ascii="仿宋_GB2312" w:eastAsia="仿宋_GB2312"/>
          <w:sz w:val="32"/>
          <w:szCs w:val="32"/>
          <w:lang w:val="en-US" w:eastAsia="zh-CN"/>
        </w:rPr>
        <w:t>10</w:t>
      </w:r>
      <w:r>
        <w:rPr>
          <w:rFonts w:hint="eastAsia" w:ascii="仿宋_GB2312" w:eastAsia="仿宋_GB2312"/>
          <w:sz w:val="32"/>
          <w:szCs w:val="32"/>
        </w:rPr>
        <w:t>分</w:t>
      </w:r>
      <w:r>
        <w:rPr>
          <w:rFonts w:hint="eastAsia" w:ascii="仿宋_GB2312" w:eastAsia="仿宋_GB2312"/>
          <w:sz w:val="32"/>
          <w:szCs w:val="32"/>
          <w:lang w:eastAsia="zh-CN"/>
        </w:rPr>
        <w:t>。</w:t>
      </w:r>
    </w:p>
    <w:p>
      <w:pPr>
        <w:spacing w:line="360" w:lineRule="auto"/>
        <w:ind w:firstLine="643" w:firstLineChars="200"/>
        <w:rPr>
          <w:rFonts w:ascii="仿宋_GB2312" w:eastAsia="仿宋_GB2312"/>
          <w:sz w:val="32"/>
          <w:szCs w:val="32"/>
        </w:rPr>
      </w:pPr>
      <w:r>
        <w:rPr>
          <w:rFonts w:hint="eastAsia" w:ascii="仿宋_GB2312" w:eastAsia="仿宋_GB2312"/>
          <w:b/>
          <w:bCs/>
          <w:sz w:val="32"/>
          <w:szCs w:val="32"/>
        </w:rPr>
        <w:t>成本指标：</w:t>
      </w:r>
      <w:r>
        <w:rPr>
          <w:rFonts w:hint="eastAsia" w:ascii="仿宋_GB2312" w:eastAsia="仿宋_GB2312"/>
          <w:sz w:val="32"/>
          <w:szCs w:val="32"/>
        </w:rPr>
        <w:t>软件开发维护、硬件维护、网络安全保障，本项分数10分，完成率</w:t>
      </w:r>
      <w:r>
        <w:rPr>
          <w:rFonts w:hint="eastAsia" w:ascii="仿宋_GB2312" w:eastAsia="仿宋_GB2312"/>
          <w:sz w:val="32"/>
          <w:szCs w:val="32"/>
          <w:lang w:val="en-US" w:eastAsia="zh-CN"/>
        </w:rPr>
        <w:t>100</w:t>
      </w:r>
      <w:r>
        <w:rPr>
          <w:rFonts w:hint="eastAsia" w:ascii="仿宋_GB2312" w:eastAsia="仿宋_GB2312"/>
          <w:sz w:val="32"/>
          <w:szCs w:val="32"/>
        </w:rPr>
        <w:t>%，本项得分</w:t>
      </w:r>
      <w:r>
        <w:rPr>
          <w:rFonts w:hint="eastAsia" w:ascii="仿宋_GB2312" w:eastAsia="仿宋_GB2312"/>
          <w:sz w:val="32"/>
          <w:szCs w:val="32"/>
          <w:lang w:val="en-US" w:eastAsia="zh-CN"/>
        </w:rPr>
        <w:t>10</w:t>
      </w:r>
      <w:r>
        <w:rPr>
          <w:rFonts w:hint="eastAsia" w:ascii="仿宋_GB2312" w:eastAsia="仿宋_GB2312"/>
          <w:sz w:val="32"/>
          <w:szCs w:val="32"/>
        </w:rPr>
        <w:t>分。</w:t>
      </w:r>
    </w:p>
    <w:p>
      <w:pPr>
        <w:spacing w:line="360" w:lineRule="auto"/>
        <w:ind w:left="420" w:left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（三）项目效益</w:t>
      </w:r>
    </w:p>
    <w:p>
      <w:pPr>
        <w:spacing w:line="360" w:lineRule="auto"/>
        <w:ind w:firstLine="643" w:firstLineChars="200"/>
        <w:rPr>
          <w:rFonts w:ascii="仿宋" w:hAnsi="仿宋" w:eastAsia="仿宋" w:cs="仿宋"/>
          <w:sz w:val="32"/>
          <w:szCs w:val="32"/>
        </w:rPr>
      </w:pPr>
      <w:r>
        <w:rPr>
          <w:rFonts w:hint="eastAsia" w:ascii="仿宋" w:hAnsi="仿宋" w:eastAsia="仿宋" w:cs="仿宋"/>
          <w:b/>
          <w:bCs/>
          <w:sz w:val="32"/>
          <w:szCs w:val="32"/>
        </w:rPr>
        <w:t>经济效益：</w:t>
      </w:r>
      <w:r>
        <w:rPr>
          <w:rFonts w:hint="eastAsia" w:ascii="仿宋" w:hAnsi="仿宋" w:eastAsia="仿宋" w:cs="仿宋"/>
          <w:sz w:val="32"/>
          <w:szCs w:val="32"/>
        </w:rPr>
        <w:t>充分利用石家庄广播电视台专业采编播队伍，提高稿件质量，吸引受众点击。完成率100%，得10分。</w:t>
      </w:r>
    </w:p>
    <w:p>
      <w:pPr>
        <w:spacing w:line="360" w:lineRule="auto"/>
        <w:ind w:firstLine="643" w:firstLineChars="200"/>
        <w:rPr>
          <w:rFonts w:ascii="仿宋" w:hAnsi="仿宋" w:eastAsia="仿宋" w:cs="仿宋"/>
          <w:sz w:val="32"/>
          <w:szCs w:val="32"/>
        </w:rPr>
      </w:pPr>
      <w:r>
        <w:rPr>
          <w:rFonts w:hint="eastAsia" w:ascii="仿宋" w:hAnsi="仿宋" w:eastAsia="仿宋" w:cs="仿宋"/>
          <w:b/>
          <w:bCs/>
          <w:sz w:val="32"/>
          <w:szCs w:val="32"/>
        </w:rPr>
        <w:t>社会效益：</w:t>
      </w:r>
      <w:r>
        <w:rPr>
          <w:rFonts w:hint="eastAsia" w:ascii="仿宋" w:hAnsi="仿宋" w:eastAsia="仿宋" w:cs="仿宋"/>
          <w:sz w:val="32"/>
          <w:szCs w:val="32"/>
        </w:rPr>
        <w:t>石家庄发布微信2019年共发布政务信息超过2000余条，及时发布限行、气象预警等与市民息息相关的政务、民生信息，让石家庄市的重点工作、正能量人物事件、风土人情得到了更广泛的传播。石家庄发布微信还在新媒体领域积极创新传播手段，通过图文、短视频、直播、H5等多种传播手段，打造了《一路向西！石家庄有一条“最美天路”！贯穿24个古村！》、《水清岸绿入画来——今日滹沱，一条生态之河的“蝶变”》多款融媒体作品，被人民网、新华网、央视新闻、河北日报等国家级、省级媒体转载，以更接地气更易传播的方式，反映了我市建设井陉“天路”、滹沱河生态治理等重点工作。今年国庆期间推出的融媒体作品《石家庄再被世界瞩目！这些超帅阅兵服都是在这里生产的！》阅读量一天内突破10万+，获得网友的一致认可。</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石家庄发布微信还积极与网友互动，推出了《感动省城十大人物评选》、《市政府10件惠民实事评选》等一批投票活动，参与人次超百万。完成率100%，本项得分10分。</w:t>
      </w:r>
    </w:p>
    <w:p>
      <w:pPr>
        <w:spacing w:line="360" w:lineRule="auto"/>
        <w:ind w:firstLine="643" w:firstLineChars="200"/>
        <w:rPr>
          <w:rFonts w:ascii="仿宋_GB2312" w:eastAsia="仿宋_GB2312"/>
          <w:sz w:val="32"/>
          <w:szCs w:val="32"/>
        </w:rPr>
      </w:pPr>
      <w:r>
        <w:rPr>
          <w:rFonts w:hint="eastAsia" w:ascii="仿宋" w:hAnsi="仿宋" w:eastAsia="仿宋" w:cs="仿宋"/>
          <w:b/>
          <w:bCs/>
          <w:sz w:val="32"/>
          <w:szCs w:val="32"/>
        </w:rPr>
        <w:t>生态效益：</w:t>
      </w:r>
      <w:r>
        <w:rPr>
          <w:rFonts w:hint="eastAsia" w:ascii="仿宋" w:hAnsi="仿宋" w:eastAsia="仿宋" w:cs="仿宋"/>
          <w:sz w:val="32"/>
          <w:szCs w:val="32"/>
        </w:rPr>
        <w:t>有效提高广大网民了解政策，方便受众与各职能部门互动反映诉求，参与社会治理能力，</w:t>
      </w:r>
      <w:r>
        <w:rPr>
          <w:rFonts w:hint="eastAsia" w:ascii="仿宋_GB2312" w:eastAsia="仿宋_GB2312"/>
          <w:sz w:val="32"/>
          <w:szCs w:val="32"/>
        </w:rPr>
        <w:t>提升了党媒宣传力度；本项目为各级党委政府落实意识形态主体责任提供了重要手段，为新闻媒体推进融合发展提供了重要途径，完成率100%，本项得分10分。</w:t>
      </w:r>
    </w:p>
    <w:p>
      <w:pPr>
        <w:spacing w:line="360" w:lineRule="auto"/>
        <w:ind w:firstLine="643" w:firstLineChars="200"/>
        <w:rPr>
          <w:rFonts w:ascii="仿宋_GB2312" w:eastAsia="仿宋_GB2312"/>
          <w:sz w:val="32"/>
          <w:szCs w:val="32"/>
        </w:rPr>
      </w:pPr>
      <w:r>
        <w:rPr>
          <w:rFonts w:hint="eastAsia" w:ascii="仿宋_GB2312" w:eastAsia="仿宋_GB2312"/>
          <w:b/>
          <w:bCs/>
          <w:sz w:val="32"/>
          <w:szCs w:val="32"/>
        </w:rPr>
        <w:t>可持续影响</w:t>
      </w:r>
      <w:r>
        <w:rPr>
          <w:rFonts w:hint="eastAsia" w:ascii="仿宋_GB2312" w:eastAsia="仿宋_GB2312"/>
          <w:sz w:val="32"/>
          <w:szCs w:val="32"/>
        </w:rPr>
        <w:t>：提高主流媒体影响力，形成风清气正的社会舆论环境。完成率90%，得分9分。</w:t>
      </w:r>
    </w:p>
    <w:p>
      <w:pPr>
        <w:spacing w:line="360" w:lineRule="auto"/>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（四）满意度</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本项目宣传时代精神，弘扬社会主义核心价值观、占领宣传主阵地，提高党媒新媒体主流媒体影响力，形成风清气正的社会舆论环境提供了新媒体平台。增加了受众人群，广泛地提高了全社会的关注度和支持力。完成率100%，本项得分9分。</w:t>
      </w:r>
    </w:p>
    <w:p>
      <w:pPr>
        <w:spacing w:line="360" w:lineRule="auto"/>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项目具有明确的目标，项目实施过程中能够严格按照省市有关项目管理和资金管理规定执行，资金到位及时，使用得当。该项目总得分</w:t>
      </w:r>
      <w:r>
        <w:rPr>
          <w:rFonts w:hint="eastAsia" w:ascii="仿宋_GB2312" w:eastAsia="仿宋_GB2312"/>
          <w:sz w:val="32"/>
          <w:szCs w:val="32"/>
          <w:lang w:val="en-US" w:eastAsia="zh-CN"/>
        </w:rPr>
        <w:t>98</w:t>
      </w:r>
      <w:r>
        <w:rPr>
          <w:rFonts w:hint="eastAsia" w:ascii="仿宋_GB2312" w:eastAsia="仿宋_GB2312"/>
          <w:sz w:val="32"/>
          <w:szCs w:val="32"/>
        </w:rPr>
        <w:t>分，综合绩效评价等级为优秀。</w:t>
      </w:r>
    </w:p>
    <w:p>
      <w:pPr>
        <w:spacing w:line="360" w:lineRule="auto"/>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spacing w:line="360" w:lineRule="auto"/>
        <w:ind w:firstLine="640" w:firstLineChars="200"/>
        <w:rPr>
          <w:rFonts w:ascii="楷体_GB2312" w:hAnsi="楷体_GB2312" w:eastAsia="楷体_GB2312"/>
          <w:b/>
          <w:bCs/>
          <w:sz w:val="32"/>
          <w:szCs w:val="32"/>
        </w:rPr>
      </w:pPr>
      <w:r>
        <w:rPr>
          <w:rFonts w:hint="eastAsia" w:ascii="仿宋" w:hAnsi="仿宋" w:eastAsia="仿宋" w:cs="仿宋"/>
          <w:sz w:val="32"/>
          <w:szCs w:val="32"/>
        </w:rPr>
        <w:t>随着5G时代到来，新媒体技术快速发展，受资金投入限制，在人员数量、人员培训、设备更新方面投入不足。今后加大人员培训力度，提高业务素质。</w:t>
      </w:r>
    </w:p>
    <w:p>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4"/>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rPr>
                <w:sz w:val="32"/>
                <w:szCs w:val="32"/>
              </w:rPr>
            </w:pPr>
            <w:r>
              <w:rPr>
                <w:rFonts w:hint="eastAsia"/>
                <w:sz w:val="32"/>
                <w:szCs w:val="32"/>
              </w:rPr>
              <w:t>姓名</w:t>
            </w:r>
          </w:p>
        </w:tc>
        <w:tc>
          <w:tcPr>
            <w:tcW w:w="2021" w:type="dxa"/>
          </w:tcPr>
          <w:p>
            <w:pPr>
              <w:spacing w:line="360" w:lineRule="auto"/>
              <w:jc w:val="center"/>
              <w:rPr>
                <w:sz w:val="32"/>
                <w:szCs w:val="32"/>
              </w:rPr>
            </w:pPr>
            <w:r>
              <w:rPr>
                <w:rFonts w:hint="eastAsia"/>
                <w:sz w:val="32"/>
                <w:szCs w:val="32"/>
              </w:rPr>
              <w:t>工作单位</w:t>
            </w:r>
          </w:p>
        </w:tc>
        <w:tc>
          <w:tcPr>
            <w:tcW w:w="2243" w:type="dxa"/>
          </w:tcPr>
          <w:p>
            <w:pPr>
              <w:spacing w:line="360" w:lineRule="auto"/>
              <w:jc w:val="center"/>
              <w:rPr>
                <w:sz w:val="32"/>
                <w:szCs w:val="32"/>
              </w:rPr>
            </w:pPr>
            <w:r>
              <w:rPr>
                <w:rFonts w:hint="eastAsia"/>
                <w:sz w:val="32"/>
                <w:szCs w:val="32"/>
              </w:rPr>
              <w:t>职务</w:t>
            </w:r>
          </w:p>
        </w:tc>
        <w:tc>
          <w:tcPr>
            <w:tcW w:w="1971" w:type="dxa"/>
          </w:tcPr>
          <w:p>
            <w:pPr>
              <w:spacing w:line="360" w:lineRule="auto"/>
              <w:jc w:val="center"/>
              <w:rPr>
                <w:sz w:val="32"/>
                <w:szCs w:val="32"/>
              </w:rPr>
            </w:pPr>
            <w:r>
              <w:rPr>
                <w:rFonts w:hint="eastAsia"/>
                <w:sz w:val="32"/>
                <w:szCs w:val="32"/>
              </w:rPr>
              <w:t>职称</w:t>
            </w:r>
          </w:p>
        </w:tc>
        <w:tc>
          <w:tcPr>
            <w:tcW w:w="1511" w:type="dxa"/>
          </w:tcPr>
          <w:p>
            <w:pPr>
              <w:spacing w:line="360" w:lineRule="auto"/>
              <w:jc w:val="center"/>
              <w:rPr>
                <w:sz w:val="32"/>
                <w:szCs w:val="32"/>
              </w:rPr>
            </w:pPr>
            <w:r>
              <w:rPr>
                <w:rFonts w:hint="eastAsia"/>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spacing w:line="360" w:lineRule="auto"/>
              <w:jc w:val="center"/>
            </w:pPr>
            <w:r>
              <w:rPr>
                <w:rFonts w:hint="eastAsia"/>
              </w:rPr>
              <w:t>王永利</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副台长</w:t>
            </w:r>
          </w:p>
        </w:tc>
        <w:tc>
          <w:tcPr>
            <w:tcW w:w="1971" w:type="dxa"/>
          </w:tcPr>
          <w:p>
            <w:pPr>
              <w:spacing w:line="360" w:lineRule="auto"/>
            </w:pP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pPr>
            <w:r>
              <w:rPr>
                <w:rFonts w:hint="eastAsia"/>
              </w:rPr>
              <w:t>申媛</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财务部主任</w:t>
            </w:r>
          </w:p>
        </w:tc>
        <w:tc>
          <w:tcPr>
            <w:tcW w:w="1971" w:type="dxa"/>
          </w:tcPr>
          <w:p>
            <w:pPr>
              <w:spacing w:line="360" w:lineRule="auto"/>
            </w:pPr>
            <w:r>
              <w:rPr>
                <w:rFonts w:hint="eastAsia"/>
              </w:rPr>
              <w:t>会计师</w:t>
            </w: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pPr>
            <w:r>
              <w:rPr>
                <w:rFonts w:hint="eastAsia"/>
              </w:rPr>
              <w:t>陶丽宏</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财务部副主任</w:t>
            </w:r>
          </w:p>
        </w:tc>
        <w:tc>
          <w:tcPr>
            <w:tcW w:w="1971" w:type="dxa"/>
          </w:tcPr>
          <w:p>
            <w:pPr>
              <w:spacing w:line="360" w:lineRule="auto"/>
            </w:pPr>
            <w:r>
              <w:rPr>
                <w:rFonts w:hint="eastAsia"/>
              </w:rPr>
              <w:t>会计师</w:t>
            </w: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pPr>
            <w:r>
              <w:rPr>
                <w:rFonts w:hint="eastAsia"/>
              </w:rPr>
              <w:t>李海宁</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新媒体中心负责人</w:t>
            </w:r>
          </w:p>
        </w:tc>
        <w:tc>
          <w:tcPr>
            <w:tcW w:w="1971" w:type="dxa"/>
          </w:tcPr>
          <w:p>
            <w:pPr>
              <w:spacing w:line="360" w:lineRule="auto"/>
            </w:pPr>
            <w:r>
              <w:rPr>
                <w:rFonts w:hint="eastAsia"/>
              </w:rPr>
              <w:t>主任记者</w:t>
            </w: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pPr>
            <w:r>
              <w:rPr>
                <w:rFonts w:hint="eastAsia"/>
              </w:rPr>
              <w:t>赵  兵</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新媒体中心副主任</w:t>
            </w:r>
          </w:p>
        </w:tc>
        <w:tc>
          <w:tcPr>
            <w:tcW w:w="1971" w:type="dxa"/>
          </w:tcPr>
          <w:p>
            <w:pPr>
              <w:spacing w:line="360" w:lineRule="auto"/>
            </w:pPr>
          </w:p>
        </w:tc>
        <w:tc>
          <w:tcPr>
            <w:tcW w:w="1511"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pPr>
            <w:r>
              <w:rPr>
                <w:rFonts w:hint="eastAsia"/>
              </w:rPr>
              <w:t>聂  刚</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新媒体中心副主任</w:t>
            </w:r>
          </w:p>
        </w:tc>
        <w:tc>
          <w:tcPr>
            <w:tcW w:w="1971" w:type="dxa"/>
          </w:tcPr>
          <w:p>
            <w:pPr>
              <w:spacing w:line="360" w:lineRule="auto"/>
            </w:pPr>
            <w:r>
              <w:rPr>
                <w:rFonts w:hint="eastAsia"/>
              </w:rPr>
              <w:t>高级工程师</w:t>
            </w:r>
          </w:p>
        </w:tc>
        <w:tc>
          <w:tcPr>
            <w:tcW w:w="1511" w:type="dxa"/>
          </w:tcPr>
          <w:p>
            <w:pPr>
              <w:spacing w:line="360" w:lineRule="auto"/>
            </w:pPr>
          </w:p>
        </w:tc>
      </w:tr>
    </w:tbl>
    <w:p>
      <w:pPr>
        <w:adjustRightInd w:val="0"/>
        <w:snapToGrid w:val="0"/>
        <w:spacing w:line="360" w:lineRule="auto"/>
        <w:ind w:firstLine="640" w:firstLineChars="200"/>
        <w:rPr>
          <w:rFonts w:ascii="仿宋_GB2312" w:eastAsia="仿宋_GB2312"/>
          <w:sz w:val="32"/>
          <w:szCs w:val="32"/>
        </w:rPr>
      </w:pPr>
    </w:p>
    <w:p>
      <w:pPr>
        <w:spacing w:line="360" w:lineRule="auto"/>
      </w:pPr>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Unicode MS">
    <w:panose1 w:val="020B0604020202020204"/>
    <w:charset w:val="86"/>
    <w:family w:val="swiss"/>
    <w:pitch w:val="default"/>
    <w:sig w:usb0="FFFFFFFF" w:usb1="E9FFFFFF" w:usb2="0000003F" w:usb3="00000000" w:csb0="603F01FF" w:csb1="FFFF0000"/>
  </w:font>
  <w:font w:name="仿宋_GB2312">
    <w:altName w:val="仿宋"/>
    <w:panose1 w:val="00000000000000000000"/>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10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- 2 -</w:t>
                          </w:r>
                          <w:r>
                            <w:rPr>
                              <w:rFonts w:hint="eastAsia"/>
                              <w:sz w:val="18"/>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102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IeT1rUBAABcAwAADgAAAGRycy9lMm9Eb2MueG1srVNLbtswEN0HyB0I&#10;7mPJBlIYguUgRZAiQNEGSHMAmiItAvxhSFvyBdobdNVN9jmXz9EhJdltuiuyoeb7Zt7MaHXTG032&#10;AoJytqbzWUmJsNw1ym5r+vzt/mpJSYjMNkw7K2p6EIHerC8vVp2vxMK1TjcCCILYUHW+pm2MviqK&#10;wFthWJg5Lyw6pQPDIqqwLRpgHaIbXSzK8kPROWg8OC5CQOvd4KTrjC+l4PGrlEFEomuKvcX8Qn43&#10;6S3WK1ZtgflW8bEN9h9dGKYsFj1B3bHIyA7UP1BGcXDByTjjzhROSsVF5oBs5uUbNk8t8yJzweEE&#10;fxpTeD9Y/mX/CEQ1uDtKLDO4ouPPH8dfr8eX72ReLq7ThDofKgx88hga+4+uT9GjPaAxEe8lmPRF&#10;SgT9OOvDab6ij4SnpOViuSzRxdE3KYhTnNM9hPhJOEOSUFPABea5sv3nEIfQKSRVs+5eaY12Vmn7&#10;lwExB4vIVzBmJyZDx0mK/aYfaWxcc0B2HV5CTS2eKiX6weKg09FMAkzCZhJ2HtS2zVeVqgd/u4vY&#10;Uu40VRhgkWFScIWZ63hu6Ub+1HPU+adY/wZ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DOqXm5zwAA&#10;AAUBAAAPAAAAAAAAAAEAIAAAACIAAABkcnMvZG93bnJldi54bWxQSwECFAAUAAAACACHTuJA1IeT&#10;1rUBAABcAwAADgAAAAAAAAABACAAAAAeAQAAZHJzL2Uyb0RvYy54bWxQSwUGAAAAAAYABgBZAQAA&#10;RQ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C45871F"/>
    <w:multiLevelType w:val="singleLevel"/>
    <w:tmpl w:val="CC45871F"/>
    <w:lvl w:ilvl="0" w:tentative="0">
      <w:start w:val="2"/>
      <w:numFmt w:val="decimal"/>
      <w:suff w:val="nothing"/>
      <w:lvlText w:val="%1、"/>
      <w:lvlJc w:val="left"/>
    </w:lvl>
  </w:abstractNum>
  <w:abstractNum w:abstractNumId="1">
    <w:nsid w:val="D11D247F"/>
    <w:multiLevelType w:val="singleLevel"/>
    <w:tmpl w:val="D11D247F"/>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285DDD"/>
    <w:rsid w:val="00B62361"/>
    <w:rsid w:val="00B768FF"/>
    <w:rsid w:val="00BC6D5F"/>
    <w:rsid w:val="00CE1E34"/>
    <w:rsid w:val="02B43A28"/>
    <w:rsid w:val="035F46B2"/>
    <w:rsid w:val="042D585E"/>
    <w:rsid w:val="078261C0"/>
    <w:rsid w:val="08240375"/>
    <w:rsid w:val="0C3548C4"/>
    <w:rsid w:val="0EB97A43"/>
    <w:rsid w:val="0EBD2122"/>
    <w:rsid w:val="10EC688D"/>
    <w:rsid w:val="11B71E6A"/>
    <w:rsid w:val="13223AF6"/>
    <w:rsid w:val="1A9A200D"/>
    <w:rsid w:val="1AAF0063"/>
    <w:rsid w:val="1BE140DE"/>
    <w:rsid w:val="1EB371AB"/>
    <w:rsid w:val="23A975B9"/>
    <w:rsid w:val="248C197D"/>
    <w:rsid w:val="252959AF"/>
    <w:rsid w:val="277A6671"/>
    <w:rsid w:val="32592D0D"/>
    <w:rsid w:val="33EB6CFF"/>
    <w:rsid w:val="35247C7D"/>
    <w:rsid w:val="3AAF4488"/>
    <w:rsid w:val="3B625C0A"/>
    <w:rsid w:val="3CEE1963"/>
    <w:rsid w:val="44B232E9"/>
    <w:rsid w:val="47916278"/>
    <w:rsid w:val="512260B4"/>
    <w:rsid w:val="55A7380D"/>
    <w:rsid w:val="66AF0CE5"/>
    <w:rsid w:val="6E5B14A6"/>
    <w:rsid w:val="781811BA"/>
    <w:rsid w:val="7B9E53B4"/>
    <w:rsid w:val="7BB51E06"/>
    <w:rsid w:val="7C387F7C"/>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7">
    <w:name w:val="font21"/>
    <w:basedOn w:val="6"/>
    <w:qFormat/>
    <w:uiPriority w:val="0"/>
    <w:rPr>
      <w:rFonts w:ascii="Calibri" w:hAnsi="Calibri" w:cs="Calibri"/>
      <w:color w:val="000000"/>
      <w:sz w:val="16"/>
      <w:szCs w:val="16"/>
      <w:u w:val="none"/>
    </w:rPr>
  </w:style>
  <w:style w:type="character" w:customStyle="1" w:styleId="8">
    <w:name w:val="font11"/>
    <w:basedOn w:val="6"/>
    <w:qFormat/>
    <w:uiPriority w:val="0"/>
    <w:rPr>
      <w:rFonts w:ascii="Arial Unicode MS" w:hAnsi="Arial Unicode MS" w:eastAsia="Arial Unicode MS" w:cs="Arial Unicode MS"/>
      <w:color w:val="000000"/>
      <w:sz w:val="16"/>
      <w:szCs w:val="16"/>
      <w:u w:val="none"/>
    </w:rPr>
  </w:style>
  <w:style w:type="character" w:customStyle="1" w:styleId="9">
    <w:name w:val="font41"/>
    <w:basedOn w:val="6"/>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583</Words>
  <Characters>3329</Characters>
  <Lines>27</Lines>
  <Paragraphs>7</Paragraphs>
  <TotalTime>9</TotalTime>
  <ScaleCrop>false</ScaleCrop>
  <LinksUpToDate>false</LinksUpToDate>
  <CharactersWithSpaces>3905</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2020-02-12T05:54:00Z</cp:lastPrinted>
  <dcterms:modified xsi:type="dcterms:W3CDTF">2020-06-05T07:52:32Z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