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rPr>
          <w:rFonts w:ascii="仿宋" w:hAnsi="仿宋" w:eastAsia="仿宋" w:cs="仿宋"/>
          <w:sz w:val="32"/>
          <w:szCs w:val="32"/>
        </w:rPr>
      </w:pPr>
    </w:p>
    <w:p>
      <w:pPr>
        <w:snapToGrid w:val="0"/>
        <w:spacing w:line="360" w:lineRule="auto"/>
        <w:rPr>
          <w:rFonts w:ascii="仿宋" w:hAnsi="仿宋" w:eastAsia="仿宋" w:cs="仿宋"/>
          <w:sz w:val="32"/>
          <w:szCs w:val="32"/>
        </w:rPr>
      </w:pPr>
    </w:p>
    <w:p>
      <w:pPr>
        <w:snapToGrid w:val="0"/>
        <w:spacing w:line="360" w:lineRule="auto"/>
        <w:rPr>
          <w:rFonts w:ascii="仿宋" w:hAnsi="仿宋" w:eastAsia="仿宋" w:cs="仿宋"/>
          <w:sz w:val="32"/>
          <w:szCs w:val="32"/>
        </w:rPr>
      </w:pPr>
    </w:p>
    <w:p>
      <w:pPr>
        <w:snapToGrid w:val="0"/>
        <w:spacing w:line="360" w:lineRule="auto"/>
        <w:jc w:val="center"/>
        <w:rPr>
          <w:rFonts w:hint="eastAsia" w:asciiTheme="majorEastAsia" w:hAnsiTheme="majorEastAsia" w:eastAsiaTheme="majorEastAsia" w:cstheme="majorEastAsia"/>
          <w:b/>
          <w:bCs/>
          <w:kern w:val="0"/>
          <w:sz w:val="44"/>
          <w:szCs w:val="44"/>
          <w:lang w:eastAsia="zh-CN"/>
        </w:rPr>
      </w:pPr>
      <w:r>
        <w:rPr>
          <w:rFonts w:hint="eastAsia" w:asciiTheme="majorEastAsia" w:hAnsiTheme="majorEastAsia" w:eastAsiaTheme="majorEastAsia" w:cstheme="majorEastAsia"/>
          <w:b/>
          <w:bCs/>
          <w:kern w:val="0"/>
          <w:sz w:val="44"/>
          <w:szCs w:val="44"/>
          <w:lang w:eastAsia="zh-CN"/>
        </w:rPr>
        <w:t>石家庄市地方金融监督管理局</w:t>
      </w:r>
    </w:p>
    <w:p>
      <w:pPr>
        <w:snapToGrid w:val="0"/>
        <w:spacing w:line="360" w:lineRule="auto"/>
        <w:jc w:val="center"/>
        <w:rPr>
          <w:rFonts w:hint="eastAsia" w:asciiTheme="majorEastAsia" w:hAnsiTheme="majorEastAsia" w:eastAsiaTheme="majorEastAsia" w:cstheme="majorEastAsia"/>
          <w:b/>
          <w:bCs/>
          <w:sz w:val="44"/>
          <w:szCs w:val="44"/>
        </w:rPr>
      </w:pPr>
      <w:r>
        <w:rPr>
          <w:rFonts w:hint="eastAsia" w:asciiTheme="majorEastAsia" w:hAnsiTheme="majorEastAsia" w:eastAsiaTheme="majorEastAsia" w:cstheme="majorEastAsia"/>
          <w:b/>
          <w:bCs/>
          <w:kern w:val="0"/>
          <w:sz w:val="44"/>
          <w:szCs w:val="44"/>
          <w:lang w:val="en-US" w:eastAsia="zh-CN"/>
        </w:rPr>
        <w:t>2019</w:t>
      </w:r>
      <w:r>
        <w:rPr>
          <w:rFonts w:hint="eastAsia" w:asciiTheme="majorEastAsia" w:hAnsiTheme="majorEastAsia" w:eastAsiaTheme="majorEastAsia" w:cstheme="majorEastAsia"/>
          <w:b/>
          <w:bCs/>
          <w:kern w:val="0"/>
          <w:sz w:val="44"/>
          <w:szCs w:val="44"/>
        </w:rPr>
        <w:t>年度</w:t>
      </w:r>
      <w:r>
        <w:rPr>
          <w:rFonts w:hint="eastAsia" w:asciiTheme="majorEastAsia" w:hAnsiTheme="majorEastAsia" w:eastAsiaTheme="majorEastAsia" w:cstheme="majorEastAsia"/>
          <w:b/>
          <w:bCs/>
          <w:sz w:val="44"/>
          <w:szCs w:val="44"/>
        </w:rPr>
        <w:t>绩效自评工作报告</w:t>
      </w:r>
    </w:p>
    <w:p>
      <w:pPr>
        <w:snapToGrid w:val="0"/>
        <w:spacing w:line="360" w:lineRule="auto"/>
        <w:jc w:val="center"/>
        <w:rPr>
          <w:rFonts w:hint="eastAsia" w:ascii="宋体" w:hAnsi="宋体" w:cs="宋体"/>
          <w:b/>
          <w:bCs/>
          <w:sz w:val="44"/>
          <w:szCs w:val="44"/>
        </w:rPr>
      </w:pPr>
    </w:p>
    <w:p>
      <w:pPr>
        <w:snapToGrid w:val="0"/>
        <w:spacing w:line="360" w:lineRule="auto"/>
        <w:ind w:firstLine="640" w:firstLineChars="200"/>
        <w:rPr>
          <w:rFonts w:ascii="仿宋" w:hAnsi="仿宋" w:eastAsia="仿宋" w:cs="仿宋"/>
          <w:b/>
          <w:sz w:val="32"/>
          <w:szCs w:val="32"/>
        </w:rPr>
      </w:pPr>
      <w:r>
        <w:rPr>
          <w:rFonts w:hint="eastAsia" w:ascii="仿宋" w:hAnsi="仿宋" w:eastAsia="仿宋" w:cs="仿宋"/>
          <w:sz w:val="32"/>
          <w:szCs w:val="32"/>
          <w:lang w:eastAsia="zh-CN"/>
        </w:rPr>
        <w:t>为全面推进绩效管理，加强预算绩效评价工作，提高财政资金使用效率和政府部门管理水平，</w:t>
      </w:r>
      <w:r>
        <w:rPr>
          <w:rFonts w:hint="eastAsia" w:ascii="仿宋" w:hAnsi="仿宋" w:eastAsia="仿宋" w:cs="仿宋"/>
          <w:sz w:val="32"/>
          <w:szCs w:val="32"/>
        </w:rPr>
        <w:t>根据石家庄市财政局</w:t>
      </w:r>
      <w:r>
        <w:rPr>
          <w:rFonts w:hint="eastAsia" w:ascii="仿宋" w:hAnsi="仿宋" w:eastAsia="仿宋" w:cs="仿宋"/>
          <w:sz w:val="32"/>
          <w:szCs w:val="32"/>
          <w:lang w:eastAsia="zh-CN"/>
        </w:rPr>
        <w:t>关于印发《石家庄市市级部门项目绩效自评管理办法》的通知（石财绩〔2020〕5号）、</w:t>
      </w:r>
      <w:r>
        <w:rPr>
          <w:rFonts w:ascii="仿宋" w:hAnsi="仿宋" w:eastAsia="仿宋" w:cs="仿宋"/>
          <w:sz w:val="32"/>
          <w:szCs w:val="32"/>
        </w:rPr>
        <w:t>《</w:t>
      </w:r>
      <w:r>
        <w:rPr>
          <w:rFonts w:hint="eastAsia" w:ascii="仿宋" w:hAnsi="仿宋" w:eastAsia="仿宋" w:cs="仿宋"/>
          <w:sz w:val="32"/>
          <w:szCs w:val="32"/>
        </w:rPr>
        <w:t>关于开展2019年度财政专项资金部门绩效自评工作的通知</w:t>
      </w:r>
      <w:r>
        <w:rPr>
          <w:rFonts w:ascii="仿宋" w:hAnsi="仿宋" w:eastAsia="仿宋" w:cs="仿宋"/>
          <w:sz w:val="32"/>
          <w:szCs w:val="32"/>
        </w:rPr>
        <w:t>》</w:t>
      </w:r>
      <w:r>
        <w:rPr>
          <w:rFonts w:hint="eastAsia" w:ascii="仿宋" w:hAnsi="仿宋" w:eastAsia="仿宋" w:cs="仿宋"/>
          <w:sz w:val="32"/>
          <w:szCs w:val="32"/>
        </w:rPr>
        <w:t>（石</w:t>
      </w:r>
      <w:r>
        <w:rPr>
          <w:rFonts w:ascii="仿宋" w:hAnsi="仿宋" w:eastAsia="仿宋" w:cs="仿宋"/>
          <w:sz w:val="32"/>
          <w:szCs w:val="32"/>
        </w:rPr>
        <w:t>财监6</w:t>
      </w:r>
      <w:r>
        <w:rPr>
          <w:rFonts w:hint="eastAsia" w:ascii="仿宋" w:hAnsi="仿宋" w:eastAsia="仿宋" w:cs="仿宋"/>
          <w:sz w:val="32"/>
          <w:szCs w:val="32"/>
        </w:rPr>
        <w:t>号）</w:t>
      </w:r>
      <w:r>
        <w:rPr>
          <w:rFonts w:hint="eastAsia" w:ascii="仿宋" w:hAnsi="仿宋" w:eastAsia="仿宋" w:cs="仿宋"/>
          <w:sz w:val="32"/>
          <w:szCs w:val="32"/>
          <w:lang w:eastAsia="zh-CN"/>
        </w:rPr>
        <w:t>文件精神</w:t>
      </w:r>
      <w:r>
        <w:rPr>
          <w:rFonts w:hint="eastAsia" w:ascii="仿宋" w:hAnsi="仿宋" w:eastAsia="仿宋" w:cs="仿宋"/>
          <w:sz w:val="32"/>
          <w:szCs w:val="32"/>
        </w:rPr>
        <w:t>，</w:t>
      </w:r>
      <w:r>
        <w:rPr>
          <w:rFonts w:hint="eastAsia" w:ascii="仿宋" w:hAnsi="仿宋" w:eastAsia="仿宋" w:cs="仿宋"/>
          <w:sz w:val="32"/>
          <w:szCs w:val="32"/>
          <w:lang w:eastAsia="zh-CN"/>
        </w:rPr>
        <w:t>我局对</w:t>
      </w:r>
      <w:r>
        <w:rPr>
          <w:rFonts w:hint="eastAsia" w:ascii="仿宋" w:hAnsi="仿宋" w:eastAsia="仿宋" w:cs="仿宋"/>
          <w:sz w:val="32"/>
          <w:szCs w:val="32"/>
          <w:lang w:val="en-US" w:eastAsia="zh-CN"/>
        </w:rPr>
        <w:t>2019年度财政专项资金支出绩效开展自评，现将评价工作报告如下</w:t>
      </w:r>
      <w:r>
        <w:rPr>
          <w:rFonts w:hint="eastAsia" w:ascii="仿宋" w:hAnsi="仿宋" w:eastAsia="仿宋" w:cs="仿宋"/>
          <w:sz w:val="32"/>
          <w:szCs w:val="32"/>
        </w:rPr>
        <w:t>。</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一、绩效自评工作组织开展情况</w:t>
      </w:r>
    </w:p>
    <w:p>
      <w:pPr>
        <w:snapToGrid w:val="0"/>
        <w:spacing w:line="360" w:lineRule="auto"/>
        <w:ind w:firstLine="640"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（一）自评的组织工作</w:t>
      </w:r>
    </w:p>
    <w:p>
      <w:pPr>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我局</w:t>
      </w:r>
      <w:r>
        <w:rPr>
          <w:rFonts w:hint="eastAsia" w:ascii="仿宋" w:hAnsi="仿宋" w:eastAsia="仿宋" w:cs="仿宋"/>
          <w:sz w:val="32"/>
          <w:szCs w:val="32"/>
          <w:lang w:eastAsia="zh-CN"/>
        </w:rPr>
        <w:t>高度重视绩效自评工作，成立了由分管副局长任组长，局办公室及各业务处为成员的工作小组，并委托河北华诚会计师事务所配合我局对</w:t>
      </w:r>
      <w:r>
        <w:rPr>
          <w:rFonts w:ascii="仿宋" w:hAnsi="仿宋" w:eastAsia="仿宋" w:cs="仿宋"/>
          <w:sz w:val="32"/>
          <w:szCs w:val="32"/>
        </w:rPr>
        <w:t>201</w:t>
      </w:r>
      <w:r>
        <w:rPr>
          <w:rFonts w:hint="eastAsia" w:ascii="仿宋" w:hAnsi="仿宋" w:eastAsia="仿宋" w:cs="仿宋"/>
          <w:sz w:val="32"/>
          <w:szCs w:val="32"/>
          <w:lang w:val="en-US" w:eastAsia="zh-CN"/>
        </w:rPr>
        <w:t>9年度工作成效进行检查核实，扎实开展自评工作。</w:t>
      </w:r>
    </w:p>
    <w:p>
      <w:pPr>
        <w:snapToGrid w:val="0"/>
        <w:spacing w:line="360" w:lineRule="auto"/>
        <w:ind w:firstLine="640"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（二）实施过程</w:t>
      </w:r>
    </w:p>
    <w:p>
      <w:pPr>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eastAsia="zh-CN"/>
        </w:rPr>
        <w:t>本次绩效评价工作</w:t>
      </w:r>
      <w:r>
        <w:rPr>
          <w:rFonts w:hint="eastAsia" w:ascii="仿宋" w:hAnsi="仿宋" w:eastAsia="仿宋" w:cs="仿宋"/>
          <w:sz w:val="32"/>
          <w:szCs w:val="32"/>
          <w:lang w:val="en-US" w:eastAsia="zh-CN"/>
        </w:rPr>
        <w:t>由办公室按照既定的绩效目标和绩效评价指标体系，通过查阅支出明细、查看工作成效等方式，对2019年度专项资金支出进行了全方位的自查和自评打分，有效确保了绩效自评结果的真实性、及时性。</w:t>
      </w:r>
    </w:p>
    <w:p>
      <w:pPr>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1、前期准备</w:t>
      </w:r>
    </w:p>
    <w:p>
      <w:pPr>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按照绩效评价工作要求，明确绩效评价的内容和范围，初步制定绩效评价工作方案。对各预算项目单独进行打分自评，在资料搜集、信息核实、访谈沟通等工作的基础上，挖掘绩效数据，拟定项目产出、项目执行、项目效益等指标体系，准确地计量和评判各项目实施后产生的经济效益、生态效益、社会效益和可持续影响，最终形成评价结论。各项目自评工作为实施全局年度绩效评价工作奠定了基础。</w:t>
      </w:r>
    </w:p>
    <w:p>
      <w:pPr>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2、组织实施</w:t>
      </w:r>
    </w:p>
    <w:p>
      <w:pPr>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评价工作小组对年度绩效的相关资料进行收集、梳理。通过分析、核实，确保所收集的数据和资料真实、可靠。</w:t>
      </w:r>
    </w:p>
    <w:p>
      <w:pPr>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3、撰写绩效评价报告</w:t>
      </w:r>
    </w:p>
    <w:p>
      <w:pPr>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小组成员在对收集的数据、资料进行核对、比较、计算的基础上，对比年度绩效目标，形成评价结论；根据评价论，撰写绩效评价报告，并形成绩效评价档案。</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二、绩效目标实现情况</w:t>
      </w:r>
    </w:p>
    <w:p>
      <w:pPr>
        <w:snapToGrid w:val="0"/>
        <w:spacing w:line="360" w:lineRule="auto"/>
        <w:ind w:firstLine="640"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（一）年度总体目标</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2019年</w:t>
      </w:r>
      <w:r>
        <w:rPr>
          <w:rFonts w:hint="eastAsia" w:ascii="仿宋" w:hAnsi="仿宋" w:eastAsia="仿宋" w:cs="仿宋"/>
          <w:sz w:val="32"/>
          <w:szCs w:val="32"/>
          <w:lang w:val="en-US" w:eastAsia="zh-CN"/>
        </w:rPr>
        <w:t>,我局</w:t>
      </w:r>
      <w:r>
        <w:rPr>
          <w:rFonts w:hint="eastAsia" w:ascii="仿宋" w:hAnsi="仿宋" w:eastAsia="仿宋" w:cs="仿宋"/>
          <w:sz w:val="32"/>
          <w:szCs w:val="32"/>
        </w:rPr>
        <w:t>总体目标为全面贯彻落实党的十九大和省市关于金融工作的安排部署，紧紧</w:t>
      </w:r>
      <w:r>
        <w:rPr>
          <w:rFonts w:hint="eastAsia" w:ascii="仿宋" w:hAnsi="仿宋" w:eastAsia="仿宋" w:cs="仿宋"/>
          <w:sz w:val="32"/>
          <w:szCs w:val="32"/>
          <w:lang w:eastAsia="zh-CN"/>
        </w:rPr>
        <w:t>围绕</w:t>
      </w:r>
      <w:r>
        <w:rPr>
          <w:rFonts w:hint="eastAsia" w:ascii="仿宋" w:hAnsi="仿宋" w:eastAsia="仿宋" w:cs="仿宋"/>
          <w:sz w:val="32"/>
          <w:szCs w:val="32"/>
        </w:rPr>
        <w:t>市委、市政府</w:t>
      </w:r>
      <w:r>
        <w:rPr>
          <w:rFonts w:hint="eastAsia" w:ascii="仿宋" w:hAnsi="仿宋" w:eastAsia="仿宋" w:cs="仿宋"/>
          <w:sz w:val="32"/>
          <w:szCs w:val="32"/>
          <w:lang w:eastAsia="zh-CN"/>
        </w:rPr>
        <w:t>中心工作</w:t>
      </w:r>
      <w:r>
        <w:rPr>
          <w:rFonts w:hint="eastAsia" w:ascii="仿宋" w:hAnsi="仿宋" w:eastAsia="仿宋" w:cs="仿宋"/>
          <w:sz w:val="32"/>
          <w:szCs w:val="32"/>
        </w:rPr>
        <w:t>，以建设京津冀区域性金融中心为主线，主动融入“4+4”产业发展，统筹做好服务实体经济、深化金融改革、防控金融风险三篇大文章，推动省会金融业高质量发展，为建设现代省会、经济强市提供有力有效的金融支撑。</w:t>
      </w:r>
    </w:p>
    <w:p>
      <w:pPr>
        <w:snapToGrid w:val="0"/>
        <w:spacing w:line="360" w:lineRule="auto"/>
        <w:ind w:firstLine="640"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（二）预算执行情况</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lang w:eastAsia="zh-CN"/>
        </w:rPr>
        <w:t>年初</w:t>
      </w:r>
      <w:r>
        <w:rPr>
          <w:rFonts w:hint="eastAsia" w:ascii="仿宋" w:hAnsi="仿宋" w:eastAsia="仿宋" w:cs="仿宋"/>
          <w:sz w:val="32"/>
          <w:szCs w:val="32"/>
        </w:rPr>
        <w:t>项目</w:t>
      </w:r>
      <w:r>
        <w:rPr>
          <w:rFonts w:ascii="仿宋" w:hAnsi="仿宋" w:eastAsia="仿宋" w:cs="仿宋"/>
          <w:sz w:val="32"/>
          <w:szCs w:val="32"/>
        </w:rPr>
        <w:t>支出</w:t>
      </w:r>
      <w:r>
        <w:rPr>
          <w:rFonts w:hint="eastAsia" w:ascii="仿宋" w:hAnsi="仿宋" w:eastAsia="仿宋" w:cs="仿宋"/>
          <w:sz w:val="32"/>
          <w:szCs w:val="32"/>
        </w:rPr>
        <w:t>预算2</w:t>
      </w:r>
      <w:r>
        <w:rPr>
          <w:rFonts w:ascii="仿宋" w:hAnsi="仿宋" w:eastAsia="仿宋" w:cs="仿宋"/>
          <w:sz w:val="32"/>
          <w:szCs w:val="32"/>
        </w:rPr>
        <w:t>,</w:t>
      </w:r>
      <w:r>
        <w:rPr>
          <w:rFonts w:hint="eastAsia" w:ascii="仿宋" w:hAnsi="仿宋" w:eastAsia="仿宋" w:cs="仿宋"/>
          <w:sz w:val="32"/>
          <w:szCs w:val="32"/>
        </w:rPr>
        <w:t>543.33万元</w:t>
      </w:r>
      <w:r>
        <w:rPr>
          <w:rFonts w:hint="eastAsia" w:ascii="仿宋" w:hAnsi="仿宋" w:eastAsia="仿宋" w:cs="仿宋"/>
          <w:sz w:val="32"/>
          <w:szCs w:val="32"/>
          <w:lang w:eastAsia="zh-CN"/>
        </w:rPr>
        <w:t>。其中</w:t>
      </w:r>
      <w:r>
        <w:rPr>
          <w:rFonts w:ascii="仿宋" w:hAnsi="仿宋" w:eastAsia="仿宋" w:cs="仿宋"/>
          <w:sz w:val="32"/>
          <w:szCs w:val="32"/>
        </w:rPr>
        <w:t>，</w:t>
      </w:r>
      <w:r>
        <w:rPr>
          <w:rFonts w:hint="eastAsia" w:ascii="仿宋" w:hAnsi="仿宋" w:eastAsia="仿宋" w:cs="仿宋"/>
          <w:sz w:val="32"/>
          <w:szCs w:val="32"/>
        </w:rPr>
        <w:t>专项</w:t>
      </w:r>
      <w:r>
        <w:rPr>
          <w:rFonts w:ascii="仿宋" w:hAnsi="仿宋" w:eastAsia="仿宋" w:cs="仿宋"/>
          <w:sz w:val="32"/>
          <w:szCs w:val="32"/>
        </w:rPr>
        <w:t>公用支出预算</w:t>
      </w:r>
      <w:r>
        <w:rPr>
          <w:rFonts w:hint="eastAsia" w:ascii="仿宋" w:hAnsi="仿宋" w:eastAsia="仿宋" w:cs="仿宋"/>
          <w:sz w:val="32"/>
          <w:szCs w:val="32"/>
        </w:rPr>
        <w:t>34.61万元</w:t>
      </w:r>
      <w:r>
        <w:rPr>
          <w:rFonts w:ascii="仿宋" w:hAnsi="仿宋" w:eastAsia="仿宋" w:cs="仿宋"/>
          <w:sz w:val="32"/>
          <w:szCs w:val="32"/>
        </w:rPr>
        <w:t>，</w:t>
      </w:r>
      <w:r>
        <w:rPr>
          <w:rFonts w:hint="eastAsia" w:ascii="仿宋" w:hAnsi="仿宋" w:eastAsia="仿宋" w:cs="仿宋"/>
          <w:sz w:val="32"/>
          <w:szCs w:val="32"/>
        </w:rPr>
        <w:t>专项</w:t>
      </w:r>
      <w:r>
        <w:rPr>
          <w:rFonts w:ascii="仿宋" w:hAnsi="仿宋" w:eastAsia="仿宋" w:cs="仿宋"/>
          <w:sz w:val="32"/>
          <w:szCs w:val="32"/>
        </w:rPr>
        <w:t>项目支出预算</w:t>
      </w:r>
      <w:r>
        <w:rPr>
          <w:rFonts w:hint="eastAsia" w:ascii="仿宋" w:hAnsi="仿宋" w:eastAsia="仿宋" w:cs="仿宋"/>
          <w:sz w:val="32"/>
          <w:szCs w:val="32"/>
        </w:rPr>
        <w:t>2</w:t>
      </w:r>
      <w:r>
        <w:rPr>
          <w:rFonts w:ascii="仿宋" w:hAnsi="仿宋" w:eastAsia="仿宋" w:cs="仿宋"/>
          <w:sz w:val="32"/>
          <w:szCs w:val="32"/>
        </w:rPr>
        <w:t>,</w:t>
      </w:r>
      <w:r>
        <w:rPr>
          <w:rFonts w:hint="eastAsia" w:ascii="仿宋" w:hAnsi="仿宋" w:eastAsia="仿宋" w:cs="仿宋"/>
          <w:sz w:val="32"/>
          <w:szCs w:val="32"/>
        </w:rPr>
        <w:t>508.72万元</w:t>
      </w:r>
      <w:r>
        <w:rPr>
          <w:rFonts w:ascii="仿宋" w:hAnsi="仿宋" w:eastAsia="仿宋" w:cs="仿宋"/>
          <w:sz w:val="32"/>
          <w:szCs w:val="32"/>
        </w:rPr>
        <w:t>。</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专项</w:t>
      </w:r>
      <w:r>
        <w:rPr>
          <w:rFonts w:ascii="仿宋" w:hAnsi="仿宋" w:eastAsia="仿宋" w:cs="仿宋"/>
          <w:sz w:val="32"/>
          <w:szCs w:val="32"/>
        </w:rPr>
        <w:t>公用支出情况</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2019年</w:t>
      </w:r>
      <w:r>
        <w:rPr>
          <w:rFonts w:ascii="仿宋" w:hAnsi="仿宋" w:eastAsia="仿宋" w:cs="仿宋"/>
          <w:sz w:val="32"/>
          <w:szCs w:val="32"/>
        </w:rPr>
        <w:t>，我局</w:t>
      </w:r>
      <w:r>
        <w:rPr>
          <w:rFonts w:hint="eastAsia" w:ascii="仿宋" w:hAnsi="仿宋" w:eastAsia="仿宋" w:cs="仿宋"/>
          <w:sz w:val="32"/>
          <w:szCs w:val="32"/>
        </w:rPr>
        <w:t>专项</w:t>
      </w:r>
      <w:r>
        <w:rPr>
          <w:rFonts w:ascii="仿宋" w:hAnsi="仿宋" w:eastAsia="仿宋" w:cs="仿宋"/>
          <w:sz w:val="32"/>
          <w:szCs w:val="32"/>
        </w:rPr>
        <w:t>公用</w:t>
      </w:r>
      <w:r>
        <w:rPr>
          <w:rFonts w:hint="eastAsia" w:ascii="仿宋" w:hAnsi="仿宋" w:eastAsia="仿宋" w:cs="仿宋"/>
          <w:sz w:val="32"/>
          <w:szCs w:val="32"/>
        </w:rPr>
        <w:t>支出</w:t>
      </w:r>
      <w:r>
        <w:rPr>
          <w:rFonts w:ascii="仿宋" w:hAnsi="仿宋" w:eastAsia="仿宋" w:cs="仿宋"/>
          <w:sz w:val="32"/>
          <w:szCs w:val="32"/>
        </w:rPr>
        <w:t>预算</w:t>
      </w:r>
      <w:r>
        <w:rPr>
          <w:rFonts w:hint="eastAsia" w:ascii="仿宋" w:hAnsi="仿宋" w:eastAsia="仿宋" w:cs="仿宋"/>
          <w:sz w:val="32"/>
          <w:szCs w:val="32"/>
        </w:rPr>
        <w:t>34.61万元</w:t>
      </w:r>
      <w:r>
        <w:rPr>
          <w:rFonts w:ascii="仿宋" w:hAnsi="仿宋" w:eastAsia="仿宋" w:cs="仿宋"/>
          <w:sz w:val="32"/>
          <w:szCs w:val="32"/>
        </w:rPr>
        <w:t>，</w:t>
      </w:r>
      <w:r>
        <w:rPr>
          <w:rFonts w:hint="eastAsia" w:ascii="仿宋" w:hAnsi="仿宋" w:eastAsia="仿宋" w:cs="仿宋"/>
          <w:sz w:val="32"/>
          <w:szCs w:val="32"/>
        </w:rPr>
        <w:t>在</w:t>
      </w:r>
      <w:r>
        <w:rPr>
          <w:rFonts w:ascii="仿宋" w:hAnsi="仿宋" w:eastAsia="仿宋" w:cs="仿宋"/>
          <w:sz w:val="32"/>
          <w:szCs w:val="32"/>
        </w:rPr>
        <w:t>业务</w:t>
      </w:r>
      <w:r>
        <w:rPr>
          <w:rFonts w:hint="eastAsia" w:ascii="仿宋" w:hAnsi="仿宋" w:eastAsia="仿宋" w:cs="仿宋"/>
          <w:sz w:val="32"/>
          <w:szCs w:val="32"/>
        </w:rPr>
        <w:t>咨询委托费、业务培训费、文件资料印刷费、党组织活动经费、工作场地租用费、办公设备购置等支出预算</w:t>
      </w:r>
      <w:r>
        <w:rPr>
          <w:rFonts w:ascii="仿宋" w:hAnsi="仿宋" w:eastAsia="仿宋" w:cs="仿宋"/>
          <w:sz w:val="32"/>
          <w:szCs w:val="32"/>
        </w:rPr>
        <w:t>方面设置</w:t>
      </w:r>
      <w:r>
        <w:rPr>
          <w:rFonts w:hint="eastAsia" w:ascii="仿宋" w:hAnsi="仿宋" w:eastAsia="仿宋" w:cs="仿宋"/>
          <w:sz w:val="32"/>
          <w:szCs w:val="32"/>
        </w:rPr>
        <w:t>产出</w:t>
      </w:r>
      <w:r>
        <w:rPr>
          <w:rFonts w:ascii="仿宋" w:hAnsi="仿宋" w:eastAsia="仿宋" w:cs="仿宋"/>
          <w:sz w:val="32"/>
          <w:szCs w:val="32"/>
        </w:rPr>
        <w:t>指标、</w:t>
      </w:r>
      <w:r>
        <w:rPr>
          <w:rFonts w:hint="eastAsia" w:ascii="仿宋" w:hAnsi="仿宋" w:eastAsia="仿宋" w:cs="仿宋"/>
          <w:sz w:val="32"/>
          <w:szCs w:val="32"/>
        </w:rPr>
        <w:t>效益</w:t>
      </w:r>
      <w:r>
        <w:rPr>
          <w:rFonts w:ascii="仿宋" w:hAnsi="仿宋" w:eastAsia="仿宋" w:cs="仿宋"/>
          <w:sz w:val="32"/>
          <w:szCs w:val="32"/>
        </w:rPr>
        <w:t>指标、</w:t>
      </w:r>
      <w:r>
        <w:rPr>
          <w:rFonts w:hint="eastAsia" w:ascii="仿宋" w:hAnsi="仿宋" w:eastAsia="仿宋" w:cs="仿宋"/>
          <w:sz w:val="32"/>
          <w:szCs w:val="32"/>
        </w:rPr>
        <w:t>预算</w:t>
      </w:r>
      <w:r>
        <w:rPr>
          <w:rFonts w:ascii="仿宋" w:hAnsi="仿宋" w:eastAsia="仿宋" w:cs="仿宋"/>
          <w:sz w:val="32"/>
          <w:szCs w:val="32"/>
        </w:rPr>
        <w:t>执行率指标、满意度指标等，</w:t>
      </w:r>
      <w:r>
        <w:rPr>
          <w:rFonts w:hint="eastAsia" w:ascii="仿宋" w:hAnsi="仿宋" w:eastAsia="仿宋" w:cs="仿宋"/>
          <w:sz w:val="32"/>
          <w:szCs w:val="32"/>
        </w:rPr>
        <w:t>预算</w:t>
      </w:r>
      <w:r>
        <w:rPr>
          <w:rFonts w:ascii="仿宋" w:hAnsi="仿宋" w:eastAsia="仿宋" w:cs="仿宋"/>
          <w:sz w:val="32"/>
          <w:szCs w:val="32"/>
        </w:rPr>
        <w:t>资金执行</w:t>
      </w:r>
      <w:r>
        <w:rPr>
          <w:rFonts w:hint="eastAsia" w:ascii="仿宋" w:hAnsi="仿宋" w:eastAsia="仿宋" w:cs="仿宋"/>
          <w:sz w:val="32"/>
          <w:szCs w:val="32"/>
        </w:rPr>
        <w:t>12.9万元</w:t>
      </w:r>
      <w:r>
        <w:rPr>
          <w:rFonts w:ascii="仿宋" w:hAnsi="仿宋" w:eastAsia="仿宋" w:cs="仿宋"/>
          <w:sz w:val="32"/>
          <w:szCs w:val="32"/>
        </w:rPr>
        <w:t>，执行率为</w:t>
      </w:r>
      <w:r>
        <w:rPr>
          <w:rFonts w:hint="eastAsia" w:ascii="仿宋" w:hAnsi="仿宋" w:eastAsia="仿宋" w:cs="仿宋"/>
          <w:sz w:val="32"/>
          <w:szCs w:val="32"/>
        </w:rPr>
        <w:t>37.27</w:t>
      </w:r>
      <w:r>
        <w:rPr>
          <w:rFonts w:ascii="仿宋" w:hAnsi="仿宋" w:eastAsia="仿宋" w:cs="仿宋"/>
          <w:sz w:val="32"/>
          <w:szCs w:val="32"/>
        </w:rPr>
        <w:t>%，</w:t>
      </w:r>
      <w:r>
        <w:rPr>
          <w:rFonts w:hint="eastAsia" w:ascii="仿宋" w:hAnsi="仿宋" w:eastAsia="仿宋" w:cs="仿宋"/>
          <w:sz w:val="32"/>
          <w:szCs w:val="32"/>
        </w:rPr>
        <w:t>虽然</w:t>
      </w:r>
      <w:r>
        <w:rPr>
          <w:rFonts w:ascii="仿宋" w:hAnsi="仿宋" w:eastAsia="仿宋" w:cs="仿宋"/>
          <w:sz w:val="32"/>
          <w:szCs w:val="32"/>
        </w:rPr>
        <w:t>专项公用预算有一定程度的节约，</w:t>
      </w:r>
      <w:r>
        <w:rPr>
          <w:rFonts w:hint="eastAsia" w:ascii="仿宋" w:hAnsi="仿宋" w:eastAsia="仿宋" w:cs="仿宋"/>
          <w:sz w:val="32"/>
          <w:szCs w:val="32"/>
        </w:rPr>
        <w:t>但在</w:t>
      </w:r>
      <w:r>
        <w:rPr>
          <w:rFonts w:ascii="仿宋" w:hAnsi="仿宋" w:eastAsia="仿宋" w:cs="仿宋"/>
          <w:sz w:val="32"/>
          <w:szCs w:val="32"/>
        </w:rPr>
        <w:t>业务</w:t>
      </w:r>
      <w:r>
        <w:rPr>
          <w:rFonts w:hint="eastAsia" w:ascii="仿宋" w:hAnsi="仿宋" w:eastAsia="仿宋" w:cs="仿宋"/>
          <w:sz w:val="32"/>
          <w:szCs w:val="32"/>
        </w:rPr>
        <w:t>咨询委托和业务培训的</w:t>
      </w:r>
      <w:r>
        <w:rPr>
          <w:rFonts w:ascii="仿宋" w:hAnsi="仿宋" w:eastAsia="仿宋" w:cs="仿宋"/>
          <w:sz w:val="32"/>
          <w:szCs w:val="32"/>
        </w:rPr>
        <w:t>工作</w:t>
      </w:r>
      <w:r>
        <w:rPr>
          <w:rFonts w:hint="eastAsia" w:ascii="仿宋" w:hAnsi="仿宋" w:eastAsia="仿宋" w:cs="仿宋"/>
          <w:sz w:val="32"/>
          <w:szCs w:val="32"/>
        </w:rPr>
        <w:t>方面</w:t>
      </w:r>
      <w:r>
        <w:rPr>
          <w:rFonts w:ascii="仿宋" w:hAnsi="仿宋" w:eastAsia="仿宋" w:cs="仿宋"/>
          <w:sz w:val="32"/>
          <w:szCs w:val="32"/>
        </w:rPr>
        <w:t>还存在一定的</w:t>
      </w:r>
      <w:r>
        <w:rPr>
          <w:rFonts w:hint="eastAsia" w:ascii="仿宋" w:hAnsi="仿宋" w:eastAsia="仿宋" w:cs="仿宋"/>
          <w:sz w:val="32"/>
          <w:szCs w:val="32"/>
        </w:rPr>
        <w:t>差距</w:t>
      </w:r>
      <w:r>
        <w:rPr>
          <w:rFonts w:ascii="仿宋" w:hAnsi="仿宋" w:eastAsia="仿宋" w:cs="仿宋"/>
          <w:sz w:val="32"/>
          <w:szCs w:val="32"/>
        </w:rPr>
        <w:t>。</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专项</w:t>
      </w:r>
      <w:r>
        <w:rPr>
          <w:rFonts w:ascii="仿宋" w:hAnsi="仿宋" w:eastAsia="仿宋" w:cs="仿宋"/>
          <w:sz w:val="32"/>
          <w:szCs w:val="32"/>
        </w:rPr>
        <w:t>项目支出情况</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2019年</w:t>
      </w:r>
      <w:r>
        <w:rPr>
          <w:rFonts w:ascii="仿宋" w:hAnsi="仿宋" w:eastAsia="仿宋" w:cs="仿宋"/>
          <w:sz w:val="32"/>
          <w:szCs w:val="32"/>
        </w:rPr>
        <w:t>，我局</w:t>
      </w:r>
      <w:r>
        <w:rPr>
          <w:rFonts w:hint="eastAsia" w:ascii="仿宋" w:hAnsi="仿宋" w:eastAsia="仿宋" w:cs="仿宋"/>
          <w:sz w:val="32"/>
          <w:szCs w:val="32"/>
        </w:rPr>
        <w:t>专项项目支出</w:t>
      </w:r>
      <w:r>
        <w:rPr>
          <w:rFonts w:ascii="仿宋" w:hAnsi="仿宋" w:eastAsia="仿宋" w:cs="仿宋"/>
          <w:sz w:val="32"/>
          <w:szCs w:val="32"/>
        </w:rPr>
        <w:t>预算</w:t>
      </w:r>
      <w:r>
        <w:rPr>
          <w:rFonts w:hint="eastAsia" w:ascii="仿宋" w:hAnsi="仿宋" w:eastAsia="仿宋" w:cs="仿宋"/>
          <w:sz w:val="32"/>
          <w:szCs w:val="32"/>
        </w:rPr>
        <w:t>2</w:t>
      </w:r>
      <w:r>
        <w:rPr>
          <w:rFonts w:ascii="仿宋" w:hAnsi="仿宋" w:eastAsia="仿宋" w:cs="仿宋"/>
          <w:sz w:val="32"/>
          <w:szCs w:val="32"/>
        </w:rPr>
        <w:t>,</w:t>
      </w:r>
      <w:r>
        <w:rPr>
          <w:rFonts w:hint="eastAsia" w:ascii="仿宋" w:hAnsi="仿宋" w:eastAsia="仿宋" w:cs="仿宋"/>
          <w:sz w:val="32"/>
          <w:szCs w:val="32"/>
        </w:rPr>
        <w:t>508.72万元。</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落实金融政策</w:t>
      </w:r>
      <w:r>
        <w:rPr>
          <w:rFonts w:hint="eastAsia" w:ascii="仿宋" w:hAnsi="仿宋" w:eastAsia="仿宋" w:cs="仿宋"/>
          <w:sz w:val="32"/>
          <w:szCs w:val="32"/>
        </w:rPr>
        <w:t>预算2</w:t>
      </w:r>
      <w:r>
        <w:rPr>
          <w:rFonts w:ascii="仿宋" w:hAnsi="仿宋" w:eastAsia="仿宋" w:cs="仿宋"/>
          <w:sz w:val="32"/>
          <w:szCs w:val="32"/>
        </w:rPr>
        <w:t>,</w:t>
      </w:r>
      <w:r>
        <w:rPr>
          <w:rFonts w:hint="eastAsia" w:ascii="仿宋" w:hAnsi="仿宋" w:eastAsia="仿宋" w:cs="仿宋"/>
          <w:sz w:val="32"/>
          <w:szCs w:val="32"/>
        </w:rPr>
        <w:t>135万元</w:t>
      </w:r>
      <w:r>
        <w:rPr>
          <w:rFonts w:ascii="仿宋" w:hAnsi="仿宋" w:eastAsia="仿宋" w:cs="仿宋"/>
          <w:sz w:val="32"/>
          <w:szCs w:val="32"/>
        </w:rPr>
        <w:t>。</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（1）银企对接活动预算45万元</w:t>
      </w:r>
      <w:r>
        <w:rPr>
          <w:rFonts w:ascii="仿宋" w:hAnsi="仿宋" w:eastAsia="仿宋" w:cs="仿宋"/>
          <w:sz w:val="32"/>
          <w:szCs w:val="32"/>
        </w:rPr>
        <w:t>，</w:t>
      </w:r>
      <w:r>
        <w:rPr>
          <w:rFonts w:hint="eastAsia" w:ascii="仿宋" w:hAnsi="仿宋" w:eastAsia="仿宋" w:cs="仿宋"/>
          <w:sz w:val="32"/>
          <w:szCs w:val="32"/>
        </w:rPr>
        <w:t>主要</w:t>
      </w:r>
      <w:r>
        <w:rPr>
          <w:rFonts w:ascii="仿宋" w:hAnsi="仿宋" w:eastAsia="仿宋" w:cs="仿宋"/>
          <w:sz w:val="32"/>
          <w:szCs w:val="32"/>
        </w:rPr>
        <w:t>为</w:t>
      </w:r>
      <w:r>
        <w:rPr>
          <w:rFonts w:hint="eastAsia" w:ascii="仿宋" w:hAnsi="仿宋" w:eastAsia="仿宋" w:cs="仿宋"/>
          <w:sz w:val="32"/>
          <w:szCs w:val="32"/>
        </w:rPr>
        <w:t>组织银企对接活动，搭建银企对接平台，做好金融博览会。2</w:t>
      </w:r>
      <w:r>
        <w:rPr>
          <w:rFonts w:ascii="仿宋" w:hAnsi="仿宋" w:eastAsia="仿宋" w:cs="仿宋"/>
          <w:sz w:val="32"/>
          <w:szCs w:val="32"/>
        </w:rPr>
        <w:t>019</w:t>
      </w:r>
      <w:r>
        <w:rPr>
          <w:rFonts w:hint="eastAsia" w:ascii="仿宋" w:hAnsi="仿宋" w:eastAsia="仿宋" w:cs="仿宋"/>
          <w:sz w:val="32"/>
          <w:szCs w:val="32"/>
        </w:rPr>
        <w:t>年度，根据年度工作重点，我局不定期组织银企对接会，实现企业需求与金融资源有效对接，</w:t>
      </w:r>
      <w:r>
        <w:rPr>
          <w:rFonts w:ascii="仿宋" w:hAnsi="仿宋" w:eastAsia="仿宋" w:cs="仿宋"/>
          <w:sz w:val="32"/>
          <w:szCs w:val="32"/>
        </w:rPr>
        <w:t>执行</w:t>
      </w:r>
      <w:r>
        <w:rPr>
          <w:rFonts w:hint="eastAsia" w:ascii="仿宋" w:hAnsi="仿宋" w:eastAsia="仿宋" w:cs="仿宋"/>
          <w:sz w:val="32"/>
          <w:szCs w:val="32"/>
        </w:rPr>
        <w:t>45万元</w:t>
      </w:r>
      <w:r>
        <w:rPr>
          <w:rFonts w:ascii="仿宋" w:hAnsi="仿宋" w:eastAsia="仿宋" w:cs="仿宋"/>
          <w:sz w:val="32"/>
          <w:szCs w:val="32"/>
        </w:rPr>
        <w:t>，</w:t>
      </w:r>
      <w:r>
        <w:rPr>
          <w:rFonts w:hint="eastAsia" w:ascii="仿宋" w:hAnsi="仿宋" w:eastAsia="仿宋" w:cs="仿宋"/>
          <w:sz w:val="32"/>
          <w:szCs w:val="32"/>
        </w:rPr>
        <w:t>执行率100</w:t>
      </w:r>
      <w:r>
        <w:rPr>
          <w:rFonts w:ascii="仿宋" w:hAnsi="仿宋" w:eastAsia="仿宋" w:cs="仿宋"/>
          <w:sz w:val="32"/>
          <w:szCs w:val="32"/>
        </w:rPr>
        <w:t>%。</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（2）推动</w:t>
      </w:r>
      <w:r>
        <w:rPr>
          <w:rFonts w:ascii="仿宋" w:hAnsi="仿宋" w:eastAsia="仿宋" w:cs="仿宋"/>
          <w:sz w:val="32"/>
          <w:szCs w:val="32"/>
        </w:rPr>
        <w:t>企业上市</w:t>
      </w:r>
      <w:r>
        <w:rPr>
          <w:rFonts w:hint="eastAsia" w:ascii="仿宋" w:hAnsi="仿宋" w:eastAsia="仿宋" w:cs="仿宋"/>
          <w:sz w:val="32"/>
          <w:szCs w:val="32"/>
        </w:rPr>
        <w:t>预算2</w:t>
      </w:r>
      <w:r>
        <w:rPr>
          <w:rFonts w:ascii="仿宋" w:hAnsi="仿宋" w:eastAsia="仿宋" w:cs="仿宋"/>
          <w:sz w:val="32"/>
          <w:szCs w:val="32"/>
        </w:rPr>
        <w:t>,</w:t>
      </w:r>
      <w:r>
        <w:rPr>
          <w:rFonts w:hint="eastAsia" w:ascii="仿宋" w:hAnsi="仿宋" w:eastAsia="仿宋" w:cs="仿宋"/>
          <w:sz w:val="32"/>
          <w:szCs w:val="32"/>
        </w:rPr>
        <w:t>090万元</w:t>
      </w:r>
      <w:r>
        <w:rPr>
          <w:rFonts w:ascii="仿宋" w:hAnsi="仿宋" w:eastAsia="仿宋" w:cs="仿宋"/>
          <w:sz w:val="32"/>
          <w:szCs w:val="32"/>
        </w:rPr>
        <w:t>，</w:t>
      </w:r>
      <w:r>
        <w:rPr>
          <w:rFonts w:hint="eastAsia" w:ascii="仿宋" w:hAnsi="仿宋" w:eastAsia="仿宋" w:cs="仿宋"/>
          <w:sz w:val="32"/>
          <w:szCs w:val="32"/>
        </w:rPr>
        <w:t>主要</w:t>
      </w:r>
      <w:r>
        <w:rPr>
          <w:rFonts w:ascii="仿宋" w:hAnsi="仿宋" w:eastAsia="仿宋" w:cs="仿宋"/>
          <w:sz w:val="32"/>
          <w:szCs w:val="32"/>
        </w:rPr>
        <w:t>为</w:t>
      </w:r>
      <w:r>
        <w:rPr>
          <w:rFonts w:hint="eastAsia" w:ascii="仿宋" w:hAnsi="仿宋" w:eastAsia="仿宋" w:cs="仿宋"/>
          <w:sz w:val="32"/>
          <w:szCs w:val="32"/>
        </w:rPr>
        <w:t>推进企业上市融资；配合有关部门指导上市公司建立和完善现代企业制度，处置上市公司风险，协调有关部门依法对上市公司实施破产、重组、托管；牵头组织相关企业发行债券，指导协调期货、基金、产权交易等新兴金融行业和金融中介服务业有序发展，力争实现企业多层次资本市场挂牌上市15家。2018年度共计上市24家企业，2019年度使用专项补助资金1</w:t>
      </w:r>
      <w:r>
        <w:rPr>
          <w:rFonts w:ascii="仿宋" w:hAnsi="仿宋" w:eastAsia="仿宋" w:cs="仿宋"/>
          <w:sz w:val="32"/>
          <w:szCs w:val="32"/>
        </w:rPr>
        <w:t>,</w:t>
      </w:r>
      <w:r>
        <w:rPr>
          <w:rFonts w:hint="eastAsia" w:ascii="仿宋" w:hAnsi="仿宋" w:eastAsia="仿宋" w:cs="仿宋"/>
          <w:sz w:val="32"/>
          <w:szCs w:val="32"/>
        </w:rPr>
        <w:t>610万元，</w:t>
      </w:r>
      <w:r>
        <w:rPr>
          <w:rFonts w:ascii="仿宋" w:hAnsi="仿宋" w:eastAsia="仿宋" w:cs="仿宋"/>
          <w:sz w:val="32"/>
          <w:szCs w:val="32"/>
        </w:rPr>
        <w:t>资金执行率为</w:t>
      </w:r>
      <w:r>
        <w:rPr>
          <w:rFonts w:hint="eastAsia" w:ascii="仿宋" w:hAnsi="仿宋" w:eastAsia="仿宋" w:cs="仿宋"/>
          <w:sz w:val="32"/>
          <w:szCs w:val="32"/>
        </w:rPr>
        <w:t>77.03</w:t>
      </w:r>
      <w:r>
        <w:rPr>
          <w:rFonts w:ascii="仿宋" w:hAnsi="仿宋" w:eastAsia="仿宋" w:cs="仿宋"/>
          <w:sz w:val="32"/>
          <w:szCs w:val="32"/>
        </w:rPr>
        <w:t>%</w:t>
      </w:r>
      <w:r>
        <w:rPr>
          <w:rFonts w:hint="eastAsia" w:ascii="仿宋" w:hAnsi="仿宋" w:eastAsia="仿宋" w:cs="仿宋"/>
          <w:sz w:val="32"/>
          <w:szCs w:val="32"/>
        </w:rPr>
        <w:t>。</w:t>
      </w:r>
    </w:p>
    <w:p>
      <w:pPr>
        <w:snapToGrid w:val="0"/>
        <w:spacing w:line="360" w:lineRule="auto"/>
        <w:rPr>
          <w:rFonts w:ascii="仿宋" w:hAnsi="仿宋" w:eastAsia="仿宋" w:cs="仿宋"/>
          <w:sz w:val="32"/>
          <w:szCs w:val="32"/>
        </w:rPr>
      </w:pPr>
      <w:r>
        <w:rPr>
          <w:rFonts w:hint="eastAsia" w:ascii="仿宋" w:hAnsi="仿宋" w:eastAsia="仿宋" w:cs="仿宋"/>
          <w:sz w:val="32"/>
          <w:szCs w:val="32"/>
        </w:rPr>
        <w:t>因</w:t>
      </w:r>
      <w:r>
        <w:rPr>
          <w:rFonts w:ascii="仿宋" w:hAnsi="仿宋" w:eastAsia="仿宋" w:cs="仿宋"/>
          <w:sz w:val="32"/>
          <w:szCs w:val="32"/>
        </w:rPr>
        <w:t>主板、新三板上市企业较少，拉低专项补助资金，使得预算执行率</w:t>
      </w:r>
      <w:r>
        <w:rPr>
          <w:rFonts w:hint="eastAsia" w:ascii="仿宋" w:hAnsi="仿宋" w:eastAsia="仿宋" w:cs="仿宋"/>
          <w:sz w:val="32"/>
          <w:szCs w:val="32"/>
        </w:rPr>
        <w:t>降低。</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2、加强金融市场管理预算247.72万元</w:t>
      </w:r>
      <w:r>
        <w:rPr>
          <w:rFonts w:ascii="仿宋" w:hAnsi="仿宋" w:eastAsia="仿宋" w:cs="仿宋"/>
          <w:sz w:val="32"/>
          <w:szCs w:val="32"/>
        </w:rPr>
        <w:t>。</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防范非法集资预算247.72万元</w:t>
      </w:r>
      <w:r>
        <w:rPr>
          <w:rFonts w:ascii="仿宋" w:hAnsi="仿宋" w:eastAsia="仿宋" w:cs="仿宋"/>
          <w:sz w:val="32"/>
          <w:szCs w:val="32"/>
        </w:rPr>
        <w:t>，主要为</w:t>
      </w:r>
      <w:r>
        <w:rPr>
          <w:rFonts w:hint="eastAsia" w:ascii="仿宋" w:hAnsi="仿宋" w:eastAsia="仿宋" w:cs="仿宋"/>
          <w:sz w:val="32"/>
          <w:szCs w:val="32"/>
        </w:rPr>
        <w:t>配合金融监管机构依法加强金融监管，整顿和规范金融市场秩序；会同有关部门协调解决我市非法集资、非法证券、非法保险等案件的查处、善后处置工作，维护我市金融稳定。2019年度根据国家、省关于奖励举报非法集资相关文件规定，出台非法集资举报奖励机制，涉及奖励资金；拟定防范非法集资汇编，发放宣传册、媒体刊登费、接待上访人员，向广大群众发送短信（企讯费）等，预算</w:t>
      </w:r>
      <w:r>
        <w:rPr>
          <w:rFonts w:ascii="仿宋" w:hAnsi="仿宋" w:eastAsia="仿宋" w:cs="仿宋"/>
          <w:sz w:val="32"/>
          <w:szCs w:val="32"/>
        </w:rPr>
        <w:t>资金执行</w:t>
      </w:r>
      <w:r>
        <w:rPr>
          <w:rFonts w:hint="eastAsia" w:ascii="仿宋" w:hAnsi="仿宋" w:eastAsia="仿宋" w:cs="仿宋"/>
          <w:sz w:val="32"/>
          <w:szCs w:val="32"/>
        </w:rPr>
        <w:t>154.82万元，资金</w:t>
      </w:r>
      <w:r>
        <w:rPr>
          <w:rFonts w:ascii="仿宋" w:hAnsi="仿宋" w:eastAsia="仿宋" w:cs="仿宋"/>
          <w:sz w:val="32"/>
          <w:szCs w:val="32"/>
        </w:rPr>
        <w:t>执行率为</w:t>
      </w:r>
      <w:r>
        <w:rPr>
          <w:rFonts w:hint="eastAsia" w:ascii="仿宋" w:hAnsi="仿宋" w:eastAsia="仿宋" w:cs="仿宋"/>
          <w:sz w:val="32"/>
          <w:szCs w:val="32"/>
        </w:rPr>
        <w:t>62.5</w:t>
      </w:r>
      <w:r>
        <w:rPr>
          <w:rFonts w:ascii="仿宋" w:hAnsi="仿宋" w:eastAsia="仿宋" w:cs="仿宋"/>
          <w:sz w:val="32"/>
          <w:szCs w:val="32"/>
        </w:rPr>
        <w:t>%。</w:t>
      </w:r>
      <w:r>
        <w:rPr>
          <w:rFonts w:hint="eastAsia" w:ascii="仿宋" w:hAnsi="仿宋" w:eastAsia="仿宋" w:cs="仿宋"/>
          <w:sz w:val="32"/>
          <w:szCs w:val="32"/>
        </w:rPr>
        <w:t>执行率</w:t>
      </w:r>
      <w:r>
        <w:rPr>
          <w:rFonts w:ascii="仿宋" w:hAnsi="仿宋" w:eastAsia="仿宋" w:cs="仿宋"/>
          <w:sz w:val="32"/>
          <w:szCs w:val="32"/>
        </w:rPr>
        <w:t>较低的原因为</w:t>
      </w:r>
      <w:r>
        <w:rPr>
          <w:rFonts w:hint="eastAsia" w:ascii="仿宋" w:hAnsi="仿宋" w:eastAsia="仿宋" w:cs="仿宋"/>
          <w:sz w:val="32"/>
          <w:szCs w:val="32"/>
        </w:rPr>
        <w:t>我市</w:t>
      </w:r>
      <w:r>
        <w:rPr>
          <w:rFonts w:ascii="仿宋" w:hAnsi="仿宋" w:eastAsia="仿宋" w:cs="仿宋"/>
          <w:sz w:val="32"/>
          <w:szCs w:val="32"/>
        </w:rPr>
        <w:t>金融环境较好，</w:t>
      </w:r>
      <w:r>
        <w:rPr>
          <w:rFonts w:hint="eastAsia" w:ascii="仿宋" w:hAnsi="仿宋" w:eastAsia="仿宋" w:cs="仿宋"/>
          <w:sz w:val="32"/>
          <w:szCs w:val="32"/>
        </w:rPr>
        <w:t>非法集资、非法证券、非法保险等案件发生</w:t>
      </w:r>
      <w:r>
        <w:rPr>
          <w:rFonts w:ascii="仿宋" w:hAnsi="仿宋" w:eastAsia="仿宋" w:cs="仿宋"/>
          <w:sz w:val="32"/>
          <w:szCs w:val="32"/>
        </w:rPr>
        <w:t>情况较少，支付资金相对较低。</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3、政务管理预算160.61万元</w:t>
      </w:r>
      <w:r>
        <w:rPr>
          <w:rFonts w:ascii="仿宋" w:hAnsi="仿宋" w:eastAsia="仿宋" w:cs="仿宋"/>
          <w:sz w:val="32"/>
          <w:szCs w:val="32"/>
        </w:rPr>
        <w:t>。</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综合</w:t>
      </w:r>
      <w:r>
        <w:rPr>
          <w:rFonts w:ascii="仿宋" w:hAnsi="仿宋" w:eastAsia="仿宋" w:cs="仿宋"/>
          <w:sz w:val="32"/>
          <w:szCs w:val="32"/>
        </w:rPr>
        <w:t>事务管理预算</w:t>
      </w:r>
      <w:r>
        <w:rPr>
          <w:rFonts w:hint="eastAsia" w:ascii="仿宋" w:hAnsi="仿宋" w:eastAsia="仿宋" w:cs="仿宋"/>
          <w:sz w:val="32"/>
          <w:szCs w:val="32"/>
        </w:rPr>
        <w:t>1</w:t>
      </w:r>
      <w:r>
        <w:rPr>
          <w:rFonts w:ascii="仿宋" w:hAnsi="仿宋" w:eastAsia="仿宋" w:cs="仿宋"/>
          <w:sz w:val="32"/>
          <w:szCs w:val="32"/>
        </w:rPr>
        <w:t>60.61</w:t>
      </w:r>
      <w:r>
        <w:rPr>
          <w:rFonts w:hint="eastAsia" w:ascii="仿宋" w:hAnsi="仿宋" w:eastAsia="仿宋" w:cs="仿宋"/>
          <w:sz w:val="32"/>
          <w:szCs w:val="32"/>
        </w:rPr>
        <w:t>万元</w:t>
      </w:r>
      <w:r>
        <w:rPr>
          <w:rFonts w:ascii="仿宋" w:hAnsi="仿宋" w:eastAsia="仿宋" w:cs="仿宋"/>
          <w:sz w:val="32"/>
          <w:szCs w:val="32"/>
        </w:rPr>
        <w:t>，主要</w:t>
      </w:r>
      <w:r>
        <w:rPr>
          <w:rFonts w:hint="eastAsia" w:ascii="仿宋" w:hAnsi="仿宋" w:eastAsia="仿宋" w:cs="仿宋"/>
          <w:sz w:val="32"/>
          <w:szCs w:val="32"/>
          <w:lang w:eastAsia="zh-CN"/>
        </w:rPr>
        <w:t>包括科技金融奖补资金、《金融周刊》发行费以及</w:t>
      </w:r>
      <w:r>
        <w:rPr>
          <w:rFonts w:hint="eastAsia" w:ascii="仿宋" w:hAnsi="仿宋" w:eastAsia="仿宋" w:cs="仿宋"/>
          <w:sz w:val="32"/>
          <w:szCs w:val="32"/>
        </w:rPr>
        <w:t>保障机构工作正常运转</w:t>
      </w:r>
      <w:r>
        <w:rPr>
          <w:rFonts w:hint="eastAsia" w:ascii="仿宋" w:hAnsi="仿宋" w:eastAsia="仿宋" w:cs="仿宋"/>
          <w:sz w:val="32"/>
          <w:szCs w:val="32"/>
          <w:lang w:eastAsia="zh-CN"/>
        </w:rPr>
        <w:t>等专项公用</w:t>
      </w:r>
      <w:r>
        <w:rPr>
          <w:rFonts w:hint="eastAsia" w:ascii="仿宋" w:hAnsi="仿宋" w:eastAsia="仿宋" w:cs="仿宋"/>
          <w:sz w:val="32"/>
          <w:szCs w:val="32"/>
        </w:rPr>
        <w:t>，预算</w:t>
      </w:r>
      <w:r>
        <w:rPr>
          <w:rFonts w:ascii="仿宋" w:hAnsi="仿宋" w:eastAsia="仿宋" w:cs="仿宋"/>
          <w:sz w:val="32"/>
          <w:szCs w:val="32"/>
        </w:rPr>
        <w:t>资金</w:t>
      </w:r>
      <w:r>
        <w:rPr>
          <w:rFonts w:hint="eastAsia" w:ascii="仿宋" w:hAnsi="仿宋" w:eastAsia="仿宋" w:cs="仿宋"/>
          <w:sz w:val="32"/>
          <w:szCs w:val="32"/>
        </w:rPr>
        <w:t>执行109.52万元</w:t>
      </w:r>
      <w:r>
        <w:rPr>
          <w:rFonts w:ascii="仿宋" w:hAnsi="仿宋" w:eastAsia="仿宋" w:cs="仿宋"/>
          <w:sz w:val="32"/>
          <w:szCs w:val="32"/>
        </w:rPr>
        <w:t>，执行率</w:t>
      </w:r>
      <w:r>
        <w:rPr>
          <w:rFonts w:hint="eastAsia" w:ascii="仿宋" w:hAnsi="仿宋" w:eastAsia="仿宋" w:cs="仿宋"/>
          <w:sz w:val="32"/>
          <w:szCs w:val="32"/>
        </w:rPr>
        <w:t>86.92</w:t>
      </w:r>
      <w:r>
        <w:rPr>
          <w:rFonts w:ascii="仿宋" w:hAnsi="仿宋" w:eastAsia="仿宋" w:cs="仿宋"/>
          <w:sz w:val="32"/>
          <w:szCs w:val="32"/>
        </w:rPr>
        <w:t>%</w:t>
      </w:r>
      <w:r>
        <w:rPr>
          <w:rFonts w:hint="eastAsia" w:ascii="仿宋" w:hAnsi="仿宋" w:eastAsia="仿宋" w:cs="仿宋"/>
          <w:sz w:val="32"/>
          <w:szCs w:val="32"/>
        </w:rPr>
        <w:t>。</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三、绩效目标设定质量情况</w:t>
      </w:r>
    </w:p>
    <w:p>
      <w:pPr>
        <w:ind w:firstLine="560" w:firstLineChars="200"/>
        <w:rPr>
          <w:rFonts w:hint="eastAsia" w:ascii="仿宋" w:hAnsi="仿宋" w:eastAsia="仿宋" w:cs="仿宋"/>
          <w:sz w:val="32"/>
          <w:szCs w:val="32"/>
          <w:lang w:eastAsia="zh-CN"/>
        </w:rPr>
      </w:pPr>
      <w:r>
        <w:rPr>
          <w:rFonts w:hint="eastAsia" w:ascii="仿宋" w:hAnsi="仿宋" w:eastAsia="仿宋" w:cs="仿宋"/>
          <w:sz w:val="32"/>
          <w:szCs w:val="32"/>
        </w:rPr>
        <w:t>通过</w:t>
      </w:r>
      <w:r>
        <w:rPr>
          <w:rFonts w:hint="eastAsia" w:ascii="仿宋" w:hAnsi="仿宋" w:eastAsia="仿宋" w:cs="仿宋"/>
          <w:sz w:val="32"/>
          <w:szCs w:val="32"/>
          <w:lang w:eastAsia="zh-CN"/>
        </w:rPr>
        <w:t>认真自评，</w:t>
      </w:r>
      <w:r>
        <w:rPr>
          <w:rFonts w:ascii="仿宋" w:hAnsi="仿宋" w:eastAsia="仿宋" w:cs="仿宋"/>
          <w:sz w:val="32"/>
          <w:szCs w:val="32"/>
        </w:rPr>
        <w:t>结合</w:t>
      </w:r>
      <w:r>
        <w:rPr>
          <w:rFonts w:hint="eastAsia" w:ascii="仿宋" w:hAnsi="仿宋" w:eastAsia="仿宋" w:cs="仿宋"/>
          <w:sz w:val="32"/>
          <w:szCs w:val="32"/>
        </w:rPr>
        <w:t>专项资金</w:t>
      </w:r>
      <w:r>
        <w:rPr>
          <w:rFonts w:ascii="仿宋" w:hAnsi="仿宋" w:eastAsia="仿宋" w:cs="仿宋"/>
          <w:sz w:val="32"/>
          <w:szCs w:val="32"/>
        </w:rPr>
        <w:t>绩效评价结果</w:t>
      </w:r>
      <w:r>
        <w:rPr>
          <w:rFonts w:hint="eastAsia" w:ascii="仿宋" w:hAnsi="仿宋" w:eastAsia="仿宋" w:cs="仿宋"/>
          <w:sz w:val="32"/>
          <w:szCs w:val="32"/>
        </w:rPr>
        <w:t>，</w:t>
      </w:r>
      <w:r>
        <w:rPr>
          <w:rFonts w:hint="eastAsia" w:ascii="仿宋" w:hAnsi="仿宋" w:eastAsia="仿宋" w:cs="仿宋"/>
          <w:sz w:val="32"/>
          <w:szCs w:val="32"/>
          <w:lang w:eastAsia="zh-CN"/>
        </w:rPr>
        <w:t>我局在设置总体目标和具体绩效指标时，牢牢把握关联性、可控性、可实施性，精准性，可衡量和低成本的原则，根据各项预算特点设置相应绩效目标。但由于绩效目标管理经验不足，导致预算绩效目标设置和绩效指标编制水平有待进一步提高。</w:t>
      </w:r>
    </w:p>
    <w:p>
      <w:pPr>
        <w:ind w:firstLine="56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1、部分绩效指标设定不易量化，只能用定性方法考核，造成评分具有一定主观性；</w:t>
      </w:r>
    </w:p>
    <w:p>
      <w:pPr>
        <w:ind w:firstLine="560" w:firstLineChars="200"/>
        <w:rPr>
          <w:rFonts w:ascii="仿宋" w:hAnsi="仿宋" w:eastAsia="仿宋" w:cs="仿宋"/>
          <w:sz w:val="32"/>
          <w:szCs w:val="32"/>
        </w:rPr>
      </w:pPr>
      <w:r>
        <w:rPr>
          <w:rFonts w:hint="eastAsia" w:ascii="仿宋" w:hAnsi="仿宋" w:eastAsia="仿宋" w:cs="仿宋"/>
          <w:sz w:val="32"/>
          <w:szCs w:val="32"/>
          <w:lang w:eastAsia="zh-CN"/>
        </w:rPr>
        <w:t>2、部分项目内容有重叠情况，导致项目绩效目标不能明确体现项目各自特点。例如业务委托费和金融风险化解工作中委托费用相重叠。</w:t>
      </w:r>
    </w:p>
    <w:p>
      <w:pPr>
        <w:snapToGrid w:val="0"/>
        <w:spacing w:line="360" w:lineRule="auto"/>
        <w:ind w:firstLine="640" w:firstLineChars="200"/>
        <w:rPr>
          <w:rFonts w:hint="eastAsia" w:ascii="黑体" w:hAnsi="黑体" w:eastAsia="黑体" w:cs="黑体"/>
          <w:sz w:val="32"/>
          <w:szCs w:val="32"/>
        </w:rPr>
      </w:pPr>
      <w:r>
        <w:rPr>
          <w:rFonts w:hint="eastAsia" w:ascii="黑体" w:hAnsi="黑体" w:eastAsia="黑体" w:cs="黑体"/>
          <w:sz w:val="32"/>
          <w:szCs w:val="32"/>
        </w:rPr>
        <w:t>四、整改措施及结果应用</w:t>
      </w:r>
    </w:p>
    <w:p>
      <w:pPr>
        <w:snapToGrid w:val="0"/>
        <w:spacing w:line="360" w:lineRule="auto"/>
        <w:ind w:firstLine="640"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（一）整改措施</w:t>
      </w:r>
    </w:p>
    <w:p>
      <w:pPr>
        <w:ind w:firstLine="56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1、在工作中根据不断出现的新情况和发现的新问题，逐步完善项目绩效评价管理体系，进一步提高项目绩效管理水平；</w:t>
      </w:r>
    </w:p>
    <w:p>
      <w:pPr>
        <w:ind w:firstLine="56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2、对相关人员加强培训，特别是针对《预算法》，《行政事业单位会计制度》，项目立项规范，绩效评价相关方针、政策以及市财政有关规定等的学习培训，切实提高部门预算收支管理水平、项目立项管理水平和绩效目标管理水平。</w:t>
      </w:r>
    </w:p>
    <w:p>
      <w:pPr>
        <w:snapToGrid w:val="0"/>
        <w:spacing w:line="360" w:lineRule="auto"/>
        <w:ind w:firstLine="640"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（二）结果应用</w:t>
      </w:r>
    </w:p>
    <w:p>
      <w:pPr>
        <w:ind w:firstLine="560" w:firstLineChars="200"/>
        <w:rPr>
          <w:rFonts w:hint="eastAsia" w:ascii="仿宋" w:hAnsi="仿宋" w:eastAsia="仿宋" w:cs="仿宋"/>
          <w:sz w:val="32"/>
          <w:szCs w:val="32"/>
          <w:lang w:val="en-US" w:eastAsia="zh-CN"/>
        </w:rPr>
      </w:pPr>
      <w:r>
        <w:rPr>
          <w:rFonts w:hint="eastAsia" w:ascii="仿宋" w:hAnsi="仿宋" w:eastAsia="仿宋" w:cs="仿宋"/>
          <w:sz w:val="32"/>
          <w:szCs w:val="32"/>
          <w:lang w:eastAsia="zh-CN"/>
        </w:rPr>
        <w:t>通过年度绩效评价，有效了解预算编制、预算执行、绩效目标实现等相关情况，对以后的年度预算安排和预算收支管理工作具有指导性意义。下一步，我局将结合本次绩效评价结果，进一步总结单位资金支出管理方面的优缺点，加强</w:t>
      </w:r>
      <w:r>
        <w:rPr>
          <w:rFonts w:hint="eastAsia" w:ascii="仿宋" w:hAnsi="仿宋" w:eastAsia="仿宋" w:cs="仿宋"/>
          <w:sz w:val="32"/>
          <w:szCs w:val="32"/>
          <w:lang w:val="en-US" w:eastAsia="zh-CN"/>
        </w:rPr>
        <w:t>2020年度资金支出过程中的绩效管理，通过不断完善相关制度，将预算评价结果运用到本单位财政支出管理中，提高资金使用效率。同时，加强内部控制制度建设，规范资金使用工作流程。</w:t>
      </w:r>
    </w:p>
    <w:p>
      <w:pPr>
        <w:ind w:firstLine="560" w:firstLineChars="200"/>
        <w:rPr>
          <w:rFonts w:hint="eastAsia" w:ascii="仿宋" w:hAnsi="仿宋" w:eastAsia="仿宋" w:cs="仿宋"/>
          <w:sz w:val="32"/>
          <w:szCs w:val="32"/>
          <w:lang w:val="en-US" w:eastAsia="zh-CN"/>
        </w:rPr>
      </w:pPr>
    </w:p>
    <w:p>
      <w:pPr>
        <w:ind w:firstLine="560" w:firstLineChars="200"/>
        <w:rPr>
          <w:rFonts w:hint="eastAsia" w:ascii="仿宋" w:hAnsi="仿宋" w:eastAsia="仿宋" w:cs="仿宋"/>
          <w:sz w:val="32"/>
          <w:szCs w:val="32"/>
          <w:lang w:val="en-US" w:eastAsia="zh-CN"/>
        </w:rPr>
      </w:pPr>
    </w:p>
    <w:p>
      <w:pPr>
        <w:ind w:firstLine="56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w:t>
      </w:r>
      <w:bookmarkStart w:id="0" w:name="_GoBack"/>
      <w:bookmarkEnd w:id="0"/>
      <w:r>
        <w:rPr>
          <w:rFonts w:hint="eastAsia" w:ascii="仿宋" w:hAnsi="仿宋" w:eastAsia="仿宋" w:cs="仿宋"/>
          <w:sz w:val="32"/>
          <w:szCs w:val="32"/>
          <w:lang w:val="en-US" w:eastAsia="zh-CN"/>
        </w:rPr>
        <w:t>年5月19日</w:t>
      </w:r>
    </w:p>
    <w:p>
      <w:pPr>
        <w:snapToGrid w:val="0"/>
        <w:spacing w:line="360" w:lineRule="auto"/>
        <w:ind w:firstLine="640" w:firstLineChars="200"/>
        <w:rPr>
          <w:rFonts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Arial">
    <w:panose1 w:val="020B0604020202020204"/>
    <w:charset w:val="00"/>
    <w:family w:val="auto"/>
    <w:pitch w:val="default"/>
    <w:sig w:usb0="E0002AFF" w:usb1="C0007843" w:usb2="00000009" w:usb3="00000000" w:csb0="400001FF" w:csb1="FFFF0000"/>
  </w:font>
  <w:font w:name="楷体">
    <w:panose1 w:val="02010609060101010101"/>
    <w:charset w:val="86"/>
    <w:family w:val="auto"/>
    <w:pitch w:val="default"/>
    <w:sig w:usb0="800002BF" w:usb1="38CF7CFA" w:usb2="00000016" w:usb3="00000000" w:csb0="00040001" w:csb1="00000000"/>
  </w:font>
  <w:font w:name="华文彩云">
    <w:panose1 w:val="02010800040101010101"/>
    <w:charset w:val="86"/>
    <w:family w:val="auto"/>
    <w:pitch w:val="default"/>
    <w:sig w:usb0="00000001" w:usb1="080F0000" w:usb2="00000000" w:usb3="00000000" w:csb0="00040000" w:csb1="00000000"/>
  </w:font>
  <w:font w:name="华文琥珀">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73" o:spid="_x0000_s3073" o:spt="202" type="#_x0000_t202" style="position:absolute;left:0pt;margin-top:0pt;height:144pt;width:144pt;mso-position-horizontal:center;mso-position-horizontal-relative:margin;mso-wrap-style:none;z-index:1024;mso-width-relative:page;mso-height-relative:page;" filled="f"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- 5 -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D29F1"/>
    <w:rsid w:val="001172C6"/>
    <w:rsid w:val="00121FC2"/>
    <w:rsid w:val="00126DE5"/>
    <w:rsid w:val="00132707"/>
    <w:rsid w:val="001627CF"/>
    <w:rsid w:val="00176210"/>
    <w:rsid w:val="001D2D4C"/>
    <w:rsid w:val="001E3A49"/>
    <w:rsid w:val="00234624"/>
    <w:rsid w:val="00383AC5"/>
    <w:rsid w:val="003A31B3"/>
    <w:rsid w:val="003B412A"/>
    <w:rsid w:val="0040563D"/>
    <w:rsid w:val="00432709"/>
    <w:rsid w:val="00491FCD"/>
    <w:rsid w:val="004E6C05"/>
    <w:rsid w:val="004F6F9F"/>
    <w:rsid w:val="00546BCB"/>
    <w:rsid w:val="00551A9A"/>
    <w:rsid w:val="005C236C"/>
    <w:rsid w:val="005E6EC9"/>
    <w:rsid w:val="00613699"/>
    <w:rsid w:val="00665896"/>
    <w:rsid w:val="00705633"/>
    <w:rsid w:val="0071336C"/>
    <w:rsid w:val="0071475B"/>
    <w:rsid w:val="00793214"/>
    <w:rsid w:val="007A6896"/>
    <w:rsid w:val="007D43DA"/>
    <w:rsid w:val="007E50DB"/>
    <w:rsid w:val="007E661D"/>
    <w:rsid w:val="007F5EE6"/>
    <w:rsid w:val="0081530B"/>
    <w:rsid w:val="008C31C3"/>
    <w:rsid w:val="008E0E58"/>
    <w:rsid w:val="00941865"/>
    <w:rsid w:val="00986803"/>
    <w:rsid w:val="0099577A"/>
    <w:rsid w:val="009F1522"/>
    <w:rsid w:val="00A06D88"/>
    <w:rsid w:val="00A44392"/>
    <w:rsid w:val="00A86F0A"/>
    <w:rsid w:val="00AA1BC9"/>
    <w:rsid w:val="00AB70A8"/>
    <w:rsid w:val="00AF069E"/>
    <w:rsid w:val="00AF5C06"/>
    <w:rsid w:val="00B8177D"/>
    <w:rsid w:val="00B86365"/>
    <w:rsid w:val="00BE032C"/>
    <w:rsid w:val="00C242EC"/>
    <w:rsid w:val="00C246E4"/>
    <w:rsid w:val="00C33538"/>
    <w:rsid w:val="00CE156F"/>
    <w:rsid w:val="00D562B4"/>
    <w:rsid w:val="00DE50A2"/>
    <w:rsid w:val="00DF6FF4"/>
    <w:rsid w:val="00E17D5D"/>
    <w:rsid w:val="00E3048B"/>
    <w:rsid w:val="00E61BFC"/>
    <w:rsid w:val="00E841B7"/>
    <w:rsid w:val="00ED5E84"/>
    <w:rsid w:val="00EF16A3"/>
    <w:rsid w:val="00F57E52"/>
    <w:rsid w:val="00FB7359"/>
    <w:rsid w:val="0C9E5038"/>
    <w:rsid w:val="11DD234B"/>
    <w:rsid w:val="13B61930"/>
    <w:rsid w:val="352C1CE7"/>
    <w:rsid w:val="3AEF6FE7"/>
    <w:rsid w:val="3DBB5EA7"/>
    <w:rsid w:val="3FFA5081"/>
    <w:rsid w:val="46F95938"/>
    <w:rsid w:val="493B718D"/>
    <w:rsid w:val="4AD30542"/>
    <w:rsid w:val="53A42ADD"/>
    <w:rsid w:val="56A85A5F"/>
    <w:rsid w:val="5FC6109A"/>
    <w:rsid w:val="670711E4"/>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7">
    <w:name w:val="页眉 Char"/>
    <w:link w:val="3"/>
    <w:qFormat/>
    <w:uiPriority w:val="99"/>
    <w:rPr>
      <w:sz w:val="18"/>
      <w:szCs w:val="18"/>
    </w:rPr>
  </w:style>
  <w:style w:type="character" w:customStyle="1" w:styleId="8">
    <w:name w:val="页脚 Char"/>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323</Words>
  <Characters>1843</Characters>
  <Lines>15</Lines>
  <Paragraphs>4</Paragraphs>
  <ScaleCrop>false</ScaleCrop>
  <LinksUpToDate>false</LinksUpToDate>
  <CharactersWithSpaces>2162</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lenovo</cp:lastModifiedBy>
  <cp:lastPrinted>2020-05-20T02:25:47Z</cp:lastPrinted>
  <dcterms:modified xsi:type="dcterms:W3CDTF">2020-05-20T02:25:51Z</dcterms:modified>
  <dc:title>附件2： </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